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358" w14:textId="77777777" w:rsidR="00B6342E" w:rsidRPr="00B6342E" w:rsidRDefault="00B6342E" w:rsidP="00B6342E">
      <w:pPr>
        <w:pStyle w:val="Titel"/>
        <w:jc w:val="left"/>
        <w:rPr>
          <w:b/>
          <w:sz w:val="20"/>
        </w:rPr>
      </w:pPr>
    </w:p>
    <w:p w14:paraId="3B23B1A1" w14:textId="77777777" w:rsidR="00B6342E" w:rsidRPr="00B6342E" w:rsidRDefault="00B6342E" w:rsidP="00B6342E">
      <w:pPr>
        <w:pStyle w:val="Titel"/>
        <w:jc w:val="left"/>
        <w:rPr>
          <w:b/>
          <w:sz w:val="20"/>
        </w:rPr>
      </w:pPr>
    </w:p>
    <w:p w14:paraId="63622ED3" w14:textId="77777777" w:rsidR="00B6342E" w:rsidRPr="00B6342E" w:rsidRDefault="00B6342E" w:rsidP="00B6342E">
      <w:pPr>
        <w:pStyle w:val="Titel"/>
        <w:jc w:val="left"/>
        <w:rPr>
          <w:b/>
          <w:sz w:val="20"/>
        </w:rPr>
      </w:pPr>
    </w:p>
    <w:p w14:paraId="48AB3D7A" w14:textId="77777777" w:rsidR="00B6342E" w:rsidRPr="00B6342E" w:rsidRDefault="00B6342E" w:rsidP="00B6342E">
      <w:pPr>
        <w:pStyle w:val="Titel"/>
        <w:jc w:val="left"/>
        <w:rPr>
          <w:b/>
          <w:sz w:val="20"/>
        </w:rPr>
      </w:pPr>
    </w:p>
    <w:p w14:paraId="6C624F94" w14:textId="77777777" w:rsidR="00B6342E" w:rsidRDefault="00B6342E" w:rsidP="00B6342E">
      <w:pPr>
        <w:pStyle w:val="Titel"/>
        <w:jc w:val="left"/>
        <w:rPr>
          <w:b/>
          <w:sz w:val="48"/>
          <w:szCs w:val="48"/>
        </w:rPr>
      </w:pPr>
    </w:p>
    <w:p w14:paraId="1293CDF0" w14:textId="77777777" w:rsidR="00E67988" w:rsidRDefault="00E67988" w:rsidP="00B6342E">
      <w:pPr>
        <w:pStyle w:val="Titel"/>
        <w:jc w:val="left"/>
        <w:rPr>
          <w:b/>
          <w:sz w:val="48"/>
          <w:szCs w:val="48"/>
        </w:rPr>
      </w:pPr>
    </w:p>
    <w:p w14:paraId="4B503CB0" w14:textId="77777777" w:rsidR="00250E53" w:rsidRDefault="00250E53" w:rsidP="00B6342E">
      <w:pPr>
        <w:pStyle w:val="Titel"/>
        <w:jc w:val="left"/>
        <w:rPr>
          <w:b/>
          <w:sz w:val="48"/>
          <w:szCs w:val="48"/>
        </w:rPr>
      </w:pPr>
    </w:p>
    <w:p w14:paraId="6035173C" w14:textId="77777777" w:rsidR="008A7324" w:rsidRPr="00DD38C4" w:rsidRDefault="006D4CF9" w:rsidP="00B6342E">
      <w:pPr>
        <w:pStyle w:val="Titel"/>
        <w:jc w:val="left"/>
        <w:rPr>
          <w:b/>
          <w:sz w:val="48"/>
          <w:szCs w:val="48"/>
        </w:rPr>
      </w:pPr>
      <w:sdt>
        <w:sdtPr>
          <w:rPr>
            <w:b/>
            <w:sz w:val="48"/>
            <w:szCs w:val="48"/>
          </w:rPr>
          <w:alias w:val="Titel"/>
          <w:tag w:val=""/>
          <w:id w:val="710549034"/>
          <w:placeholder>
            <w:docPart w:val="6CD770F9A47D4DCDABF0C7E522123F90"/>
          </w:placeholder>
          <w:dataBinding w:prefixMappings="xmlns:ns0='http://purl.org/dc/elements/1.1/' xmlns:ns1='http://schemas.openxmlformats.org/package/2006/metadata/core-properties' " w:xpath="/ns1:coreProperties[1]/ns0:title[1]" w:storeItemID="{6C3C8BC8-F283-45AE-878A-BAB7291924A1}"/>
          <w:text/>
        </w:sdtPr>
        <w:sdtEndPr/>
        <w:sdtContent>
          <w:r w:rsidR="00DA494C" w:rsidRPr="00DD38C4">
            <w:rPr>
              <w:b/>
              <w:sz w:val="48"/>
              <w:szCs w:val="48"/>
            </w:rPr>
            <w:t xml:space="preserve">Maligne </w:t>
          </w:r>
          <w:r w:rsidR="00351D0F" w:rsidRPr="00DD38C4">
            <w:rPr>
              <w:b/>
              <w:sz w:val="48"/>
              <w:szCs w:val="48"/>
              <w:lang w:val="de-AT"/>
            </w:rPr>
            <w:t>Hoden</w:t>
          </w:r>
          <w:r w:rsidR="00DA494C" w:rsidRPr="00DD38C4">
            <w:rPr>
              <w:b/>
              <w:sz w:val="48"/>
              <w:szCs w:val="48"/>
              <w:lang w:val="de-AT"/>
            </w:rPr>
            <w:t>tumore</w:t>
          </w:r>
        </w:sdtContent>
      </w:sdt>
    </w:p>
    <w:p w14:paraId="6FC936D4" w14:textId="77777777" w:rsidR="008A7324" w:rsidRPr="00DD38C4" w:rsidRDefault="008A7324" w:rsidP="005E0058">
      <w:pPr>
        <w:pStyle w:val="Titel"/>
        <w:ind w:left="-56"/>
        <w:jc w:val="left"/>
        <w:rPr>
          <w:sz w:val="28"/>
          <w:szCs w:val="28"/>
        </w:rPr>
      </w:pPr>
    </w:p>
    <w:p w14:paraId="154961A6" w14:textId="77777777" w:rsidR="005163F4" w:rsidRPr="00DD38C4" w:rsidRDefault="005163F4" w:rsidP="00B6342E">
      <w:pPr>
        <w:tabs>
          <w:tab w:val="left" w:pos="1418"/>
        </w:tabs>
        <w:spacing w:line="276" w:lineRule="auto"/>
        <w:jc w:val="both"/>
        <w:rPr>
          <w:rFonts w:cs="Arial"/>
          <w:sz w:val="28"/>
          <w:szCs w:val="28"/>
        </w:rPr>
      </w:pPr>
    </w:p>
    <w:p w14:paraId="3B33CFE2" w14:textId="77777777" w:rsidR="00B6342E" w:rsidRPr="00DD38C4" w:rsidRDefault="00B6342E" w:rsidP="00B6342E">
      <w:pPr>
        <w:tabs>
          <w:tab w:val="left" w:pos="1418"/>
        </w:tabs>
        <w:spacing w:line="276" w:lineRule="auto"/>
        <w:jc w:val="both"/>
        <w:rPr>
          <w:rFonts w:cs="Arial"/>
          <w:sz w:val="28"/>
          <w:szCs w:val="28"/>
        </w:rPr>
      </w:pPr>
    </w:p>
    <w:p w14:paraId="4DBADBE1" w14:textId="77777777" w:rsidR="00B6342E" w:rsidRPr="00DD38C4" w:rsidRDefault="00A6435E" w:rsidP="00B6342E">
      <w:pPr>
        <w:spacing w:line="276" w:lineRule="auto"/>
        <w:jc w:val="both"/>
        <w:rPr>
          <w:rFonts w:cs="Arial"/>
          <w:b/>
          <w:sz w:val="40"/>
          <w:szCs w:val="40"/>
        </w:rPr>
      </w:pPr>
      <w:r w:rsidRPr="00DD38C4">
        <w:rPr>
          <w:rFonts w:cs="Arial"/>
          <w:b/>
          <w:sz w:val="40"/>
          <w:szCs w:val="40"/>
        </w:rPr>
        <w:t xml:space="preserve">Medizinische </w:t>
      </w:r>
      <w:r w:rsidR="00B6342E" w:rsidRPr="00DD38C4">
        <w:rPr>
          <w:rFonts w:cs="Arial"/>
          <w:b/>
          <w:sz w:val="40"/>
          <w:szCs w:val="40"/>
        </w:rPr>
        <w:t>Leitlinie</w:t>
      </w:r>
    </w:p>
    <w:p w14:paraId="14922B38" w14:textId="77777777" w:rsidR="00B6342E" w:rsidRPr="00DD38C4" w:rsidRDefault="00B6342E" w:rsidP="00B6342E">
      <w:pPr>
        <w:tabs>
          <w:tab w:val="left" w:pos="1418"/>
        </w:tabs>
        <w:spacing w:line="276" w:lineRule="auto"/>
        <w:jc w:val="both"/>
        <w:rPr>
          <w:rFonts w:cs="Arial"/>
          <w:sz w:val="28"/>
          <w:szCs w:val="28"/>
        </w:rPr>
      </w:pPr>
    </w:p>
    <w:p w14:paraId="4690CD13" w14:textId="77777777" w:rsidR="00B6342E" w:rsidRPr="00DD38C4" w:rsidRDefault="00B6342E" w:rsidP="00B6342E">
      <w:pPr>
        <w:tabs>
          <w:tab w:val="left" w:pos="1418"/>
        </w:tabs>
        <w:spacing w:line="276" w:lineRule="auto"/>
        <w:jc w:val="both"/>
        <w:rPr>
          <w:rFonts w:cs="Arial"/>
          <w:sz w:val="28"/>
          <w:szCs w:val="28"/>
        </w:rPr>
      </w:pPr>
    </w:p>
    <w:p w14:paraId="3C18218D" w14:textId="77777777" w:rsidR="00B6342E" w:rsidRPr="00DD38C4" w:rsidRDefault="00B6342E" w:rsidP="00B6342E">
      <w:pPr>
        <w:tabs>
          <w:tab w:val="left" w:pos="1418"/>
        </w:tabs>
        <w:spacing w:line="276" w:lineRule="auto"/>
        <w:jc w:val="both"/>
        <w:rPr>
          <w:rFonts w:cs="Arial"/>
          <w:sz w:val="28"/>
          <w:szCs w:val="28"/>
        </w:rPr>
      </w:pPr>
    </w:p>
    <w:p w14:paraId="04CBFB4A" w14:textId="77777777" w:rsidR="005163F4" w:rsidRPr="00DD38C4" w:rsidRDefault="005163F4" w:rsidP="00B6342E">
      <w:pPr>
        <w:tabs>
          <w:tab w:val="left" w:pos="1418"/>
        </w:tabs>
        <w:spacing w:line="276" w:lineRule="auto"/>
        <w:jc w:val="both"/>
        <w:rPr>
          <w:rFonts w:cs="Arial"/>
          <w:sz w:val="28"/>
          <w:szCs w:val="28"/>
        </w:rPr>
      </w:pPr>
      <w:bookmarkStart w:id="0" w:name="_GoBack"/>
      <w:bookmarkEnd w:id="0"/>
    </w:p>
    <w:p w14:paraId="2073E9ED" w14:textId="77777777" w:rsidR="005163F4" w:rsidRPr="00DD38C4" w:rsidRDefault="005163F4" w:rsidP="00B6342E">
      <w:pPr>
        <w:tabs>
          <w:tab w:val="left" w:pos="1418"/>
        </w:tabs>
        <w:spacing w:line="276" w:lineRule="auto"/>
        <w:jc w:val="both"/>
        <w:rPr>
          <w:rFonts w:cs="Arial"/>
          <w:sz w:val="28"/>
          <w:szCs w:val="28"/>
        </w:rPr>
      </w:pPr>
    </w:p>
    <w:p w14:paraId="19E1EABD" w14:textId="77777777" w:rsidR="005163F4" w:rsidRPr="00DD38C4" w:rsidRDefault="005163F4" w:rsidP="00B6342E">
      <w:pPr>
        <w:tabs>
          <w:tab w:val="left" w:pos="1418"/>
        </w:tabs>
        <w:spacing w:line="276" w:lineRule="auto"/>
        <w:jc w:val="both"/>
        <w:rPr>
          <w:rFonts w:cs="Arial"/>
          <w:sz w:val="28"/>
          <w:szCs w:val="28"/>
        </w:rPr>
      </w:pPr>
    </w:p>
    <w:p w14:paraId="0AF70CA3" w14:textId="77777777" w:rsidR="005163F4" w:rsidRPr="00DD38C4" w:rsidRDefault="005163F4" w:rsidP="00B6342E">
      <w:pPr>
        <w:tabs>
          <w:tab w:val="left" w:pos="1418"/>
        </w:tabs>
        <w:spacing w:line="276" w:lineRule="auto"/>
        <w:jc w:val="both"/>
        <w:rPr>
          <w:rFonts w:cs="Arial"/>
          <w:sz w:val="28"/>
          <w:szCs w:val="28"/>
        </w:rPr>
      </w:pPr>
    </w:p>
    <w:p w14:paraId="42AC70A1" w14:textId="77777777" w:rsidR="005163F4" w:rsidRPr="00DD38C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DD38C4" w14:paraId="6B9B4CEE" w14:textId="77777777" w:rsidTr="0095092F">
        <w:trPr>
          <w:trHeight w:val="567"/>
        </w:trPr>
        <w:tc>
          <w:tcPr>
            <w:tcW w:w="2744" w:type="dxa"/>
            <w:vAlign w:val="center"/>
          </w:tcPr>
          <w:p w14:paraId="6C6998CB" w14:textId="77777777" w:rsidR="00ED24ED" w:rsidRPr="00DD38C4" w:rsidRDefault="002E7743" w:rsidP="0095092F">
            <w:pPr>
              <w:spacing w:line="276" w:lineRule="auto"/>
              <w:jc w:val="left"/>
              <w:rPr>
                <w:rFonts w:asciiTheme="minorHAnsi" w:hAnsiTheme="minorHAnsi" w:cstheme="minorHAnsi"/>
              </w:rPr>
            </w:pPr>
            <w:r w:rsidRPr="00DD38C4">
              <w:rPr>
                <w:rFonts w:asciiTheme="minorHAnsi" w:hAnsiTheme="minorHAnsi" w:cstheme="minorHAnsi"/>
              </w:rPr>
              <w:t>Leitlinie erstellt von:</w:t>
            </w:r>
          </w:p>
        </w:tc>
        <w:tc>
          <w:tcPr>
            <w:tcW w:w="6946" w:type="dxa"/>
            <w:vAlign w:val="center"/>
          </w:tcPr>
          <w:p w14:paraId="2A178874" w14:textId="7D6C5086" w:rsidR="00DA494C" w:rsidRPr="00DD38C4" w:rsidRDefault="006D4CF9" w:rsidP="00DA494C">
            <w:pPr>
              <w:spacing w:line="276" w:lineRule="auto"/>
              <w:jc w:val="left"/>
              <w:rPr>
                <w:rFonts w:asciiTheme="minorHAnsi" w:hAnsiTheme="minorHAnsi" w:cstheme="minorHAnsi"/>
              </w:rPr>
            </w:pPr>
            <w:r>
              <w:rPr>
                <w:rFonts w:asciiTheme="minorHAnsi" w:hAnsiTheme="minorHAnsi" w:cstheme="minorHAnsi"/>
              </w:rPr>
              <w:t>OÄ Dr. Margarete Moyses (OKL)</w:t>
            </w:r>
            <w:r w:rsidR="00351D0F" w:rsidRPr="00DD38C4">
              <w:rPr>
                <w:rFonts w:asciiTheme="minorHAnsi" w:hAnsiTheme="minorHAnsi" w:cstheme="minorHAnsi"/>
              </w:rPr>
              <w:t>, OA Dr. Franz Stoiber (</w:t>
            </w:r>
            <w:r w:rsidR="00DD38C4" w:rsidRPr="00DD38C4">
              <w:rPr>
                <w:rFonts w:asciiTheme="minorHAnsi" w:hAnsiTheme="minorHAnsi" w:cstheme="minorHAnsi"/>
              </w:rPr>
              <w:t>SK</w:t>
            </w:r>
            <w:r w:rsidR="00351D0F" w:rsidRPr="00DD38C4">
              <w:rPr>
                <w:rFonts w:asciiTheme="minorHAnsi" w:hAnsiTheme="minorHAnsi" w:cstheme="minorHAnsi"/>
              </w:rPr>
              <w:t xml:space="preserve">), </w:t>
            </w:r>
          </w:p>
          <w:p w14:paraId="63DA8269" w14:textId="19B0B42D" w:rsidR="008A1090" w:rsidRPr="006D4CF9" w:rsidRDefault="00351D0F" w:rsidP="00DA494C">
            <w:pPr>
              <w:spacing w:line="276" w:lineRule="auto"/>
              <w:jc w:val="left"/>
              <w:rPr>
                <w:rFonts w:asciiTheme="minorHAnsi" w:hAnsiTheme="minorHAnsi" w:cstheme="minorHAnsi"/>
              </w:rPr>
            </w:pPr>
            <w:r w:rsidRPr="006D4CF9">
              <w:rPr>
                <w:rFonts w:asciiTheme="minorHAnsi" w:hAnsiTheme="minorHAnsi" w:cstheme="minorHAnsi"/>
              </w:rPr>
              <w:t>OA Dr. Ratislav Synak (</w:t>
            </w:r>
            <w:r w:rsidR="00DD38C4" w:rsidRPr="006D4CF9">
              <w:rPr>
                <w:rFonts w:asciiTheme="minorHAnsi" w:hAnsiTheme="minorHAnsi" w:cstheme="minorHAnsi"/>
              </w:rPr>
              <w:t>SK</w:t>
            </w:r>
            <w:r w:rsidRPr="006D4CF9">
              <w:rPr>
                <w:rFonts w:asciiTheme="minorHAnsi" w:hAnsiTheme="minorHAnsi" w:cstheme="minorHAnsi"/>
              </w:rPr>
              <w:t>)</w:t>
            </w:r>
            <w:r w:rsidR="00DA494C" w:rsidRPr="006D4CF9">
              <w:rPr>
                <w:rFonts w:asciiTheme="minorHAnsi" w:hAnsiTheme="minorHAnsi" w:cstheme="minorHAnsi"/>
              </w:rPr>
              <w:t xml:space="preserve">; OA Dr. Tamas Dobej (RI); </w:t>
            </w:r>
          </w:p>
          <w:p w14:paraId="50C9DFCB" w14:textId="6D2EF570" w:rsidR="002E7743" w:rsidRPr="00DD38C4" w:rsidRDefault="006D4CF9" w:rsidP="008A1090">
            <w:pPr>
              <w:spacing w:line="276" w:lineRule="auto"/>
              <w:jc w:val="left"/>
              <w:rPr>
                <w:rFonts w:asciiTheme="minorHAnsi" w:hAnsiTheme="minorHAnsi" w:cstheme="minorHAnsi"/>
              </w:rPr>
            </w:pPr>
            <w:r>
              <w:rPr>
                <w:rFonts w:asciiTheme="minorHAnsi" w:hAnsiTheme="minorHAnsi" w:cstheme="minorHAnsi"/>
              </w:rPr>
              <w:t>O</w:t>
            </w:r>
            <w:r w:rsidR="00DA494C" w:rsidRPr="00DD38C4">
              <w:rPr>
                <w:rFonts w:asciiTheme="minorHAnsi" w:hAnsiTheme="minorHAnsi" w:cstheme="minorHAnsi"/>
              </w:rPr>
              <w:t>A Dr. Ferdinand Luger (OKL)</w:t>
            </w:r>
          </w:p>
        </w:tc>
      </w:tr>
      <w:tr w:rsidR="002E7743" w:rsidRPr="006D4CF9" w14:paraId="588B7872" w14:textId="77777777" w:rsidTr="0095092F">
        <w:trPr>
          <w:trHeight w:val="567"/>
        </w:trPr>
        <w:tc>
          <w:tcPr>
            <w:tcW w:w="2744" w:type="dxa"/>
            <w:vAlign w:val="center"/>
          </w:tcPr>
          <w:p w14:paraId="3FE32CAA" w14:textId="77777777" w:rsidR="00ED24ED" w:rsidRPr="00DD38C4" w:rsidRDefault="002E7743" w:rsidP="0095092F">
            <w:pPr>
              <w:spacing w:line="276" w:lineRule="auto"/>
              <w:jc w:val="left"/>
              <w:rPr>
                <w:rFonts w:asciiTheme="minorHAnsi" w:hAnsiTheme="minorHAnsi" w:cstheme="minorHAnsi"/>
              </w:rPr>
            </w:pPr>
            <w:r w:rsidRPr="00DD38C4">
              <w:rPr>
                <w:rFonts w:asciiTheme="minorHAnsi" w:hAnsiTheme="minorHAnsi" w:cstheme="minorHAnsi"/>
              </w:rPr>
              <w:t>Leitlinie geprüft von:</w:t>
            </w:r>
          </w:p>
        </w:tc>
        <w:tc>
          <w:tcPr>
            <w:tcW w:w="6946" w:type="dxa"/>
            <w:vAlign w:val="center"/>
          </w:tcPr>
          <w:p w14:paraId="0935464F" w14:textId="05E5C4E5" w:rsidR="008A1090" w:rsidRPr="00DD38C4" w:rsidRDefault="00DA494C" w:rsidP="00DA494C">
            <w:pPr>
              <w:spacing w:line="276" w:lineRule="auto"/>
              <w:jc w:val="left"/>
              <w:rPr>
                <w:rFonts w:asciiTheme="minorHAnsi" w:hAnsiTheme="minorHAnsi" w:cstheme="minorHAnsi"/>
              </w:rPr>
            </w:pPr>
            <w:r w:rsidRPr="00DD38C4">
              <w:rPr>
                <w:rFonts w:asciiTheme="minorHAnsi" w:hAnsiTheme="minorHAnsi" w:cstheme="minorHAnsi"/>
              </w:rPr>
              <w:t xml:space="preserve">Prim. Dr. Wolfgang Loidl (OKL); </w:t>
            </w:r>
            <w:r w:rsidR="006D4CF9" w:rsidRPr="00DD38C4">
              <w:rPr>
                <w:rFonts w:asciiTheme="minorHAnsi" w:hAnsiTheme="minorHAnsi" w:cstheme="minorHAnsi"/>
              </w:rPr>
              <w:t>OA Dr. Michael Girschikofsky (OKL)</w:t>
            </w:r>
            <w:r w:rsidR="006D4CF9">
              <w:rPr>
                <w:rFonts w:asciiTheme="minorHAnsi" w:hAnsiTheme="minorHAnsi" w:cstheme="minorHAnsi"/>
              </w:rPr>
              <w:t>;</w:t>
            </w:r>
          </w:p>
          <w:p w14:paraId="5BD7024A" w14:textId="07D8A328" w:rsidR="002E7743" w:rsidRPr="00DD38C4" w:rsidRDefault="00DA494C" w:rsidP="00DA494C">
            <w:pPr>
              <w:spacing w:line="276" w:lineRule="auto"/>
              <w:jc w:val="left"/>
              <w:rPr>
                <w:rFonts w:asciiTheme="minorHAnsi" w:hAnsiTheme="minorHAnsi" w:cstheme="minorHAnsi"/>
              </w:rPr>
            </w:pPr>
            <w:r w:rsidRPr="00DD38C4">
              <w:rPr>
                <w:rFonts w:asciiTheme="minorHAnsi" w:hAnsiTheme="minorHAnsi" w:cstheme="minorHAnsi"/>
              </w:rPr>
              <w:t>OA</w:t>
            </w:r>
            <w:r w:rsidR="00351D0F" w:rsidRPr="00DD38C4">
              <w:rPr>
                <w:rFonts w:asciiTheme="minorHAnsi" w:hAnsiTheme="minorHAnsi" w:cstheme="minorHAnsi"/>
              </w:rPr>
              <w:t xml:space="preserve"> Dr. Matthias Kretz (</w:t>
            </w:r>
            <w:r w:rsidR="00DD38C4" w:rsidRPr="00DD38C4">
              <w:rPr>
                <w:rFonts w:asciiTheme="minorHAnsi" w:hAnsiTheme="minorHAnsi" w:cstheme="minorHAnsi"/>
              </w:rPr>
              <w:t>SK</w:t>
            </w:r>
            <w:r w:rsidR="00351D0F" w:rsidRPr="00DD38C4">
              <w:rPr>
                <w:rFonts w:asciiTheme="minorHAnsi" w:hAnsiTheme="minorHAnsi" w:cstheme="minorHAnsi"/>
              </w:rPr>
              <w:t>), Prim. Dr. Peter Panholzer (</w:t>
            </w:r>
            <w:r w:rsidR="00DD38C4" w:rsidRPr="00DD38C4">
              <w:rPr>
                <w:rFonts w:asciiTheme="minorHAnsi" w:hAnsiTheme="minorHAnsi" w:cstheme="minorHAnsi"/>
              </w:rPr>
              <w:t>SK</w:t>
            </w:r>
            <w:r w:rsidR="00351D0F" w:rsidRPr="00DD38C4">
              <w:rPr>
                <w:rFonts w:asciiTheme="minorHAnsi" w:hAnsiTheme="minorHAnsi" w:cstheme="minorHAnsi"/>
              </w:rPr>
              <w:t>)</w:t>
            </w:r>
            <w:r w:rsidRPr="00DD38C4">
              <w:rPr>
                <w:rFonts w:asciiTheme="minorHAnsi" w:hAnsiTheme="minorHAnsi" w:cstheme="minorHAnsi"/>
              </w:rPr>
              <w:t>;</w:t>
            </w:r>
          </w:p>
          <w:p w14:paraId="627FB68F" w14:textId="77777777" w:rsidR="00DA494C" w:rsidRPr="00DD38C4" w:rsidRDefault="00DA494C" w:rsidP="00DA494C">
            <w:pPr>
              <w:spacing w:line="276" w:lineRule="auto"/>
              <w:jc w:val="left"/>
              <w:rPr>
                <w:rFonts w:asciiTheme="minorHAnsi" w:hAnsiTheme="minorHAnsi" w:cstheme="minorHAnsi"/>
                <w:lang w:val="en-US"/>
              </w:rPr>
            </w:pPr>
            <w:r w:rsidRPr="00DD38C4">
              <w:rPr>
                <w:rFonts w:asciiTheme="minorHAnsi" w:hAnsiTheme="minorHAnsi" w:cstheme="minorHAnsi"/>
                <w:lang w:val="en-US"/>
              </w:rPr>
              <w:t>OA Dr. Johannes Huber (RI)</w:t>
            </w:r>
          </w:p>
        </w:tc>
      </w:tr>
      <w:tr w:rsidR="002E7743" w:rsidRPr="00DD38C4" w14:paraId="767C505D" w14:textId="77777777" w:rsidTr="0095092F">
        <w:trPr>
          <w:trHeight w:val="567"/>
        </w:trPr>
        <w:tc>
          <w:tcPr>
            <w:tcW w:w="2744" w:type="dxa"/>
            <w:vAlign w:val="center"/>
          </w:tcPr>
          <w:p w14:paraId="799887D9" w14:textId="77777777" w:rsidR="002E7743" w:rsidRPr="00DD38C4" w:rsidRDefault="00ED24ED" w:rsidP="00C80423">
            <w:pPr>
              <w:spacing w:line="276" w:lineRule="auto"/>
              <w:jc w:val="left"/>
              <w:rPr>
                <w:rFonts w:asciiTheme="minorHAnsi" w:hAnsiTheme="minorHAnsi" w:cstheme="minorHAnsi"/>
              </w:rPr>
            </w:pPr>
            <w:r w:rsidRPr="00DD38C4">
              <w:rPr>
                <w:rFonts w:asciiTheme="minorHAnsi" w:hAnsiTheme="minorHAnsi" w:cstheme="minorHAnsi"/>
              </w:rPr>
              <w:t>Fachliche Freigabe:</w:t>
            </w:r>
          </w:p>
        </w:tc>
        <w:tc>
          <w:tcPr>
            <w:tcW w:w="6946" w:type="dxa"/>
            <w:vAlign w:val="center"/>
          </w:tcPr>
          <w:p w14:paraId="6BA09940" w14:textId="77777777" w:rsidR="002E7743" w:rsidRPr="00DD38C4" w:rsidRDefault="00351D0F" w:rsidP="00ED24ED">
            <w:pPr>
              <w:spacing w:line="276" w:lineRule="auto"/>
              <w:jc w:val="left"/>
              <w:rPr>
                <w:rFonts w:asciiTheme="minorHAnsi" w:hAnsiTheme="minorHAnsi" w:cstheme="minorHAnsi"/>
              </w:rPr>
            </w:pPr>
            <w:r w:rsidRPr="00DD38C4">
              <w:rPr>
                <w:rFonts w:asciiTheme="minorHAnsi" w:hAnsiTheme="minorHAnsi" w:cstheme="minorHAnsi"/>
              </w:rPr>
              <w:t>OA Dr. Michael Girschikofsky</w:t>
            </w:r>
          </w:p>
          <w:p w14:paraId="0B240B30" w14:textId="77777777" w:rsidR="001F2BEC" w:rsidRPr="00DD38C4" w:rsidRDefault="001F2BEC" w:rsidP="00351D0F">
            <w:pPr>
              <w:spacing w:line="276" w:lineRule="auto"/>
              <w:jc w:val="left"/>
              <w:rPr>
                <w:rFonts w:asciiTheme="minorHAnsi" w:hAnsiTheme="minorHAnsi" w:cstheme="minorHAnsi"/>
              </w:rPr>
            </w:pPr>
            <w:r w:rsidRPr="00DD38C4">
              <w:rPr>
                <w:rFonts w:asciiTheme="minorHAnsi" w:hAnsiTheme="minorHAnsi" w:cstheme="minorHAnsi"/>
              </w:rPr>
              <w:t>Leitliniengruppe Protokoll v.</w:t>
            </w:r>
            <w:r w:rsidR="00351D0F" w:rsidRPr="00DD38C4">
              <w:rPr>
                <w:rFonts w:asciiTheme="minorHAnsi" w:hAnsiTheme="minorHAnsi" w:cstheme="minorHAnsi"/>
              </w:rPr>
              <w:t xml:space="preserve"> 11.03.2014</w:t>
            </w:r>
            <w:r w:rsidRPr="00DD38C4">
              <w:rPr>
                <w:rFonts w:asciiTheme="minorHAnsi" w:hAnsiTheme="minorHAnsi" w:cstheme="minorHAnsi"/>
              </w:rPr>
              <w:t xml:space="preserve"> </w:t>
            </w:r>
          </w:p>
          <w:p w14:paraId="00CDE950" w14:textId="6F5C20ED" w:rsidR="00EA5BFB" w:rsidRPr="00DD38C4" w:rsidRDefault="00EA5BFB" w:rsidP="0082126B">
            <w:pPr>
              <w:spacing w:line="276" w:lineRule="auto"/>
              <w:jc w:val="left"/>
              <w:rPr>
                <w:rFonts w:asciiTheme="minorHAnsi" w:hAnsiTheme="minorHAnsi" w:cstheme="minorHAnsi"/>
              </w:rPr>
            </w:pPr>
            <w:r w:rsidRPr="00DD38C4">
              <w:rPr>
                <w:rFonts w:asciiTheme="minorHAnsi" w:hAnsiTheme="minorHAnsi" w:cstheme="minorHAnsi"/>
              </w:rPr>
              <w:t xml:space="preserve">Revision v. </w:t>
            </w:r>
            <w:r w:rsidR="0082126B">
              <w:rPr>
                <w:rFonts w:asciiTheme="minorHAnsi" w:hAnsiTheme="minorHAnsi" w:cstheme="minorHAnsi"/>
              </w:rPr>
              <w:t>17.12</w:t>
            </w:r>
            <w:r w:rsidR="00DA494C" w:rsidRPr="00DD38C4">
              <w:rPr>
                <w:rFonts w:asciiTheme="minorHAnsi" w:hAnsiTheme="minorHAnsi" w:cstheme="minorHAnsi"/>
              </w:rPr>
              <w:t>.2019</w:t>
            </w:r>
          </w:p>
        </w:tc>
      </w:tr>
    </w:tbl>
    <w:p w14:paraId="1A2409BB" w14:textId="77777777" w:rsidR="008B2595" w:rsidRPr="00DD38C4" w:rsidRDefault="008B2595">
      <w:pPr>
        <w:spacing w:line="240" w:lineRule="auto"/>
        <w:jc w:val="left"/>
      </w:pPr>
    </w:p>
    <w:p w14:paraId="73961961" w14:textId="77777777" w:rsidR="008B2595" w:rsidRPr="00DD38C4" w:rsidRDefault="008B2595">
      <w:pPr>
        <w:spacing w:line="240" w:lineRule="auto"/>
        <w:jc w:val="left"/>
      </w:pPr>
    </w:p>
    <w:p w14:paraId="6058A542" w14:textId="77777777" w:rsidR="00D02334" w:rsidRPr="00DD38C4" w:rsidRDefault="00D02334">
      <w:pPr>
        <w:spacing w:line="240" w:lineRule="auto"/>
        <w:jc w:val="left"/>
      </w:pPr>
    </w:p>
    <w:p w14:paraId="43C8BB1B" w14:textId="77777777" w:rsidR="00D02334" w:rsidRPr="00DD38C4" w:rsidRDefault="003F4CC0" w:rsidP="003F4CC0">
      <w:pPr>
        <w:tabs>
          <w:tab w:val="left" w:pos="3982"/>
        </w:tabs>
        <w:spacing w:line="276" w:lineRule="auto"/>
        <w:jc w:val="both"/>
        <w:rPr>
          <w:rFonts w:asciiTheme="minorHAnsi" w:hAnsiTheme="minorHAnsi" w:cstheme="minorHAnsi"/>
          <w:sz w:val="18"/>
          <w:szCs w:val="18"/>
        </w:rPr>
      </w:pPr>
      <w:r w:rsidRPr="00DD38C4">
        <w:rPr>
          <w:rFonts w:asciiTheme="minorHAnsi" w:hAnsiTheme="minorHAnsi" w:cstheme="minorHAnsi"/>
          <w:sz w:val="18"/>
          <w:szCs w:val="18"/>
        </w:rPr>
        <w:tab/>
      </w:r>
    </w:p>
    <w:p w14:paraId="06BEC464" w14:textId="77777777" w:rsidR="00D02334" w:rsidRPr="00DD38C4" w:rsidRDefault="00D02334" w:rsidP="00D02334">
      <w:pPr>
        <w:spacing w:line="276" w:lineRule="auto"/>
        <w:jc w:val="both"/>
        <w:rPr>
          <w:rFonts w:asciiTheme="minorHAnsi" w:hAnsiTheme="minorHAnsi" w:cstheme="minorHAnsi"/>
          <w:sz w:val="18"/>
          <w:szCs w:val="18"/>
        </w:rPr>
      </w:pPr>
    </w:p>
    <w:p w14:paraId="5F80F20A" w14:textId="77777777" w:rsidR="00D02334" w:rsidRPr="00DD38C4" w:rsidRDefault="00D02334" w:rsidP="00D02334">
      <w:pPr>
        <w:spacing w:line="276" w:lineRule="auto"/>
        <w:jc w:val="both"/>
        <w:rPr>
          <w:rFonts w:asciiTheme="minorHAnsi" w:hAnsiTheme="minorHAnsi" w:cstheme="minorHAnsi"/>
          <w:sz w:val="18"/>
          <w:szCs w:val="18"/>
        </w:rPr>
      </w:pPr>
    </w:p>
    <w:p w14:paraId="70D24EEF" w14:textId="77777777" w:rsidR="00D02334" w:rsidRPr="00DD38C4" w:rsidRDefault="00D02334" w:rsidP="00D02334">
      <w:pPr>
        <w:spacing w:line="276" w:lineRule="auto"/>
        <w:jc w:val="both"/>
        <w:rPr>
          <w:rFonts w:asciiTheme="minorHAnsi" w:hAnsiTheme="minorHAnsi" w:cstheme="minorHAnsi"/>
          <w:sz w:val="18"/>
          <w:szCs w:val="18"/>
        </w:rPr>
      </w:pPr>
    </w:p>
    <w:p w14:paraId="4F2B16D7" w14:textId="37E7B839" w:rsidR="00DA494C" w:rsidRPr="00DD38C4" w:rsidRDefault="00DA494C" w:rsidP="00DA494C">
      <w:pPr>
        <w:spacing w:line="276" w:lineRule="auto"/>
        <w:jc w:val="both"/>
        <w:rPr>
          <w:rFonts w:asciiTheme="minorHAnsi" w:hAnsiTheme="minorHAnsi" w:cstheme="minorHAnsi"/>
          <w:sz w:val="18"/>
          <w:szCs w:val="18"/>
        </w:rPr>
      </w:pPr>
      <w:r w:rsidRPr="00DD38C4">
        <w:rPr>
          <w:rFonts w:asciiTheme="minorHAnsi" w:hAnsiTheme="minorHAnsi" w:cstheme="minorHAnsi"/>
          <w:sz w:val="18"/>
          <w:szCs w:val="18"/>
        </w:rPr>
        <w:t xml:space="preserve">Diese Leitlinie ist eine Grundlage für die Diagnostik und Therapie innerhalb </w:t>
      </w:r>
      <w:r w:rsidR="0082126B">
        <w:rPr>
          <w:rFonts w:asciiTheme="minorHAnsi" w:hAnsiTheme="minorHAnsi" w:cstheme="minorHAnsi"/>
          <w:sz w:val="18"/>
          <w:szCs w:val="18"/>
        </w:rPr>
        <w:t>des Tumorzentrums Oberösterreich</w:t>
      </w:r>
      <w:r w:rsidRPr="00DD38C4">
        <w:rPr>
          <w:rFonts w:asciiTheme="minorHAnsi" w:hAnsiTheme="minorHAnsi" w:cstheme="minorHAnsi"/>
          <w:sz w:val="18"/>
          <w:szCs w:val="18"/>
        </w:rPr>
        <w:t xml:space="preserve"> und erhebt nicht den Anspruch auf Vollständigkeit.</w:t>
      </w:r>
    </w:p>
    <w:p w14:paraId="43182539" w14:textId="77777777" w:rsidR="00DA494C" w:rsidRPr="00DD38C4" w:rsidRDefault="00DA494C" w:rsidP="00DA494C">
      <w:pPr>
        <w:spacing w:line="240" w:lineRule="auto"/>
        <w:jc w:val="both"/>
        <w:rPr>
          <w:rFonts w:ascii="Calibri" w:hAnsi="Calibri"/>
          <w:sz w:val="18"/>
        </w:rPr>
      </w:pPr>
      <w:r w:rsidRPr="00DD38C4">
        <w:rPr>
          <w:rFonts w:asciiTheme="minorHAnsi" w:hAnsiTheme="minorHAnsi" w:cstheme="minorHAnsi"/>
          <w:sz w:val="18"/>
          <w:szCs w:val="18"/>
        </w:rPr>
        <w:t>Darüberhinaus von den jeweiligen Fachgesellschaften festgelegte Qualitätsstandards sind dem Stand der Wissenschaft entsprechend einzubeziehen.</w:t>
      </w:r>
    </w:p>
    <w:p w14:paraId="1058E3DC" w14:textId="77777777" w:rsidR="00D02334" w:rsidRPr="00DD38C4" w:rsidRDefault="00D02334" w:rsidP="00D02334">
      <w:pPr>
        <w:spacing w:line="276" w:lineRule="auto"/>
        <w:jc w:val="both"/>
        <w:rPr>
          <w:rFonts w:asciiTheme="minorHAnsi" w:hAnsiTheme="minorHAnsi" w:cstheme="minorHAnsi"/>
          <w:sz w:val="18"/>
          <w:szCs w:val="18"/>
        </w:rPr>
        <w:sectPr w:rsidR="00D02334" w:rsidRPr="00DD38C4" w:rsidSect="00DA494C">
          <w:headerReference w:type="even" r:id="rId11"/>
          <w:headerReference w:type="default" r:id="rId12"/>
          <w:footerReference w:type="default" r:id="rId13"/>
          <w:headerReference w:type="first" r:id="rId14"/>
          <w:footerReference w:type="first" r:id="rId15"/>
          <w:pgSz w:w="11906" w:h="16838"/>
          <w:pgMar w:top="1560" w:right="1106" w:bottom="1134" w:left="1418" w:header="284" w:footer="403" w:gutter="0"/>
          <w:cols w:space="720"/>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3D2A34D5" w14:textId="77777777" w:rsidR="007F3064" w:rsidRPr="00DD38C4"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DD38C4">
            <w:rPr>
              <w:rFonts w:asciiTheme="minorHAnsi" w:hAnsiTheme="minorHAnsi" w:cstheme="minorHAnsi"/>
              <w:color w:val="auto"/>
              <w:sz w:val="28"/>
              <w:lang w:val="de-DE"/>
            </w:rPr>
            <w:t>Inhaltsverzeichnis</w:t>
          </w:r>
        </w:p>
        <w:p w14:paraId="173994EA" w14:textId="77777777" w:rsidR="007F3064" w:rsidRPr="00DD38C4" w:rsidRDefault="007F3064" w:rsidP="007F3064">
          <w:pPr>
            <w:rPr>
              <w:lang w:val="de-DE" w:eastAsia="de-AT"/>
            </w:rPr>
          </w:pPr>
        </w:p>
        <w:p w14:paraId="17129E11" w14:textId="77777777" w:rsidR="005B1AF3" w:rsidRPr="00DD38C4" w:rsidRDefault="00822E59">
          <w:pPr>
            <w:pStyle w:val="Verzeichnis1"/>
            <w:tabs>
              <w:tab w:val="left" w:pos="440"/>
              <w:tab w:val="right" w:leader="dot" w:pos="9372"/>
            </w:tabs>
            <w:rPr>
              <w:rFonts w:asciiTheme="minorHAnsi" w:eastAsiaTheme="minorEastAsia" w:hAnsiTheme="minorHAnsi" w:cstheme="minorHAnsi"/>
              <w:noProof/>
              <w:szCs w:val="22"/>
              <w:lang w:eastAsia="de-AT"/>
            </w:rPr>
          </w:pPr>
          <w:r w:rsidRPr="00DD38C4">
            <w:rPr>
              <w:rFonts w:asciiTheme="minorHAnsi" w:hAnsiTheme="minorHAnsi" w:cstheme="minorHAnsi"/>
            </w:rPr>
            <w:fldChar w:fldCharType="begin"/>
          </w:r>
          <w:r w:rsidR="007F3064" w:rsidRPr="00DD38C4">
            <w:rPr>
              <w:rFonts w:asciiTheme="minorHAnsi" w:hAnsiTheme="minorHAnsi" w:cstheme="minorHAnsi"/>
            </w:rPr>
            <w:instrText xml:space="preserve"> TOC \o "1-3" \h \z \u </w:instrText>
          </w:r>
          <w:r w:rsidRPr="00DD38C4">
            <w:rPr>
              <w:rFonts w:asciiTheme="minorHAnsi" w:hAnsiTheme="minorHAnsi" w:cstheme="minorHAnsi"/>
            </w:rPr>
            <w:fldChar w:fldCharType="separate"/>
          </w:r>
          <w:hyperlink w:anchor="_Toc15372119" w:history="1">
            <w:r w:rsidR="005B1AF3" w:rsidRPr="00DD38C4">
              <w:rPr>
                <w:rStyle w:val="Hyperlink"/>
                <w:rFonts w:asciiTheme="minorHAnsi" w:hAnsiTheme="minorHAnsi" w:cstheme="minorHAnsi"/>
                <w:noProof/>
              </w:rPr>
              <w:t>1</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Allgemeines</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_Toc15372119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3</w:t>
            </w:r>
            <w:r w:rsidR="005B1AF3" w:rsidRPr="00DD38C4">
              <w:rPr>
                <w:rFonts w:asciiTheme="minorHAnsi" w:hAnsiTheme="minorHAnsi" w:cstheme="minorHAnsi"/>
                <w:noProof/>
                <w:webHidden/>
              </w:rPr>
              <w:fldChar w:fldCharType="end"/>
            </w:r>
          </w:hyperlink>
        </w:p>
        <w:p w14:paraId="4046A979" w14:textId="77777777" w:rsidR="005B1AF3" w:rsidRPr="00DD38C4" w:rsidRDefault="006D4CF9">
          <w:pPr>
            <w:pStyle w:val="Verzeichnis1"/>
            <w:tabs>
              <w:tab w:val="left" w:pos="440"/>
              <w:tab w:val="right" w:leader="dot" w:pos="9372"/>
            </w:tabs>
            <w:rPr>
              <w:rFonts w:asciiTheme="minorHAnsi" w:eastAsiaTheme="minorEastAsia" w:hAnsiTheme="minorHAnsi" w:cstheme="minorHAnsi"/>
              <w:noProof/>
              <w:szCs w:val="22"/>
              <w:lang w:eastAsia="de-AT"/>
            </w:rPr>
          </w:pPr>
          <w:hyperlink w:anchor="_Toc15372120" w:history="1">
            <w:r w:rsidR="005B1AF3" w:rsidRPr="00DD38C4">
              <w:rPr>
                <w:rStyle w:val="Hyperlink"/>
                <w:rFonts w:asciiTheme="minorHAnsi" w:hAnsiTheme="minorHAnsi" w:cstheme="minorHAnsi"/>
                <w:noProof/>
              </w:rPr>
              <w:t>2</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Diagnostik und Scoring</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_Toc15372120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3</w:t>
            </w:r>
            <w:r w:rsidR="005B1AF3" w:rsidRPr="00DD38C4">
              <w:rPr>
                <w:rFonts w:asciiTheme="minorHAnsi" w:hAnsiTheme="minorHAnsi" w:cstheme="minorHAnsi"/>
                <w:noProof/>
                <w:webHidden/>
              </w:rPr>
              <w:fldChar w:fldCharType="end"/>
            </w:r>
          </w:hyperlink>
        </w:p>
        <w:p w14:paraId="71E062BE"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21" w:history="1">
            <w:r w:rsidR="005B1AF3" w:rsidRPr="00DD38C4">
              <w:rPr>
                <w:rStyle w:val="Hyperlink"/>
                <w:rFonts w:asciiTheme="minorHAnsi" w:hAnsiTheme="minorHAnsi" w:cstheme="minorHAnsi"/>
                <w:noProof/>
              </w:rPr>
              <w:t>2.1</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Diagnostik</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_Toc15372121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3</w:t>
            </w:r>
            <w:r w:rsidR="005B1AF3" w:rsidRPr="00DD38C4">
              <w:rPr>
                <w:rFonts w:asciiTheme="minorHAnsi" w:hAnsiTheme="minorHAnsi" w:cstheme="minorHAnsi"/>
                <w:noProof/>
                <w:webHidden/>
              </w:rPr>
              <w:fldChar w:fldCharType="end"/>
            </w:r>
          </w:hyperlink>
        </w:p>
        <w:p w14:paraId="4839006B"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22" w:history="1">
            <w:r w:rsidR="005B1AF3" w:rsidRPr="00DD38C4">
              <w:rPr>
                <w:rStyle w:val="Hyperlink"/>
                <w:rFonts w:asciiTheme="minorHAnsi" w:hAnsiTheme="minorHAnsi" w:cstheme="minorHAnsi"/>
                <w:noProof/>
              </w:rPr>
              <w:t>2.2</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TNM Klassifizierung Hodentumore (UICC 2016, 8. Auflage)</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_Toc15372122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4</w:t>
            </w:r>
            <w:r w:rsidR="005B1AF3" w:rsidRPr="00DD38C4">
              <w:rPr>
                <w:rFonts w:asciiTheme="minorHAnsi" w:hAnsiTheme="minorHAnsi" w:cstheme="minorHAnsi"/>
                <w:noProof/>
                <w:webHidden/>
              </w:rPr>
              <w:fldChar w:fldCharType="end"/>
            </w:r>
          </w:hyperlink>
        </w:p>
        <w:p w14:paraId="4DD1EA34"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23" w:history="1">
            <w:r w:rsidR="005B1AF3" w:rsidRPr="00DD38C4">
              <w:rPr>
                <w:rStyle w:val="Hyperlink"/>
                <w:rFonts w:asciiTheme="minorHAnsi" w:hAnsiTheme="minorHAnsi" w:cstheme="minorHAnsi"/>
                <w:noProof/>
              </w:rPr>
              <w:t>2.3</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Stadieneinteilung Hodentumore</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_Toc15372123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5</w:t>
            </w:r>
            <w:r w:rsidR="005B1AF3" w:rsidRPr="00DD38C4">
              <w:rPr>
                <w:rFonts w:asciiTheme="minorHAnsi" w:hAnsiTheme="minorHAnsi" w:cstheme="minorHAnsi"/>
                <w:noProof/>
                <w:webHidden/>
              </w:rPr>
              <w:fldChar w:fldCharType="end"/>
            </w:r>
          </w:hyperlink>
        </w:p>
        <w:p w14:paraId="0912A4DC"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24" w:history="1">
            <w:r w:rsidR="005B1AF3" w:rsidRPr="00DD38C4">
              <w:rPr>
                <w:rStyle w:val="Hyperlink"/>
                <w:rFonts w:asciiTheme="minorHAnsi" w:hAnsiTheme="minorHAnsi" w:cstheme="minorHAnsi"/>
                <w:noProof/>
              </w:rPr>
              <w:t>2.4</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Prognosegruppen (International Germ Cell Cancer Collaborative Group)</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_Toc15372124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6</w:t>
            </w:r>
            <w:r w:rsidR="005B1AF3" w:rsidRPr="00DD38C4">
              <w:rPr>
                <w:rFonts w:asciiTheme="minorHAnsi" w:hAnsiTheme="minorHAnsi" w:cstheme="minorHAnsi"/>
                <w:noProof/>
                <w:webHidden/>
              </w:rPr>
              <w:fldChar w:fldCharType="end"/>
            </w:r>
          </w:hyperlink>
        </w:p>
        <w:p w14:paraId="2B4B48D7" w14:textId="77777777" w:rsidR="005B1AF3" w:rsidRPr="00DD38C4" w:rsidRDefault="006D4CF9">
          <w:pPr>
            <w:pStyle w:val="Verzeichnis1"/>
            <w:tabs>
              <w:tab w:val="left" w:pos="440"/>
              <w:tab w:val="right" w:leader="dot" w:pos="9372"/>
            </w:tabs>
            <w:rPr>
              <w:rFonts w:asciiTheme="minorHAnsi" w:eastAsiaTheme="minorEastAsia" w:hAnsiTheme="minorHAnsi" w:cstheme="minorHAnsi"/>
              <w:noProof/>
              <w:szCs w:val="22"/>
              <w:lang w:eastAsia="de-AT"/>
            </w:rPr>
          </w:pPr>
          <w:hyperlink w:anchor="_Toc15372125" w:history="1">
            <w:r w:rsidR="005B1AF3" w:rsidRPr="00DD38C4">
              <w:rPr>
                <w:rStyle w:val="Hyperlink"/>
                <w:rFonts w:asciiTheme="minorHAnsi" w:hAnsiTheme="minorHAnsi" w:cstheme="minorHAnsi"/>
                <w:noProof/>
              </w:rPr>
              <w:t>3</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Behandlungsplan</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_Toc15372125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7</w:t>
            </w:r>
            <w:r w:rsidR="005B1AF3" w:rsidRPr="00DD38C4">
              <w:rPr>
                <w:rFonts w:asciiTheme="minorHAnsi" w:hAnsiTheme="minorHAnsi" w:cstheme="minorHAnsi"/>
                <w:noProof/>
                <w:webHidden/>
              </w:rPr>
              <w:fldChar w:fldCharType="end"/>
            </w:r>
          </w:hyperlink>
        </w:p>
        <w:p w14:paraId="02362D70"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26" w:history="1">
            <w:r w:rsidR="005B1AF3" w:rsidRPr="00DD38C4">
              <w:rPr>
                <w:rStyle w:val="Hyperlink"/>
                <w:rFonts w:asciiTheme="minorHAnsi" w:hAnsiTheme="minorHAnsi" w:cstheme="minorHAnsi"/>
                <w:noProof/>
              </w:rPr>
              <w:t>3.1</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Seminom</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_Toc15372126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8</w:t>
            </w:r>
            <w:r w:rsidR="005B1AF3" w:rsidRPr="00DD38C4">
              <w:rPr>
                <w:rFonts w:asciiTheme="minorHAnsi" w:hAnsiTheme="minorHAnsi" w:cstheme="minorHAnsi"/>
                <w:noProof/>
                <w:webHidden/>
              </w:rPr>
              <w:fldChar w:fldCharType="end"/>
            </w:r>
          </w:hyperlink>
        </w:p>
        <w:p w14:paraId="7379C02E"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27" w:history="1">
            <w:r w:rsidR="005B1AF3" w:rsidRPr="00DD38C4">
              <w:rPr>
                <w:rStyle w:val="Hyperlink"/>
                <w:rFonts w:asciiTheme="minorHAnsi" w:hAnsiTheme="minorHAnsi" w:cstheme="minorHAnsi"/>
                <w:noProof/>
              </w:rPr>
              <w:t>3.2</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Nicht Seminom</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_Toc15372127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9</w:t>
            </w:r>
            <w:r w:rsidR="005B1AF3" w:rsidRPr="00DD38C4">
              <w:rPr>
                <w:rFonts w:asciiTheme="minorHAnsi" w:hAnsiTheme="minorHAnsi" w:cstheme="minorHAnsi"/>
                <w:noProof/>
                <w:webHidden/>
              </w:rPr>
              <w:fldChar w:fldCharType="end"/>
            </w:r>
          </w:hyperlink>
        </w:p>
        <w:p w14:paraId="20CEA225"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28" w:history="1">
            <w:r w:rsidR="005B1AF3" w:rsidRPr="00DD38C4">
              <w:rPr>
                <w:rStyle w:val="Hyperlink"/>
                <w:rFonts w:asciiTheme="minorHAnsi" w:hAnsiTheme="minorHAnsi" w:cstheme="minorHAnsi"/>
                <w:noProof/>
              </w:rPr>
              <w:t>3.3</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Nicht Seminom Stadium IIA</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_Toc15372128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9</w:t>
            </w:r>
            <w:r w:rsidR="005B1AF3" w:rsidRPr="00DD38C4">
              <w:rPr>
                <w:rFonts w:asciiTheme="minorHAnsi" w:hAnsiTheme="minorHAnsi" w:cstheme="minorHAnsi"/>
                <w:noProof/>
                <w:webHidden/>
              </w:rPr>
              <w:fldChar w:fldCharType="end"/>
            </w:r>
          </w:hyperlink>
        </w:p>
        <w:p w14:paraId="322F328B" w14:textId="77777777" w:rsidR="005B1AF3" w:rsidRPr="00DD38C4" w:rsidRDefault="006D4CF9">
          <w:pPr>
            <w:pStyle w:val="Verzeichnis1"/>
            <w:tabs>
              <w:tab w:val="left" w:pos="440"/>
              <w:tab w:val="right" w:leader="dot" w:pos="9372"/>
            </w:tabs>
            <w:rPr>
              <w:rFonts w:asciiTheme="minorHAnsi" w:eastAsiaTheme="minorEastAsia" w:hAnsiTheme="minorHAnsi" w:cstheme="minorHAnsi"/>
              <w:noProof/>
              <w:szCs w:val="22"/>
              <w:lang w:eastAsia="de-AT"/>
            </w:rPr>
          </w:pPr>
          <w:hyperlink w:anchor="_Toc15372129" w:history="1">
            <w:r w:rsidR="005B1AF3" w:rsidRPr="00DD38C4">
              <w:rPr>
                <w:rStyle w:val="Hyperlink"/>
                <w:rFonts w:asciiTheme="minorHAnsi" w:hAnsiTheme="minorHAnsi" w:cstheme="minorHAnsi"/>
                <w:noProof/>
              </w:rPr>
              <w:t>4</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Besondere klinische Situationen</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_Toc15372129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10</w:t>
            </w:r>
            <w:r w:rsidR="005B1AF3" w:rsidRPr="00DD38C4">
              <w:rPr>
                <w:rFonts w:asciiTheme="minorHAnsi" w:hAnsiTheme="minorHAnsi" w:cstheme="minorHAnsi"/>
                <w:noProof/>
                <w:webHidden/>
              </w:rPr>
              <w:fldChar w:fldCharType="end"/>
            </w:r>
          </w:hyperlink>
        </w:p>
        <w:p w14:paraId="57B2D4D0" w14:textId="77777777" w:rsidR="005B1AF3" w:rsidRPr="00DD38C4" w:rsidRDefault="005B1AF3" w:rsidP="005B1AF3">
          <w:pPr>
            <w:pStyle w:val="Verzeichnis2"/>
            <w:rPr>
              <w:rFonts w:asciiTheme="minorHAnsi" w:eastAsiaTheme="minorEastAsia" w:hAnsiTheme="minorHAnsi" w:cstheme="minorHAnsi"/>
              <w:noProof/>
              <w:szCs w:val="22"/>
              <w:lang w:eastAsia="de-AT"/>
            </w:rPr>
          </w:pPr>
          <w:r w:rsidRPr="00DD38C4">
            <w:rPr>
              <w:rStyle w:val="Hyperlink"/>
              <w:rFonts w:asciiTheme="minorHAnsi" w:hAnsiTheme="minorHAnsi" w:cstheme="minorHAnsi"/>
              <w:noProof/>
              <w:u w:val="none"/>
            </w:rPr>
            <w:t xml:space="preserve">            </w:t>
          </w:r>
          <w:hyperlink w:anchor="_Toc15372130" w:history="1">
            <w:r w:rsidRPr="00DD38C4">
              <w:rPr>
                <w:rStyle w:val="Hyperlink"/>
                <w:rFonts w:asciiTheme="minorHAnsi" w:hAnsiTheme="minorHAnsi" w:cstheme="minorHAnsi"/>
                <w:noProof/>
                <w:lang w:eastAsia="de-AT"/>
              </w:rPr>
              <w:t>Indikation zur autologen SCT</w:t>
            </w:r>
            <w:r w:rsidRPr="00DD38C4">
              <w:rPr>
                <w:rFonts w:asciiTheme="minorHAnsi" w:hAnsiTheme="minorHAnsi" w:cstheme="minorHAnsi"/>
                <w:noProof/>
                <w:webHidden/>
              </w:rPr>
              <w:tab/>
            </w:r>
            <w:r w:rsidRPr="00DD38C4">
              <w:rPr>
                <w:rFonts w:asciiTheme="minorHAnsi" w:hAnsiTheme="minorHAnsi" w:cstheme="minorHAnsi"/>
                <w:noProof/>
                <w:webHidden/>
              </w:rPr>
              <w:fldChar w:fldCharType="begin"/>
            </w:r>
            <w:r w:rsidRPr="00DD38C4">
              <w:rPr>
                <w:rFonts w:asciiTheme="minorHAnsi" w:hAnsiTheme="minorHAnsi" w:cstheme="minorHAnsi"/>
                <w:noProof/>
                <w:webHidden/>
              </w:rPr>
              <w:instrText xml:space="preserve"> PAGEREF _Toc15372130 \h </w:instrText>
            </w:r>
            <w:r w:rsidRPr="00DD38C4">
              <w:rPr>
                <w:rFonts w:asciiTheme="minorHAnsi" w:hAnsiTheme="minorHAnsi" w:cstheme="minorHAnsi"/>
                <w:noProof/>
                <w:webHidden/>
              </w:rPr>
            </w:r>
            <w:r w:rsidRPr="00DD38C4">
              <w:rPr>
                <w:rFonts w:asciiTheme="minorHAnsi" w:hAnsiTheme="minorHAnsi" w:cstheme="minorHAnsi"/>
                <w:noProof/>
                <w:webHidden/>
              </w:rPr>
              <w:fldChar w:fldCharType="separate"/>
            </w:r>
            <w:r w:rsidRPr="00DD38C4">
              <w:rPr>
                <w:rFonts w:asciiTheme="minorHAnsi" w:hAnsiTheme="minorHAnsi" w:cstheme="minorHAnsi"/>
                <w:noProof/>
                <w:webHidden/>
              </w:rPr>
              <w:t>10</w:t>
            </w:r>
            <w:r w:rsidRPr="00DD38C4">
              <w:rPr>
                <w:rFonts w:asciiTheme="minorHAnsi" w:hAnsiTheme="minorHAnsi" w:cstheme="minorHAnsi"/>
                <w:noProof/>
                <w:webHidden/>
              </w:rPr>
              <w:fldChar w:fldCharType="end"/>
            </w:r>
          </w:hyperlink>
        </w:p>
        <w:p w14:paraId="029B12FF" w14:textId="77777777" w:rsidR="005B1AF3" w:rsidRPr="00DD38C4" w:rsidRDefault="006D4CF9">
          <w:pPr>
            <w:pStyle w:val="Verzeichnis1"/>
            <w:tabs>
              <w:tab w:val="left" w:pos="440"/>
              <w:tab w:val="right" w:leader="dot" w:pos="9372"/>
            </w:tabs>
            <w:rPr>
              <w:rFonts w:asciiTheme="minorHAnsi" w:eastAsiaTheme="minorEastAsia" w:hAnsiTheme="minorHAnsi" w:cstheme="minorHAnsi"/>
              <w:noProof/>
              <w:szCs w:val="22"/>
              <w:lang w:eastAsia="de-AT"/>
            </w:rPr>
          </w:pPr>
          <w:hyperlink w:anchor="_Toc15372131" w:history="1">
            <w:r w:rsidR="005B1AF3" w:rsidRPr="00DD38C4">
              <w:rPr>
                <w:rStyle w:val="Hyperlink"/>
                <w:rFonts w:asciiTheme="minorHAnsi" w:hAnsiTheme="minorHAnsi" w:cstheme="minorHAnsi"/>
                <w:noProof/>
              </w:rPr>
              <w:t>5</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Verlaufskontrolle und Nachsorge</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_Toc15372131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11</w:t>
            </w:r>
            <w:r w:rsidR="005B1AF3" w:rsidRPr="00DD38C4">
              <w:rPr>
                <w:rFonts w:asciiTheme="minorHAnsi" w:hAnsiTheme="minorHAnsi" w:cstheme="minorHAnsi"/>
                <w:noProof/>
                <w:webHidden/>
              </w:rPr>
              <w:fldChar w:fldCharType="end"/>
            </w:r>
          </w:hyperlink>
        </w:p>
        <w:p w14:paraId="1234758A"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32" w:history="1">
            <w:r w:rsidR="005B1AF3" w:rsidRPr="00DD38C4">
              <w:rPr>
                <w:rStyle w:val="Hyperlink"/>
                <w:rFonts w:asciiTheme="minorHAnsi" w:hAnsiTheme="minorHAnsi" w:cstheme="minorHAnsi"/>
                <w:noProof/>
              </w:rPr>
              <w:t>5.1</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Minimales Follow-up für Seminom Stadium I in active surveillance oder nach adjuvanter Behandlung (Carboplatin oder Bestrahlung)</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_Toc15372132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11</w:t>
            </w:r>
            <w:r w:rsidR="005B1AF3" w:rsidRPr="00DD38C4">
              <w:rPr>
                <w:rFonts w:asciiTheme="minorHAnsi" w:hAnsiTheme="minorHAnsi" w:cstheme="minorHAnsi"/>
                <w:noProof/>
                <w:webHidden/>
              </w:rPr>
              <w:fldChar w:fldCharType="end"/>
            </w:r>
          </w:hyperlink>
        </w:p>
        <w:p w14:paraId="018DEBC2"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33" w:history="1">
            <w:r w:rsidR="005B1AF3" w:rsidRPr="00DD38C4">
              <w:rPr>
                <w:rStyle w:val="Hyperlink"/>
                <w:rFonts w:asciiTheme="minorHAnsi" w:hAnsiTheme="minorHAnsi" w:cstheme="minorHAnsi"/>
                <w:noProof/>
              </w:rPr>
              <w:t>5.2</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Minimales Follow-up für nicht-Seminom Stadium I in active surveillance</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_Toc15372133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11</w:t>
            </w:r>
            <w:r w:rsidR="005B1AF3" w:rsidRPr="00DD38C4">
              <w:rPr>
                <w:rFonts w:asciiTheme="minorHAnsi" w:hAnsiTheme="minorHAnsi" w:cstheme="minorHAnsi"/>
                <w:noProof/>
                <w:webHidden/>
              </w:rPr>
              <w:fldChar w:fldCharType="end"/>
            </w:r>
          </w:hyperlink>
        </w:p>
        <w:p w14:paraId="3C9A1392" w14:textId="77777777" w:rsidR="005B1AF3" w:rsidRPr="00DD38C4" w:rsidRDefault="006D4CF9" w:rsidP="005B1AF3">
          <w:pPr>
            <w:pStyle w:val="Verzeichnis2"/>
            <w:rPr>
              <w:rFonts w:asciiTheme="minorHAnsi" w:eastAsiaTheme="minorEastAsia" w:hAnsiTheme="minorHAnsi" w:cstheme="minorHAnsi"/>
              <w:noProof/>
              <w:szCs w:val="22"/>
              <w:lang w:eastAsia="de-AT"/>
            </w:rPr>
          </w:pPr>
          <w:hyperlink w:anchor="_Toc15372134" w:history="1">
            <w:r w:rsidR="005B1AF3" w:rsidRPr="00DD38C4">
              <w:rPr>
                <w:rStyle w:val="Hyperlink"/>
                <w:rFonts w:asciiTheme="minorHAnsi" w:hAnsiTheme="minorHAnsi" w:cstheme="minorHAnsi"/>
                <w:noProof/>
              </w:rPr>
              <w:t>5.3</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Follow-up nach adjuvanter Behandlung oder kompletter Remission bei fortgeschrittener Erkrankung (ausgenommen: „poor prognosis“ und keine Remission)</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_Toc15372134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11</w:t>
            </w:r>
            <w:r w:rsidR="005B1AF3" w:rsidRPr="00DD38C4">
              <w:rPr>
                <w:rFonts w:asciiTheme="minorHAnsi" w:hAnsiTheme="minorHAnsi" w:cstheme="minorHAnsi"/>
                <w:noProof/>
                <w:webHidden/>
              </w:rPr>
              <w:fldChar w:fldCharType="end"/>
            </w:r>
          </w:hyperlink>
        </w:p>
        <w:p w14:paraId="7DED9450" w14:textId="77777777" w:rsidR="005B1AF3" w:rsidRPr="00DD38C4" w:rsidRDefault="006D4CF9">
          <w:pPr>
            <w:pStyle w:val="Verzeichnis1"/>
            <w:tabs>
              <w:tab w:val="left" w:pos="440"/>
              <w:tab w:val="right" w:leader="dot" w:pos="9372"/>
            </w:tabs>
            <w:rPr>
              <w:rFonts w:asciiTheme="minorHAnsi" w:eastAsiaTheme="minorEastAsia" w:hAnsiTheme="minorHAnsi" w:cstheme="minorHAnsi"/>
              <w:noProof/>
              <w:szCs w:val="22"/>
              <w:lang w:eastAsia="de-AT"/>
            </w:rPr>
          </w:pPr>
          <w:hyperlink w:anchor="_Toc15372135" w:history="1">
            <w:r w:rsidR="005B1AF3" w:rsidRPr="00DD38C4">
              <w:rPr>
                <w:rStyle w:val="Hyperlink"/>
                <w:rFonts w:asciiTheme="minorHAnsi" w:hAnsiTheme="minorHAnsi" w:cstheme="minorHAnsi"/>
                <w:noProof/>
              </w:rPr>
              <w:t>6</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rPr>
              <w:t>Dokumentation und Qualitätsparameter</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_Toc15372135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12</w:t>
            </w:r>
            <w:r w:rsidR="005B1AF3" w:rsidRPr="00DD38C4">
              <w:rPr>
                <w:rFonts w:asciiTheme="minorHAnsi" w:hAnsiTheme="minorHAnsi" w:cstheme="minorHAnsi"/>
                <w:noProof/>
                <w:webHidden/>
              </w:rPr>
              <w:fldChar w:fldCharType="end"/>
            </w:r>
          </w:hyperlink>
        </w:p>
        <w:p w14:paraId="1E5FC949" w14:textId="77777777" w:rsidR="005B1AF3" w:rsidRPr="00DD38C4" w:rsidRDefault="006D4CF9">
          <w:pPr>
            <w:pStyle w:val="Verzeichnis1"/>
            <w:tabs>
              <w:tab w:val="left" w:pos="440"/>
              <w:tab w:val="right" w:leader="dot" w:pos="9372"/>
            </w:tabs>
            <w:rPr>
              <w:rFonts w:asciiTheme="minorHAnsi" w:eastAsiaTheme="minorEastAsia" w:hAnsiTheme="minorHAnsi" w:cstheme="minorHAnsi"/>
              <w:noProof/>
              <w:szCs w:val="22"/>
              <w:lang w:eastAsia="de-AT"/>
            </w:rPr>
          </w:pPr>
          <w:hyperlink w:anchor="_Toc15372136" w:history="1">
            <w:r w:rsidR="005B1AF3" w:rsidRPr="00DD38C4">
              <w:rPr>
                <w:rStyle w:val="Hyperlink"/>
                <w:rFonts w:asciiTheme="minorHAnsi" w:hAnsiTheme="minorHAnsi" w:cstheme="minorHAnsi"/>
                <w:noProof/>
                <w:lang w:val="en-GB"/>
              </w:rPr>
              <w:t>7</w:t>
            </w:r>
            <w:r w:rsidR="005B1AF3" w:rsidRPr="00DD38C4">
              <w:rPr>
                <w:rFonts w:asciiTheme="minorHAnsi" w:eastAsiaTheme="minorEastAsia" w:hAnsiTheme="minorHAnsi" w:cstheme="minorHAnsi"/>
                <w:noProof/>
                <w:szCs w:val="22"/>
                <w:lang w:eastAsia="de-AT"/>
              </w:rPr>
              <w:tab/>
            </w:r>
            <w:r w:rsidR="005B1AF3" w:rsidRPr="00DD38C4">
              <w:rPr>
                <w:rStyle w:val="Hyperlink"/>
                <w:rFonts w:asciiTheme="minorHAnsi" w:hAnsiTheme="minorHAnsi" w:cstheme="minorHAnsi"/>
                <w:noProof/>
                <w:lang w:val="en-GB"/>
              </w:rPr>
              <w:t>Literatur/Quellenangaben</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_Toc15372136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12</w:t>
            </w:r>
            <w:r w:rsidR="005B1AF3" w:rsidRPr="00DD38C4">
              <w:rPr>
                <w:rFonts w:asciiTheme="minorHAnsi" w:hAnsiTheme="minorHAnsi" w:cstheme="minorHAnsi"/>
                <w:noProof/>
                <w:webHidden/>
              </w:rPr>
              <w:fldChar w:fldCharType="end"/>
            </w:r>
          </w:hyperlink>
        </w:p>
        <w:p w14:paraId="5BB9B1B0" w14:textId="77777777" w:rsidR="005B1AF3" w:rsidRPr="00DD38C4" w:rsidRDefault="006D4CF9">
          <w:pPr>
            <w:pStyle w:val="Verzeichnis1"/>
            <w:tabs>
              <w:tab w:val="right" w:leader="dot" w:pos="9372"/>
            </w:tabs>
            <w:rPr>
              <w:rFonts w:asciiTheme="minorHAnsi" w:eastAsiaTheme="minorEastAsia" w:hAnsiTheme="minorHAnsi" w:cstheme="minorHAnsi"/>
              <w:noProof/>
              <w:szCs w:val="22"/>
              <w:lang w:eastAsia="de-AT"/>
            </w:rPr>
          </w:pPr>
          <w:hyperlink w:anchor="_Toc15372137" w:history="1">
            <w:r w:rsidR="005B1AF3" w:rsidRPr="00DD38C4">
              <w:rPr>
                <w:rStyle w:val="Hyperlink"/>
                <w:rFonts w:asciiTheme="minorHAnsi" w:hAnsiTheme="minorHAnsi" w:cstheme="minorHAnsi"/>
                <w:noProof/>
                <w:lang w:val="en-GB"/>
              </w:rPr>
              <w:t>Anhang: Therapieprotokolle</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_Toc15372137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12</w:t>
            </w:r>
            <w:r w:rsidR="005B1AF3" w:rsidRPr="00DD38C4">
              <w:rPr>
                <w:rFonts w:asciiTheme="minorHAnsi" w:hAnsiTheme="minorHAnsi" w:cstheme="minorHAnsi"/>
                <w:noProof/>
                <w:webHidden/>
              </w:rPr>
              <w:fldChar w:fldCharType="end"/>
            </w:r>
          </w:hyperlink>
        </w:p>
        <w:p w14:paraId="7DE2814E" w14:textId="77777777" w:rsidR="005B1AF3" w:rsidRPr="00DD38C4" w:rsidRDefault="006D4CF9">
          <w:pPr>
            <w:pStyle w:val="Verzeichnis1"/>
            <w:tabs>
              <w:tab w:val="right" w:leader="dot" w:pos="9372"/>
            </w:tabs>
            <w:rPr>
              <w:rFonts w:asciiTheme="minorHAnsi" w:eastAsiaTheme="minorEastAsia" w:hAnsiTheme="minorHAnsi" w:cstheme="minorHAnsi"/>
              <w:noProof/>
              <w:szCs w:val="22"/>
              <w:lang w:eastAsia="de-AT"/>
            </w:rPr>
          </w:pPr>
          <w:hyperlink w:anchor="_Toc15372138" w:history="1">
            <w:r w:rsidR="005B1AF3" w:rsidRPr="00DD38C4">
              <w:rPr>
                <w:rStyle w:val="Hyperlink"/>
                <w:rFonts w:asciiTheme="minorHAnsi" w:hAnsiTheme="minorHAnsi" w:cstheme="minorHAnsi"/>
                <w:noProof/>
              </w:rPr>
              <w:t>Anhang: Studienblatt (optional)</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_Toc15372138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12</w:t>
            </w:r>
            <w:r w:rsidR="005B1AF3" w:rsidRPr="00DD38C4">
              <w:rPr>
                <w:rFonts w:asciiTheme="minorHAnsi" w:hAnsiTheme="minorHAnsi" w:cstheme="minorHAnsi"/>
                <w:noProof/>
                <w:webHidden/>
              </w:rPr>
              <w:fldChar w:fldCharType="end"/>
            </w:r>
          </w:hyperlink>
        </w:p>
        <w:p w14:paraId="75877B67" w14:textId="77777777" w:rsidR="005B1AF3" w:rsidRPr="00DD38C4" w:rsidRDefault="006D4CF9">
          <w:pPr>
            <w:pStyle w:val="Verzeichnis1"/>
            <w:tabs>
              <w:tab w:val="right" w:leader="dot" w:pos="9372"/>
            </w:tabs>
            <w:rPr>
              <w:rFonts w:asciiTheme="minorHAnsi" w:eastAsiaTheme="minorEastAsia" w:hAnsiTheme="minorHAnsi" w:cstheme="minorHAnsi"/>
              <w:noProof/>
              <w:szCs w:val="22"/>
              <w:lang w:eastAsia="de-AT"/>
            </w:rPr>
          </w:pPr>
          <w:hyperlink w:anchor="_Toc15372139" w:history="1">
            <w:r w:rsidR="005B1AF3" w:rsidRPr="00DD38C4">
              <w:rPr>
                <w:rStyle w:val="Hyperlink"/>
                <w:rFonts w:asciiTheme="minorHAnsi" w:hAnsiTheme="minorHAnsi" w:cstheme="minorHAnsi"/>
                <w:noProof/>
              </w:rPr>
              <w:t>Anhang: Wirtschaftliche Analyse (optional)</w:t>
            </w:r>
            <w:r w:rsidR="005B1AF3" w:rsidRPr="00DD38C4">
              <w:rPr>
                <w:rFonts w:asciiTheme="minorHAnsi" w:hAnsiTheme="minorHAnsi" w:cstheme="minorHAnsi"/>
                <w:noProof/>
                <w:webHidden/>
              </w:rPr>
              <w:tab/>
            </w:r>
            <w:r w:rsidR="005B1AF3" w:rsidRPr="00DD38C4">
              <w:rPr>
                <w:rFonts w:asciiTheme="minorHAnsi" w:hAnsiTheme="minorHAnsi" w:cstheme="minorHAnsi"/>
                <w:noProof/>
                <w:webHidden/>
              </w:rPr>
              <w:fldChar w:fldCharType="begin"/>
            </w:r>
            <w:r w:rsidR="005B1AF3" w:rsidRPr="00DD38C4">
              <w:rPr>
                <w:rFonts w:asciiTheme="minorHAnsi" w:hAnsiTheme="minorHAnsi" w:cstheme="minorHAnsi"/>
                <w:noProof/>
                <w:webHidden/>
              </w:rPr>
              <w:instrText xml:space="preserve"> PAGEREF _Toc15372139 \h </w:instrText>
            </w:r>
            <w:r w:rsidR="005B1AF3" w:rsidRPr="00DD38C4">
              <w:rPr>
                <w:rFonts w:asciiTheme="minorHAnsi" w:hAnsiTheme="minorHAnsi" w:cstheme="minorHAnsi"/>
                <w:noProof/>
                <w:webHidden/>
              </w:rPr>
            </w:r>
            <w:r w:rsidR="005B1AF3" w:rsidRPr="00DD38C4">
              <w:rPr>
                <w:rFonts w:asciiTheme="minorHAnsi" w:hAnsiTheme="minorHAnsi" w:cstheme="minorHAnsi"/>
                <w:noProof/>
                <w:webHidden/>
              </w:rPr>
              <w:fldChar w:fldCharType="separate"/>
            </w:r>
            <w:r w:rsidR="005B1AF3" w:rsidRPr="00DD38C4">
              <w:rPr>
                <w:rFonts w:asciiTheme="minorHAnsi" w:hAnsiTheme="minorHAnsi" w:cstheme="minorHAnsi"/>
                <w:noProof/>
                <w:webHidden/>
              </w:rPr>
              <w:t>12</w:t>
            </w:r>
            <w:r w:rsidR="005B1AF3" w:rsidRPr="00DD38C4">
              <w:rPr>
                <w:rFonts w:asciiTheme="minorHAnsi" w:hAnsiTheme="minorHAnsi" w:cstheme="minorHAnsi"/>
                <w:noProof/>
                <w:webHidden/>
              </w:rPr>
              <w:fldChar w:fldCharType="end"/>
            </w:r>
          </w:hyperlink>
        </w:p>
        <w:p w14:paraId="6996182D" w14:textId="77777777" w:rsidR="007F3064" w:rsidRPr="00DD38C4" w:rsidRDefault="00822E59">
          <w:r w:rsidRPr="00DD38C4">
            <w:rPr>
              <w:rFonts w:asciiTheme="minorHAnsi" w:hAnsiTheme="minorHAnsi" w:cstheme="minorHAnsi"/>
              <w:b/>
              <w:bCs/>
              <w:lang w:val="de-DE"/>
            </w:rPr>
            <w:fldChar w:fldCharType="end"/>
          </w:r>
        </w:p>
      </w:sdtContent>
    </w:sdt>
    <w:p w14:paraId="3E2A56A2" w14:textId="77777777" w:rsidR="007F3064" w:rsidRPr="00DD38C4" w:rsidRDefault="007F3064" w:rsidP="007F3064">
      <w:pPr>
        <w:jc w:val="left"/>
      </w:pPr>
    </w:p>
    <w:p w14:paraId="794A47FC" w14:textId="77777777" w:rsidR="00ED24ED" w:rsidRPr="00DD38C4" w:rsidRDefault="00ED24ED" w:rsidP="007F3064">
      <w:pPr>
        <w:jc w:val="left"/>
      </w:pPr>
    </w:p>
    <w:p w14:paraId="31B88529" w14:textId="77777777" w:rsidR="006D4DAC" w:rsidRPr="00DD38C4" w:rsidRDefault="006D4DAC" w:rsidP="007F3064">
      <w:pPr>
        <w:pStyle w:val="berschrift1"/>
      </w:pPr>
      <w:bookmarkStart w:id="1" w:name="_Toc367183615"/>
      <w:bookmarkStart w:id="2" w:name="_Toc367183853"/>
      <w:bookmarkStart w:id="3" w:name="_Toc15372119"/>
      <w:r w:rsidRPr="00DD38C4">
        <w:lastRenderedPageBreak/>
        <w:t>1</w:t>
      </w:r>
      <w:r w:rsidRPr="00DD38C4">
        <w:tab/>
      </w:r>
      <w:bookmarkEnd w:id="1"/>
      <w:bookmarkEnd w:id="2"/>
      <w:r w:rsidR="0049768A" w:rsidRPr="00DD38C4">
        <w:t>Allgemeines</w:t>
      </w:r>
      <w:bookmarkEnd w:id="3"/>
    </w:p>
    <w:p w14:paraId="0ED93E0E" w14:textId="77777777" w:rsidR="00D777C4" w:rsidRPr="00DD38C4" w:rsidRDefault="00351D0F" w:rsidP="00D777C4">
      <w:pPr>
        <w:pStyle w:val="Textkrper-Einzug2"/>
        <w:spacing w:after="0" w:line="276" w:lineRule="auto"/>
        <w:ind w:left="0"/>
        <w:jc w:val="both"/>
        <w:rPr>
          <w:rFonts w:asciiTheme="minorHAnsi" w:hAnsiTheme="minorHAnsi" w:cstheme="minorHAnsi"/>
          <w:i/>
          <w:szCs w:val="22"/>
        </w:rPr>
      </w:pPr>
      <w:r w:rsidRPr="00DD38C4">
        <w:rPr>
          <w:rFonts w:asciiTheme="minorHAnsi" w:hAnsiTheme="minorHAnsi" w:cstheme="minorHAnsi"/>
          <w:i/>
          <w:szCs w:val="22"/>
        </w:rPr>
        <w:t>---</w:t>
      </w:r>
    </w:p>
    <w:p w14:paraId="3F2E4F7D" w14:textId="77777777" w:rsidR="001D11C7" w:rsidRPr="00DD38C4" w:rsidRDefault="001D11C7" w:rsidP="007F3064">
      <w:pPr>
        <w:pStyle w:val="Textkrper-Einzug2"/>
        <w:spacing w:line="276" w:lineRule="auto"/>
        <w:ind w:left="0"/>
        <w:jc w:val="both"/>
        <w:rPr>
          <w:rFonts w:asciiTheme="minorHAnsi" w:hAnsiTheme="minorHAnsi" w:cstheme="minorHAnsi"/>
          <w:i/>
          <w:szCs w:val="22"/>
        </w:rPr>
      </w:pPr>
    </w:p>
    <w:p w14:paraId="6EAC5549" w14:textId="77777777" w:rsidR="006D4DAC" w:rsidRPr="00DD38C4" w:rsidRDefault="00913D1D" w:rsidP="007F3064">
      <w:pPr>
        <w:pStyle w:val="berschrift1"/>
      </w:pPr>
      <w:bookmarkStart w:id="4" w:name="_Toc15372120"/>
      <w:r w:rsidRPr="00DD38C4">
        <w:t>2</w:t>
      </w:r>
      <w:r w:rsidRPr="00DD38C4">
        <w:tab/>
      </w:r>
      <w:r w:rsidR="0049768A" w:rsidRPr="00DD38C4">
        <w:t>Diagnostik und Scoring</w:t>
      </w:r>
      <w:bookmarkEnd w:id="4"/>
    </w:p>
    <w:p w14:paraId="6450BA6B" w14:textId="77777777" w:rsidR="007C6982" w:rsidRPr="00DD38C4" w:rsidRDefault="007C6982" w:rsidP="007C6982">
      <w:pPr>
        <w:pStyle w:val="berschrift2"/>
      </w:pPr>
      <w:bookmarkStart w:id="5" w:name="_Toc15372121"/>
      <w:r w:rsidRPr="00DD38C4">
        <w:t>2.1</w:t>
      </w:r>
      <w:r w:rsidRPr="00DD38C4">
        <w:tab/>
        <w:t>Diagnostik</w:t>
      </w:r>
      <w:bookmarkEnd w:id="5"/>
    </w:p>
    <w:p w14:paraId="080C801A" w14:textId="77777777" w:rsidR="00351D0F" w:rsidRPr="00DD38C4" w:rsidRDefault="00351D0F" w:rsidP="00351D0F">
      <w:pPr>
        <w:pStyle w:val="Textkrper-Einzug2"/>
        <w:numPr>
          <w:ilvl w:val="0"/>
          <w:numId w:val="16"/>
        </w:numPr>
        <w:spacing w:line="276" w:lineRule="auto"/>
        <w:ind w:left="567" w:hanging="567"/>
        <w:jc w:val="both"/>
        <w:rPr>
          <w:rFonts w:asciiTheme="minorHAnsi" w:hAnsiTheme="minorHAnsi" w:cstheme="minorHAnsi"/>
          <w:szCs w:val="22"/>
        </w:rPr>
      </w:pPr>
      <w:r w:rsidRPr="00DD38C4">
        <w:rPr>
          <w:rFonts w:asciiTheme="minorHAnsi" w:hAnsiTheme="minorHAnsi" w:cstheme="minorHAnsi"/>
          <w:szCs w:val="22"/>
        </w:rPr>
        <w:t>Klinische Untersuchung</w:t>
      </w:r>
    </w:p>
    <w:p w14:paraId="629B2821" w14:textId="77777777" w:rsidR="00351D0F" w:rsidRPr="00DD38C4" w:rsidRDefault="00351D0F" w:rsidP="00351D0F">
      <w:pPr>
        <w:pStyle w:val="Listenabsatz"/>
        <w:numPr>
          <w:ilvl w:val="0"/>
          <w:numId w:val="16"/>
        </w:numPr>
        <w:autoSpaceDE w:val="0"/>
        <w:autoSpaceDN w:val="0"/>
        <w:adjustRightInd w:val="0"/>
        <w:spacing w:line="240" w:lineRule="auto"/>
        <w:ind w:left="567" w:hanging="567"/>
        <w:jc w:val="left"/>
        <w:rPr>
          <w:rFonts w:asciiTheme="minorHAnsi" w:hAnsiTheme="minorHAnsi" w:cstheme="minorHAnsi"/>
          <w:szCs w:val="22"/>
        </w:rPr>
      </w:pPr>
      <w:r w:rsidRPr="00DD38C4">
        <w:rPr>
          <w:rFonts w:asciiTheme="minorHAnsi" w:hAnsiTheme="minorHAnsi" w:cstheme="minorHAnsi"/>
          <w:szCs w:val="22"/>
        </w:rPr>
        <w:t xml:space="preserve">Labor (Na, K, Ca, BZ, Krea/BUN/GFR, OT/PT, gGT/AP, LDH, BB, NT/PTT/TZ, CRP) </w:t>
      </w:r>
    </w:p>
    <w:p w14:paraId="755F6D26" w14:textId="77777777" w:rsidR="00351D0F" w:rsidRPr="00DD38C4" w:rsidRDefault="00351D0F" w:rsidP="00351D0F">
      <w:pPr>
        <w:autoSpaceDE w:val="0"/>
        <w:autoSpaceDN w:val="0"/>
        <w:adjustRightInd w:val="0"/>
        <w:spacing w:line="240" w:lineRule="auto"/>
        <w:ind w:left="567" w:hanging="567"/>
        <w:jc w:val="left"/>
        <w:rPr>
          <w:rFonts w:asciiTheme="minorHAnsi" w:hAnsiTheme="minorHAnsi" w:cstheme="minorHAnsi"/>
          <w:szCs w:val="22"/>
        </w:rPr>
      </w:pPr>
    </w:p>
    <w:p w14:paraId="68EB51F9" w14:textId="77777777" w:rsidR="00351D0F" w:rsidRPr="00DD38C4" w:rsidRDefault="00351D0F" w:rsidP="00351D0F">
      <w:pPr>
        <w:pStyle w:val="Listenabsatz"/>
        <w:numPr>
          <w:ilvl w:val="0"/>
          <w:numId w:val="16"/>
        </w:numPr>
        <w:autoSpaceDE w:val="0"/>
        <w:autoSpaceDN w:val="0"/>
        <w:adjustRightInd w:val="0"/>
        <w:spacing w:line="240" w:lineRule="auto"/>
        <w:ind w:left="567" w:hanging="567"/>
        <w:jc w:val="left"/>
        <w:rPr>
          <w:rFonts w:asciiTheme="minorHAnsi" w:hAnsiTheme="minorHAnsi" w:cstheme="minorHAnsi"/>
          <w:szCs w:val="22"/>
        </w:rPr>
      </w:pPr>
      <w:r w:rsidRPr="00DD38C4">
        <w:rPr>
          <w:rFonts w:asciiTheme="minorHAnsi" w:hAnsiTheme="minorHAnsi" w:cstheme="minorHAnsi"/>
          <w:szCs w:val="22"/>
        </w:rPr>
        <w:t>Fertilität: LH, FSH, Testosteron, Östrogen (Leydigzell Tumor) Spermiogramm;  Kryokonservierung besprechen</w:t>
      </w:r>
    </w:p>
    <w:p w14:paraId="26B4B15F" w14:textId="77777777" w:rsidR="00351D0F" w:rsidRPr="00DD38C4" w:rsidRDefault="00351D0F" w:rsidP="00351D0F">
      <w:pPr>
        <w:autoSpaceDE w:val="0"/>
        <w:autoSpaceDN w:val="0"/>
        <w:adjustRightInd w:val="0"/>
        <w:spacing w:line="240" w:lineRule="auto"/>
        <w:ind w:left="567" w:hanging="567"/>
        <w:jc w:val="left"/>
        <w:rPr>
          <w:rFonts w:asciiTheme="minorHAnsi" w:hAnsiTheme="minorHAnsi" w:cstheme="minorHAnsi"/>
          <w:szCs w:val="22"/>
        </w:rPr>
      </w:pPr>
    </w:p>
    <w:p w14:paraId="7D056346" w14:textId="77777777" w:rsidR="00351D0F" w:rsidRPr="00DD38C4" w:rsidRDefault="00351D0F" w:rsidP="00351D0F">
      <w:pPr>
        <w:pStyle w:val="Listenabsatz"/>
        <w:numPr>
          <w:ilvl w:val="0"/>
          <w:numId w:val="16"/>
        </w:numPr>
        <w:autoSpaceDE w:val="0"/>
        <w:autoSpaceDN w:val="0"/>
        <w:adjustRightInd w:val="0"/>
        <w:spacing w:line="240" w:lineRule="auto"/>
        <w:ind w:left="567" w:hanging="567"/>
        <w:jc w:val="left"/>
        <w:rPr>
          <w:rFonts w:asciiTheme="minorHAnsi" w:hAnsiTheme="minorHAnsi" w:cstheme="minorHAnsi"/>
          <w:szCs w:val="22"/>
        </w:rPr>
      </w:pPr>
      <w:r w:rsidRPr="00DD38C4">
        <w:rPr>
          <w:rFonts w:asciiTheme="minorHAnsi" w:hAnsiTheme="minorHAnsi" w:cstheme="minorHAnsi"/>
          <w:szCs w:val="22"/>
        </w:rPr>
        <w:t>Tumormarker:</w:t>
      </w:r>
    </w:p>
    <w:p w14:paraId="52BE657F" w14:textId="77777777" w:rsidR="00351D0F" w:rsidRPr="00DD38C4" w:rsidRDefault="00351D0F" w:rsidP="00351D0F">
      <w:pPr>
        <w:autoSpaceDE w:val="0"/>
        <w:autoSpaceDN w:val="0"/>
        <w:adjustRightInd w:val="0"/>
        <w:spacing w:line="240" w:lineRule="auto"/>
        <w:ind w:left="567"/>
        <w:jc w:val="left"/>
        <w:rPr>
          <w:rFonts w:asciiTheme="minorHAnsi" w:hAnsiTheme="minorHAnsi" w:cstheme="minorHAnsi"/>
          <w:szCs w:val="22"/>
        </w:rPr>
      </w:pPr>
      <w:r w:rsidRPr="00DD38C4">
        <w:rPr>
          <w:rFonts w:asciiTheme="minorHAnsi" w:hAnsiTheme="minorHAnsi" w:cstheme="minorHAnsi"/>
          <w:szCs w:val="22"/>
        </w:rPr>
        <w:t>β-HCG ( HWZ 3,5 Tage); AFP: (HWZ  7 Tage, schließt reines Seminom aus), LDH</w:t>
      </w:r>
    </w:p>
    <w:p w14:paraId="6D4896B8" w14:textId="77777777" w:rsidR="00351D0F" w:rsidRPr="00DD38C4" w:rsidRDefault="00351D0F" w:rsidP="00351D0F">
      <w:pPr>
        <w:autoSpaceDE w:val="0"/>
        <w:autoSpaceDN w:val="0"/>
        <w:adjustRightInd w:val="0"/>
        <w:spacing w:line="240" w:lineRule="auto"/>
        <w:ind w:left="567"/>
        <w:jc w:val="left"/>
        <w:rPr>
          <w:rFonts w:asciiTheme="minorHAnsi" w:hAnsiTheme="minorHAnsi" w:cstheme="minorHAnsi"/>
          <w:szCs w:val="22"/>
        </w:rPr>
      </w:pPr>
      <w:r w:rsidRPr="00DD38C4">
        <w:rPr>
          <w:rFonts w:asciiTheme="minorHAnsi" w:hAnsiTheme="minorHAnsi" w:cstheme="minorHAnsi"/>
          <w:szCs w:val="22"/>
        </w:rPr>
        <w:t xml:space="preserve">werden vor und nach Orchidektomie und vor jeder Chemotherapie bestimmt. </w:t>
      </w:r>
    </w:p>
    <w:p w14:paraId="14CB0C07" w14:textId="77777777" w:rsidR="00351D0F" w:rsidRPr="00DD38C4" w:rsidRDefault="00351D0F" w:rsidP="00351D0F">
      <w:pPr>
        <w:autoSpaceDE w:val="0"/>
        <w:autoSpaceDN w:val="0"/>
        <w:adjustRightInd w:val="0"/>
        <w:spacing w:line="240" w:lineRule="auto"/>
        <w:ind w:left="567"/>
        <w:jc w:val="left"/>
        <w:rPr>
          <w:rFonts w:asciiTheme="minorHAnsi" w:hAnsiTheme="minorHAnsi" w:cstheme="minorHAnsi"/>
          <w:b/>
          <w:szCs w:val="22"/>
        </w:rPr>
      </w:pPr>
      <w:r w:rsidRPr="00DD38C4">
        <w:rPr>
          <w:rFonts w:asciiTheme="minorHAnsi" w:hAnsiTheme="minorHAnsi" w:cstheme="minorHAnsi"/>
          <w:b/>
          <w:szCs w:val="22"/>
        </w:rPr>
        <w:t>In die Klassifikation gehen die post-OP Marker ein!</w:t>
      </w:r>
    </w:p>
    <w:p w14:paraId="4C9933B2" w14:textId="77777777" w:rsidR="00351D0F" w:rsidRPr="00DD38C4" w:rsidRDefault="00351D0F" w:rsidP="00351D0F">
      <w:pPr>
        <w:pStyle w:val="Textkrper-Einzug2"/>
        <w:spacing w:line="276" w:lineRule="auto"/>
        <w:ind w:left="567" w:hanging="567"/>
        <w:jc w:val="both"/>
        <w:rPr>
          <w:rFonts w:asciiTheme="minorHAnsi" w:hAnsiTheme="minorHAnsi" w:cstheme="minorHAnsi"/>
          <w:szCs w:val="22"/>
        </w:rPr>
      </w:pPr>
    </w:p>
    <w:p w14:paraId="2C61149F" w14:textId="77777777" w:rsidR="00351D0F" w:rsidRPr="00DD38C4" w:rsidRDefault="00351D0F" w:rsidP="00351D0F">
      <w:pPr>
        <w:pStyle w:val="Listenabsatz"/>
        <w:numPr>
          <w:ilvl w:val="0"/>
          <w:numId w:val="16"/>
        </w:numPr>
        <w:autoSpaceDE w:val="0"/>
        <w:autoSpaceDN w:val="0"/>
        <w:adjustRightInd w:val="0"/>
        <w:spacing w:line="240" w:lineRule="auto"/>
        <w:ind w:left="567" w:hanging="567"/>
        <w:jc w:val="left"/>
        <w:rPr>
          <w:rFonts w:asciiTheme="minorHAnsi" w:hAnsiTheme="minorHAnsi" w:cstheme="minorHAnsi"/>
          <w:szCs w:val="22"/>
        </w:rPr>
      </w:pPr>
      <w:r w:rsidRPr="00DD38C4">
        <w:rPr>
          <w:rFonts w:asciiTheme="minorHAnsi" w:hAnsiTheme="minorHAnsi" w:cstheme="minorHAnsi"/>
          <w:szCs w:val="22"/>
        </w:rPr>
        <w:t>CT Thorax/Abdomen/Becken (PET CT nur bei Seminom Stadium ≥ II)</w:t>
      </w:r>
    </w:p>
    <w:p w14:paraId="2360F340" w14:textId="77777777" w:rsidR="00351D0F" w:rsidRPr="00DD38C4" w:rsidRDefault="00351D0F" w:rsidP="00351D0F">
      <w:pPr>
        <w:autoSpaceDE w:val="0"/>
        <w:autoSpaceDN w:val="0"/>
        <w:adjustRightInd w:val="0"/>
        <w:spacing w:line="240" w:lineRule="auto"/>
        <w:ind w:left="567"/>
        <w:jc w:val="left"/>
        <w:rPr>
          <w:rFonts w:asciiTheme="minorHAnsi" w:hAnsiTheme="minorHAnsi" w:cstheme="minorHAnsi"/>
          <w:szCs w:val="22"/>
        </w:rPr>
      </w:pPr>
      <w:r w:rsidRPr="00DD38C4">
        <w:rPr>
          <w:rFonts w:asciiTheme="minorHAnsi" w:hAnsiTheme="minorHAnsi" w:cstheme="minorHAnsi"/>
          <w:szCs w:val="22"/>
        </w:rPr>
        <w:t>Sonographie des kontralateralen Hodens</w:t>
      </w:r>
    </w:p>
    <w:p w14:paraId="5960AFC5" w14:textId="77777777" w:rsidR="00351D0F" w:rsidRPr="00DD38C4" w:rsidRDefault="00351D0F" w:rsidP="00351D0F">
      <w:pPr>
        <w:autoSpaceDE w:val="0"/>
        <w:autoSpaceDN w:val="0"/>
        <w:adjustRightInd w:val="0"/>
        <w:spacing w:line="240" w:lineRule="auto"/>
        <w:ind w:left="567"/>
        <w:jc w:val="left"/>
        <w:rPr>
          <w:rFonts w:asciiTheme="minorHAnsi" w:hAnsiTheme="minorHAnsi" w:cstheme="minorHAnsi"/>
          <w:szCs w:val="22"/>
        </w:rPr>
      </w:pPr>
      <w:r w:rsidRPr="00DD38C4">
        <w:rPr>
          <w:rFonts w:asciiTheme="minorHAnsi" w:hAnsiTheme="minorHAnsi" w:cstheme="minorHAnsi"/>
          <w:szCs w:val="22"/>
        </w:rPr>
        <w:t xml:space="preserve">Knochenscan nur bei Klinik oder unklar erhöhter AP, </w:t>
      </w:r>
    </w:p>
    <w:p w14:paraId="6D440A61" w14:textId="77777777" w:rsidR="009C0448" w:rsidRPr="00DD38C4" w:rsidRDefault="00351D0F" w:rsidP="009C0448">
      <w:pPr>
        <w:spacing w:line="240" w:lineRule="auto"/>
        <w:ind w:firstLine="567"/>
        <w:jc w:val="both"/>
        <w:rPr>
          <w:rFonts w:ascii="Calibri" w:hAnsi="Calibri" w:cs="Calibri"/>
        </w:rPr>
      </w:pPr>
      <w:r w:rsidRPr="00DD38C4">
        <w:rPr>
          <w:rFonts w:asciiTheme="minorHAnsi" w:hAnsiTheme="minorHAnsi" w:cstheme="minorHAnsi"/>
          <w:szCs w:val="22"/>
        </w:rPr>
        <w:t xml:space="preserve">Schädel MRI </w:t>
      </w:r>
      <w:r w:rsidR="009C0448" w:rsidRPr="00DD38C4">
        <w:rPr>
          <w:rFonts w:asciiTheme="minorHAnsi" w:hAnsiTheme="minorHAnsi" w:cstheme="minorHAnsi"/>
          <w:szCs w:val="22"/>
        </w:rPr>
        <w:t>nur</w:t>
      </w:r>
      <w:r w:rsidR="009C0448" w:rsidRPr="00DD38C4">
        <w:rPr>
          <w:rFonts w:ascii="Calibri" w:hAnsi="Calibri" w:cs="Calibri"/>
        </w:rPr>
        <w:t xml:space="preserve"> bei Klinik oder extrapulmonaler, ausgedehnter viszeraler Metastasierung</w:t>
      </w:r>
    </w:p>
    <w:p w14:paraId="664F2811" w14:textId="77777777" w:rsidR="00351D0F" w:rsidRPr="00DD38C4" w:rsidRDefault="00351D0F" w:rsidP="00351D0F">
      <w:pPr>
        <w:autoSpaceDE w:val="0"/>
        <w:autoSpaceDN w:val="0"/>
        <w:adjustRightInd w:val="0"/>
        <w:spacing w:line="240" w:lineRule="auto"/>
        <w:ind w:left="567"/>
        <w:jc w:val="left"/>
        <w:rPr>
          <w:rFonts w:asciiTheme="minorHAnsi" w:hAnsiTheme="minorHAnsi" w:cstheme="minorHAnsi"/>
          <w:szCs w:val="22"/>
        </w:rPr>
      </w:pPr>
    </w:p>
    <w:p w14:paraId="05C105B2" w14:textId="77777777" w:rsidR="00351D0F" w:rsidRPr="00DD38C4" w:rsidRDefault="00351D0F" w:rsidP="00351D0F">
      <w:pPr>
        <w:autoSpaceDE w:val="0"/>
        <w:autoSpaceDN w:val="0"/>
        <w:adjustRightInd w:val="0"/>
        <w:spacing w:line="240" w:lineRule="auto"/>
        <w:jc w:val="left"/>
        <w:rPr>
          <w:rFonts w:asciiTheme="minorHAnsi" w:hAnsiTheme="minorHAnsi" w:cstheme="minorHAnsi"/>
          <w:szCs w:val="22"/>
        </w:rPr>
      </w:pPr>
    </w:p>
    <w:p w14:paraId="59043842" w14:textId="77777777" w:rsidR="00351D0F" w:rsidRPr="00DD38C4" w:rsidRDefault="00351D0F" w:rsidP="00351D0F">
      <w:pPr>
        <w:autoSpaceDE w:val="0"/>
        <w:autoSpaceDN w:val="0"/>
        <w:adjustRightInd w:val="0"/>
        <w:spacing w:line="288" w:lineRule="auto"/>
        <w:jc w:val="left"/>
        <w:rPr>
          <w:rFonts w:ascii="Calibri" w:eastAsiaTheme="minorHAnsi" w:hAnsi="Calibri" w:cs="Calibri"/>
          <w:b/>
          <w:bCs/>
          <w:color w:val="000000"/>
          <w:szCs w:val="22"/>
          <w:lang w:eastAsia="en-US"/>
        </w:rPr>
      </w:pPr>
      <w:r w:rsidRPr="00DD38C4">
        <w:rPr>
          <w:rFonts w:ascii="Calibri" w:eastAsiaTheme="minorHAnsi" w:hAnsi="Calibri" w:cs="Calibri"/>
          <w:b/>
          <w:bCs/>
          <w:color w:val="000000"/>
          <w:szCs w:val="22"/>
          <w:lang w:eastAsia="en-US"/>
        </w:rPr>
        <w:t>Diagnosesicherung:</w:t>
      </w:r>
    </w:p>
    <w:p w14:paraId="11EF1778" w14:textId="77777777" w:rsidR="00351D0F" w:rsidRPr="00DD38C4" w:rsidRDefault="00351D0F" w:rsidP="00351D0F">
      <w:pPr>
        <w:autoSpaceDE w:val="0"/>
        <w:autoSpaceDN w:val="0"/>
        <w:adjustRightInd w:val="0"/>
        <w:spacing w:line="240" w:lineRule="auto"/>
        <w:jc w:val="left"/>
        <w:rPr>
          <w:rFonts w:ascii="Calibri" w:eastAsiaTheme="minorHAnsi" w:hAnsi="Calibri" w:cs="Calibri"/>
          <w:color w:val="000000"/>
          <w:szCs w:val="22"/>
          <w:lang w:eastAsia="en-US"/>
        </w:rPr>
      </w:pPr>
      <w:r w:rsidRPr="00DD38C4">
        <w:rPr>
          <w:rFonts w:ascii="Calibri" w:eastAsiaTheme="minorHAnsi" w:hAnsi="Calibri" w:cs="Calibri"/>
          <w:color w:val="000000"/>
          <w:szCs w:val="22"/>
          <w:lang w:eastAsia="en-US"/>
        </w:rPr>
        <w:t>Bei Erhöhten Tumormarkern und typischem klinischen Bild (thorakale oder retroperitoneale Masse +/- Hodentumor) kann auf eine histologische Sicherung bei klinischem Druck verzichtet werden.</w:t>
      </w:r>
    </w:p>
    <w:p w14:paraId="1C6401C1" w14:textId="77777777" w:rsidR="00351D0F" w:rsidRPr="00DD38C4" w:rsidRDefault="00351D0F" w:rsidP="00351D0F">
      <w:pPr>
        <w:autoSpaceDE w:val="0"/>
        <w:autoSpaceDN w:val="0"/>
        <w:adjustRightInd w:val="0"/>
        <w:spacing w:line="240" w:lineRule="auto"/>
        <w:jc w:val="left"/>
        <w:rPr>
          <w:rFonts w:ascii="Calibri" w:eastAsiaTheme="minorHAnsi" w:hAnsi="Calibri" w:cs="Calibri"/>
          <w:color w:val="000000"/>
          <w:szCs w:val="22"/>
          <w:lang w:eastAsia="en-US"/>
        </w:rPr>
      </w:pPr>
    </w:p>
    <w:p w14:paraId="43A41491" w14:textId="77777777" w:rsidR="00351D0F" w:rsidRPr="00DD38C4" w:rsidRDefault="00351D0F" w:rsidP="00351D0F">
      <w:pPr>
        <w:spacing w:line="240" w:lineRule="auto"/>
        <w:jc w:val="left"/>
        <w:rPr>
          <w:rFonts w:ascii="Calibri" w:hAnsi="Calibri" w:cs="Calibri"/>
          <w:b/>
        </w:rPr>
      </w:pPr>
      <w:r w:rsidRPr="00DD38C4">
        <w:rPr>
          <w:rFonts w:ascii="Calibri" w:hAnsi="Calibri" w:cs="Calibri"/>
          <w:b/>
        </w:rPr>
        <w:t>Nomenklatur:</w:t>
      </w:r>
    </w:p>
    <w:p w14:paraId="08B5D526" w14:textId="77777777" w:rsidR="00351D0F" w:rsidRPr="00DD38C4" w:rsidRDefault="00351D0F" w:rsidP="00351D0F">
      <w:pPr>
        <w:spacing w:line="240" w:lineRule="auto"/>
        <w:jc w:val="left"/>
        <w:rPr>
          <w:rFonts w:ascii="Calibri" w:hAnsi="Calibri" w:cs="Calibri"/>
          <w:sz w:val="20"/>
        </w:rPr>
      </w:pPr>
      <w:r w:rsidRPr="00DD38C4">
        <w:rPr>
          <w:rFonts w:ascii="Calibri" w:hAnsi="Calibri" w:cs="Calibri"/>
        </w:rPr>
        <w:t>Primär extragonadal</w:t>
      </w:r>
      <w:r w:rsidRPr="00DD38C4">
        <w:rPr>
          <w:rFonts w:ascii="Calibri" w:hAnsi="Calibri" w:cs="Calibri"/>
          <w:sz w:val="20"/>
        </w:rPr>
        <w:t xml:space="preserve">: </w:t>
      </w:r>
    </w:p>
    <w:p w14:paraId="42BEB772" w14:textId="77777777" w:rsidR="00351D0F" w:rsidRPr="00DD38C4" w:rsidRDefault="00351D0F" w:rsidP="00351D0F">
      <w:pPr>
        <w:tabs>
          <w:tab w:val="left" w:pos="1134"/>
        </w:tabs>
        <w:spacing w:line="240" w:lineRule="auto"/>
        <w:jc w:val="left"/>
        <w:rPr>
          <w:rFonts w:ascii="Calibri" w:hAnsi="Calibri" w:cs="Calibri"/>
          <w:sz w:val="20"/>
        </w:rPr>
      </w:pPr>
      <w:r w:rsidRPr="00DD38C4">
        <w:rPr>
          <w:rFonts w:ascii="Calibri" w:hAnsi="Calibri" w:cs="Calibri"/>
          <w:sz w:val="20"/>
        </w:rPr>
        <w:tab/>
        <w:t>30 % mit Hoden-CIS, 30% mit „burned out“ im Hoden, 30 % blander Hoden</w:t>
      </w:r>
    </w:p>
    <w:p w14:paraId="29906370" w14:textId="77777777" w:rsidR="00351D0F" w:rsidRPr="00DD38C4" w:rsidRDefault="00351D0F" w:rsidP="00351D0F">
      <w:pPr>
        <w:tabs>
          <w:tab w:val="left" w:pos="1134"/>
        </w:tabs>
        <w:spacing w:line="240" w:lineRule="auto"/>
        <w:jc w:val="left"/>
        <w:rPr>
          <w:rFonts w:ascii="Calibri" w:hAnsi="Calibri" w:cs="Calibri"/>
          <w:sz w:val="20"/>
        </w:rPr>
      </w:pPr>
      <w:r w:rsidRPr="00DD38C4">
        <w:rPr>
          <w:rFonts w:ascii="Calibri" w:hAnsi="Calibri" w:cs="Calibri"/>
          <w:sz w:val="20"/>
        </w:rPr>
        <w:tab/>
        <w:t>Chromosom i12p typisch (wichtig für DD undiff. CUP)</w:t>
      </w:r>
    </w:p>
    <w:p w14:paraId="23437D0E" w14:textId="77777777" w:rsidR="00351D0F" w:rsidRPr="00DD38C4" w:rsidRDefault="00351D0F" w:rsidP="00351D0F">
      <w:pPr>
        <w:spacing w:line="240" w:lineRule="auto"/>
        <w:jc w:val="left"/>
        <w:rPr>
          <w:rFonts w:ascii="Calibri" w:hAnsi="Calibri" w:cs="Calibri"/>
        </w:rPr>
      </w:pPr>
      <w:r w:rsidRPr="00DD38C4">
        <w:rPr>
          <w:rFonts w:ascii="Calibri" w:hAnsi="Calibri" w:cs="Calibri"/>
        </w:rPr>
        <w:t>Seminome (SGCT)  vs. Hodenmischtumore (NSGCT)</w:t>
      </w:r>
    </w:p>
    <w:p w14:paraId="6F2152DB" w14:textId="77777777" w:rsidR="00351D0F" w:rsidRPr="00DD38C4" w:rsidRDefault="00351D0F" w:rsidP="00351D0F">
      <w:pPr>
        <w:spacing w:line="240" w:lineRule="auto"/>
        <w:rPr>
          <w:rFonts w:ascii="Calibri" w:hAnsi="Calibri" w:cs="Calibri"/>
        </w:rPr>
      </w:pPr>
    </w:p>
    <w:p w14:paraId="6C74946A" w14:textId="77777777" w:rsidR="00351D0F" w:rsidRPr="00DD38C4" w:rsidRDefault="00351D0F" w:rsidP="00351D0F">
      <w:pPr>
        <w:spacing w:line="240" w:lineRule="auto"/>
        <w:jc w:val="left"/>
        <w:rPr>
          <w:rFonts w:ascii="Calibri" w:hAnsi="Calibri" w:cs="Calibri"/>
          <w:b/>
        </w:rPr>
      </w:pPr>
    </w:p>
    <w:p w14:paraId="4F6EA643" w14:textId="77777777" w:rsidR="00351D0F" w:rsidRPr="00DD38C4" w:rsidRDefault="00351D0F" w:rsidP="00351D0F">
      <w:pPr>
        <w:spacing w:line="240" w:lineRule="auto"/>
        <w:jc w:val="left"/>
        <w:rPr>
          <w:rFonts w:ascii="Calibri" w:hAnsi="Calibri" w:cs="Calibri"/>
        </w:rPr>
      </w:pPr>
      <w:r w:rsidRPr="00DD38C4">
        <w:rPr>
          <w:rFonts w:ascii="Calibri" w:hAnsi="Calibri" w:cs="Calibri"/>
          <w:b/>
        </w:rPr>
        <w:t xml:space="preserve">Kontralaterale skrotale Hodenbiopsie: </w:t>
      </w:r>
    </w:p>
    <w:p w14:paraId="62ED26A3" w14:textId="77777777" w:rsidR="00351D0F" w:rsidRPr="00DD38C4" w:rsidRDefault="00351D0F" w:rsidP="00351D0F">
      <w:pPr>
        <w:spacing w:line="240" w:lineRule="auto"/>
        <w:jc w:val="left"/>
        <w:rPr>
          <w:rFonts w:ascii="Calibri" w:hAnsi="Calibri" w:cs="Calibri"/>
        </w:rPr>
      </w:pPr>
      <w:r w:rsidRPr="00DD38C4">
        <w:rPr>
          <w:rFonts w:ascii="Calibri" w:hAnsi="Calibri" w:cs="Calibri"/>
        </w:rPr>
        <w:t xml:space="preserve">bei suspekter Sono oder </w:t>
      </w:r>
      <w:r w:rsidR="009C0448" w:rsidRPr="00DD38C4">
        <w:rPr>
          <w:rFonts w:ascii="Calibri" w:hAnsi="Calibri" w:cs="Calibri"/>
        </w:rPr>
        <w:t xml:space="preserve">optional </w:t>
      </w:r>
      <w:r w:rsidRPr="00DD38C4">
        <w:rPr>
          <w:rFonts w:ascii="Calibri" w:hAnsi="Calibri" w:cs="Calibri"/>
        </w:rPr>
        <w:t>in speziellen Situationen wie:</w:t>
      </w:r>
    </w:p>
    <w:p w14:paraId="3EF0344D" w14:textId="77777777" w:rsidR="00351D0F" w:rsidRPr="00DD38C4" w:rsidRDefault="00351D0F" w:rsidP="00351D0F">
      <w:pPr>
        <w:spacing w:line="240" w:lineRule="auto"/>
        <w:ind w:firstLine="708"/>
        <w:jc w:val="left"/>
        <w:rPr>
          <w:rFonts w:ascii="Calibri" w:hAnsi="Calibri" w:cs="Calibri"/>
        </w:rPr>
      </w:pPr>
      <w:r w:rsidRPr="00DD38C4">
        <w:rPr>
          <w:rFonts w:ascii="Calibri" w:hAnsi="Calibri" w:cs="Calibri"/>
        </w:rPr>
        <w:t>- Alter &lt; 40a</w:t>
      </w:r>
    </w:p>
    <w:p w14:paraId="201335D5" w14:textId="77777777" w:rsidR="00351D0F" w:rsidRPr="00DD38C4" w:rsidRDefault="00351D0F" w:rsidP="00351D0F">
      <w:pPr>
        <w:spacing w:line="240" w:lineRule="auto"/>
        <w:ind w:firstLine="708"/>
        <w:jc w:val="left"/>
        <w:rPr>
          <w:rFonts w:ascii="Calibri" w:hAnsi="Calibri" w:cs="Calibri"/>
        </w:rPr>
      </w:pPr>
      <w:r w:rsidRPr="00DD38C4">
        <w:rPr>
          <w:rFonts w:ascii="Calibri" w:hAnsi="Calibri" w:cs="Calibri"/>
        </w:rPr>
        <w:t xml:space="preserve">- Bei Hodenvolumen &lt; 12ml, </w:t>
      </w:r>
    </w:p>
    <w:p w14:paraId="1C04E746" w14:textId="77777777" w:rsidR="00351D0F" w:rsidRPr="00DD38C4" w:rsidRDefault="00351D0F" w:rsidP="00351D0F">
      <w:pPr>
        <w:spacing w:line="240" w:lineRule="auto"/>
        <w:ind w:firstLine="708"/>
        <w:jc w:val="left"/>
        <w:rPr>
          <w:rFonts w:ascii="Calibri" w:hAnsi="Calibri" w:cs="Calibri"/>
        </w:rPr>
      </w:pPr>
      <w:r w:rsidRPr="00DD38C4">
        <w:rPr>
          <w:rFonts w:ascii="Calibri" w:hAnsi="Calibri" w:cs="Calibri"/>
        </w:rPr>
        <w:t xml:space="preserve">- Anamnese eines Kryptochismus </w:t>
      </w:r>
    </w:p>
    <w:p w14:paraId="0329396E" w14:textId="77777777" w:rsidR="00351D0F" w:rsidRPr="00DD38C4" w:rsidRDefault="00351D0F" w:rsidP="00351D0F">
      <w:pPr>
        <w:spacing w:line="240" w:lineRule="auto"/>
        <w:jc w:val="left"/>
        <w:rPr>
          <w:rFonts w:ascii="Calibri" w:hAnsi="Calibri" w:cs="Calibri"/>
        </w:rPr>
      </w:pPr>
      <w:r w:rsidRPr="00DD38C4">
        <w:rPr>
          <w:rFonts w:ascii="Calibri" w:hAnsi="Calibri" w:cs="Calibri"/>
        </w:rPr>
        <w:t>Histo: TiN+ sollen mit 10x2 Gy bestrahlt werden. Fertilität !</w:t>
      </w:r>
    </w:p>
    <w:p w14:paraId="5F8CF1FF" w14:textId="77777777" w:rsidR="00351D0F" w:rsidRPr="00DD38C4" w:rsidRDefault="00351D0F" w:rsidP="00351D0F">
      <w:pPr>
        <w:rPr>
          <w:rFonts w:ascii="Calibri" w:hAnsi="Calibri" w:cs="Calibri"/>
        </w:rPr>
      </w:pPr>
    </w:p>
    <w:p w14:paraId="3D2CB6F4" w14:textId="77777777" w:rsidR="00351D0F" w:rsidRPr="00DD38C4" w:rsidRDefault="00351D0F" w:rsidP="00351D0F">
      <w:pPr>
        <w:rPr>
          <w:rFonts w:ascii="Calibri" w:hAnsi="Calibri" w:cs="Calibri"/>
        </w:rPr>
      </w:pPr>
    </w:p>
    <w:p w14:paraId="77738E05" w14:textId="77777777" w:rsidR="00351D0F" w:rsidRPr="00DD38C4" w:rsidRDefault="00351D0F" w:rsidP="00351D0F">
      <w:pPr>
        <w:rPr>
          <w:rFonts w:ascii="Calibri" w:hAnsi="Calibri" w:cs="Calibri"/>
        </w:rPr>
      </w:pPr>
    </w:p>
    <w:p w14:paraId="271C5ECA" w14:textId="77777777" w:rsidR="00C26EC0" w:rsidRPr="00DD38C4" w:rsidRDefault="00C26EC0" w:rsidP="00351D0F">
      <w:pPr>
        <w:rPr>
          <w:rFonts w:ascii="Calibri" w:hAnsi="Calibri" w:cs="Calibri"/>
        </w:rPr>
      </w:pPr>
    </w:p>
    <w:p w14:paraId="066D205C" w14:textId="77777777" w:rsidR="00C26EC0" w:rsidRPr="00DD38C4" w:rsidRDefault="007C6982" w:rsidP="00C26EC0">
      <w:pPr>
        <w:pStyle w:val="berschrift2"/>
      </w:pPr>
      <w:bookmarkStart w:id="6" w:name="_Toc15372122"/>
      <w:r w:rsidRPr="00DD38C4">
        <w:rPr>
          <w:szCs w:val="20"/>
        </w:rPr>
        <w:lastRenderedPageBreak/>
        <w:t>2.2</w:t>
      </w:r>
      <w:r w:rsidRPr="00DD38C4">
        <w:rPr>
          <w:szCs w:val="20"/>
        </w:rPr>
        <w:tab/>
      </w:r>
      <w:r w:rsidR="00C26EC0" w:rsidRPr="00DD38C4">
        <w:t>TNM Klassifizierung Hodentumore (UICC 2016, 8. Auflage)</w:t>
      </w:r>
      <w:bookmarkEnd w:id="6"/>
      <w:r w:rsidR="00C26EC0" w:rsidRPr="00DD38C4">
        <w:t xml:space="preserve"> </w:t>
      </w:r>
    </w:p>
    <w:p w14:paraId="237F2D02" w14:textId="77777777" w:rsidR="00351D0F" w:rsidRPr="00DD38C4" w:rsidRDefault="00C26EC0" w:rsidP="00351D0F">
      <w:pPr>
        <w:spacing w:line="240" w:lineRule="auto"/>
        <w:jc w:val="left"/>
        <w:rPr>
          <w:rFonts w:ascii="Calibri" w:hAnsi="Calibri" w:cs="Calibri"/>
        </w:rPr>
      </w:pPr>
      <w:r w:rsidRPr="00DD38C4">
        <w:rPr>
          <w:noProof/>
          <w:lang w:eastAsia="de-AT"/>
        </w:rPr>
        <w:drawing>
          <wp:inline distT="0" distB="0" distL="0" distR="0" wp14:anchorId="54466D40" wp14:editId="2CDA0B97">
            <wp:extent cx="4277312" cy="6245157"/>
            <wp:effectExtent l="0" t="0" r="952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09" t="-1" b="386"/>
                    <a:stretch/>
                  </pic:blipFill>
                  <pic:spPr bwMode="auto">
                    <a:xfrm>
                      <a:off x="0" y="0"/>
                      <a:ext cx="4295022" cy="6271015"/>
                    </a:xfrm>
                    <a:prstGeom prst="rect">
                      <a:avLst/>
                    </a:prstGeom>
                    <a:ln>
                      <a:noFill/>
                    </a:ln>
                    <a:extLst>
                      <a:ext uri="{53640926-AAD7-44D8-BBD7-CCE9431645EC}">
                        <a14:shadowObscured xmlns:a14="http://schemas.microsoft.com/office/drawing/2010/main"/>
                      </a:ext>
                    </a:extLst>
                  </pic:spPr>
                </pic:pic>
              </a:graphicData>
            </a:graphic>
          </wp:inline>
        </w:drawing>
      </w:r>
    </w:p>
    <w:p w14:paraId="60EE796B" w14:textId="77777777" w:rsidR="00C26EC0" w:rsidRPr="00DD38C4" w:rsidRDefault="00C26EC0" w:rsidP="00351D0F">
      <w:pPr>
        <w:spacing w:line="240" w:lineRule="auto"/>
        <w:jc w:val="left"/>
        <w:rPr>
          <w:rFonts w:ascii="Calibri" w:hAnsi="Calibri" w:cs="Calibri"/>
        </w:rPr>
      </w:pPr>
      <w:r w:rsidRPr="00DD38C4">
        <w:rPr>
          <w:noProof/>
          <w:lang w:eastAsia="de-AT"/>
        </w:rPr>
        <w:drawing>
          <wp:inline distT="0" distB="0" distL="0" distR="0" wp14:anchorId="43FB6371" wp14:editId="1E22B9C0">
            <wp:extent cx="4267200" cy="10727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57"/>
                    <a:stretch/>
                  </pic:blipFill>
                  <pic:spPr bwMode="auto">
                    <a:xfrm>
                      <a:off x="0" y="0"/>
                      <a:ext cx="4302670" cy="1081639"/>
                    </a:xfrm>
                    <a:prstGeom prst="rect">
                      <a:avLst/>
                    </a:prstGeom>
                    <a:ln>
                      <a:noFill/>
                    </a:ln>
                    <a:extLst>
                      <a:ext uri="{53640926-AAD7-44D8-BBD7-CCE9431645EC}">
                        <a14:shadowObscured xmlns:a14="http://schemas.microsoft.com/office/drawing/2010/main"/>
                      </a:ext>
                    </a:extLst>
                  </pic:spPr>
                </pic:pic>
              </a:graphicData>
            </a:graphic>
          </wp:inline>
        </w:drawing>
      </w:r>
    </w:p>
    <w:p w14:paraId="37B4F9F4" w14:textId="77777777" w:rsidR="00C26EC0" w:rsidRPr="00DD38C4" w:rsidRDefault="00C26EC0" w:rsidP="00C26EC0">
      <w:pPr>
        <w:spacing w:line="240" w:lineRule="auto"/>
        <w:jc w:val="left"/>
        <w:rPr>
          <w:rFonts w:asciiTheme="minorHAnsi" w:hAnsiTheme="minorHAnsi" w:cstheme="minorHAnsi"/>
          <w:i/>
          <w:iCs/>
          <w:color w:val="2C2B2B"/>
          <w:sz w:val="18"/>
          <w:szCs w:val="18"/>
          <w:lang w:val="en-US" w:eastAsia="de-AT"/>
        </w:rPr>
      </w:pPr>
      <w:r w:rsidRPr="00DD38C4">
        <w:rPr>
          <w:rFonts w:asciiTheme="minorHAnsi" w:hAnsiTheme="minorHAnsi" w:cstheme="minorHAnsi"/>
          <w:i/>
          <w:iCs/>
          <w:color w:val="2C2B2B"/>
          <w:sz w:val="18"/>
          <w:szCs w:val="18"/>
          <w:lang w:val="en-US"/>
        </w:rPr>
        <w:t>N indicates the upper limit of normal for the LDH assay.</w:t>
      </w:r>
    </w:p>
    <w:p w14:paraId="34E5D7B0" w14:textId="77777777" w:rsidR="00C26EC0" w:rsidRPr="00DD38C4" w:rsidRDefault="00C26EC0" w:rsidP="00C26EC0">
      <w:pPr>
        <w:pStyle w:val="bodytekstitalicondertabel"/>
        <w:spacing w:before="0" w:beforeAutospacing="0" w:after="0" w:afterAutospacing="0"/>
        <w:textAlignment w:val="baseline"/>
        <w:rPr>
          <w:rFonts w:asciiTheme="minorHAnsi" w:hAnsiTheme="minorHAnsi" w:cstheme="minorHAnsi"/>
          <w:i/>
          <w:iCs/>
          <w:color w:val="2C2B2B"/>
          <w:sz w:val="18"/>
          <w:szCs w:val="18"/>
          <w:lang w:val="en-US"/>
        </w:rPr>
      </w:pPr>
      <w:r w:rsidRPr="00DD38C4">
        <w:rPr>
          <w:rFonts w:asciiTheme="minorHAnsi" w:hAnsiTheme="minorHAnsi" w:cstheme="minorHAnsi"/>
          <w:i/>
          <w:iCs/>
          <w:color w:val="2C2B2B"/>
          <w:sz w:val="18"/>
          <w:szCs w:val="18"/>
          <w:lang w:val="en-US"/>
        </w:rPr>
        <w:t>LDH = lactate dehydrogenase; hCG = human chorionic gonadotrophin; AFP = alpha-fetoprotein.</w:t>
      </w:r>
    </w:p>
    <w:p w14:paraId="709050CD" w14:textId="77777777" w:rsidR="00C26EC0" w:rsidRPr="00DD38C4" w:rsidRDefault="00C26EC0" w:rsidP="00C26EC0">
      <w:pPr>
        <w:pStyle w:val="bodytekstitalic"/>
        <w:spacing w:before="0" w:beforeAutospacing="0" w:after="0" w:afterAutospacing="0"/>
        <w:textAlignment w:val="baseline"/>
        <w:rPr>
          <w:rFonts w:asciiTheme="minorHAnsi" w:hAnsiTheme="minorHAnsi" w:cstheme="minorHAnsi"/>
          <w:i/>
          <w:iCs/>
          <w:color w:val="2C2B2B"/>
          <w:sz w:val="18"/>
          <w:szCs w:val="18"/>
          <w:lang w:val="en-US"/>
        </w:rPr>
      </w:pPr>
      <w:r w:rsidRPr="00DD38C4">
        <w:rPr>
          <w:rFonts w:asciiTheme="minorHAnsi" w:hAnsiTheme="minorHAnsi" w:cstheme="minorHAnsi"/>
          <w:i/>
          <w:iCs/>
          <w:color w:val="2C2B2B"/>
          <w:sz w:val="18"/>
          <w:szCs w:val="18"/>
          <w:lang w:val="en-US"/>
        </w:rPr>
        <w:t xml:space="preserve">*AJCC eighth edition subdivides T1 Pure Seminoma by T1a and T1b depending on size no greater than 3 cm or greater than 3 cm in greatest dimension. </w:t>
      </w:r>
      <w:r w:rsidRPr="00DD38C4">
        <w:rPr>
          <w:rFonts w:asciiTheme="minorHAnsi" w:hAnsiTheme="minorHAnsi" w:cstheme="minorHAnsi"/>
          <w:i/>
          <w:iCs/>
          <w:color w:val="2C2B2B"/>
          <w:sz w:val="18"/>
          <w:szCs w:val="18"/>
          <w:lang w:val="en-US"/>
        </w:rPr>
        <w:br/>
        <w:t xml:space="preserve">** AJCC eighth edition considers the hilar soft tissue invasion as pT2, while the discontinuous tumour in spermatic cord as pM1. </w:t>
      </w:r>
    </w:p>
    <w:p w14:paraId="6B78CED1" w14:textId="77777777" w:rsidR="00C26EC0" w:rsidRPr="00DD38C4" w:rsidRDefault="00C26EC0" w:rsidP="00C26EC0">
      <w:pPr>
        <w:pStyle w:val="bodytekstitalic"/>
        <w:spacing w:before="0" w:beforeAutospacing="0" w:after="0" w:afterAutospacing="0"/>
        <w:textAlignment w:val="baseline"/>
        <w:rPr>
          <w:rFonts w:asciiTheme="minorHAnsi" w:hAnsiTheme="minorHAnsi" w:cstheme="minorHAnsi"/>
          <w:i/>
          <w:iCs/>
          <w:color w:val="2C2B2B"/>
          <w:sz w:val="18"/>
          <w:szCs w:val="18"/>
          <w:lang w:val="en-US"/>
        </w:rPr>
      </w:pPr>
      <w:r w:rsidRPr="00DD38C4">
        <w:rPr>
          <w:rStyle w:val="superscript"/>
          <w:rFonts w:asciiTheme="minorHAnsi" w:hAnsiTheme="minorHAnsi" w:cstheme="minorHAnsi"/>
          <w:i/>
          <w:iCs/>
          <w:color w:val="2C2B2B"/>
          <w:sz w:val="18"/>
          <w:szCs w:val="18"/>
          <w:bdr w:val="none" w:sz="0" w:space="0" w:color="auto" w:frame="1"/>
          <w:vertAlign w:val="superscript"/>
          <w:lang w:val="en-US"/>
        </w:rPr>
        <w:t>1</w:t>
      </w:r>
      <w:r w:rsidRPr="00DD38C4">
        <w:rPr>
          <w:rFonts w:asciiTheme="minorHAnsi" w:hAnsiTheme="minorHAnsi" w:cstheme="minorHAnsi"/>
          <w:i/>
          <w:iCs/>
          <w:color w:val="2C2B2B"/>
          <w:sz w:val="18"/>
          <w:szCs w:val="18"/>
          <w:lang w:val="en-US"/>
        </w:rPr>
        <w:t xml:space="preserve"> Except for pTis and pT4, where radical orchidectomy is not always necessary for classification purposes, the extent of the primary tumour is classified after radical orchidectomy; see pT. In other circumstances, TX is used if no radical orchidectomy has been performed.</w:t>
      </w:r>
    </w:p>
    <w:p w14:paraId="14A31BFE" w14:textId="77777777" w:rsidR="00351D0F" w:rsidRPr="00DD38C4" w:rsidRDefault="007C6982" w:rsidP="007C6982">
      <w:pPr>
        <w:pStyle w:val="berschrift2"/>
      </w:pPr>
      <w:bookmarkStart w:id="7" w:name="_Toc15372123"/>
      <w:r w:rsidRPr="00DD38C4">
        <w:lastRenderedPageBreak/>
        <w:t>2.3</w:t>
      </w:r>
      <w:r w:rsidRPr="00DD38C4">
        <w:tab/>
        <w:t>Stadieneinteilung Hodentumore</w:t>
      </w:r>
      <w:bookmarkEnd w:id="7"/>
    </w:p>
    <w:p w14:paraId="5075A0AF" w14:textId="77777777" w:rsidR="00351D0F" w:rsidRPr="00DD38C4" w:rsidRDefault="007C6982" w:rsidP="00351D0F">
      <w:pPr>
        <w:spacing w:line="240" w:lineRule="auto"/>
        <w:jc w:val="left"/>
        <w:rPr>
          <w:rFonts w:ascii="Calibri" w:hAnsi="Calibri" w:cs="Calibri"/>
        </w:rPr>
      </w:pPr>
      <w:r w:rsidRPr="00DD38C4">
        <w:rPr>
          <w:noProof/>
          <w:lang w:eastAsia="de-AT"/>
        </w:rPr>
        <w:drawing>
          <wp:inline distT="0" distB="0" distL="0" distR="0" wp14:anchorId="353CAA1B" wp14:editId="73569FDA">
            <wp:extent cx="4448175" cy="59340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8175" cy="5934075"/>
                    </a:xfrm>
                    <a:prstGeom prst="rect">
                      <a:avLst/>
                    </a:prstGeom>
                  </pic:spPr>
                </pic:pic>
              </a:graphicData>
            </a:graphic>
          </wp:inline>
        </w:drawing>
      </w:r>
    </w:p>
    <w:p w14:paraId="4BA2495E" w14:textId="77777777" w:rsidR="00351D0F" w:rsidRPr="00DD38C4" w:rsidRDefault="00351D0F" w:rsidP="00351D0F">
      <w:pPr>
        <w:spacing w:line="240" w:lineRule="auto"/>
        <w:jc w:val="left"/>
        <w:rPr>
          <w:rFonts w:ascii="Calibri" w:hAnsi="Calibri" w:cs="Calibri"/>
        </w:rPr>
      </w:pPr>
    </w:p>
    <w:p w14:paraId="2BE5754A" w14:textId="77777777" w:rsidR="007C6982" w:rsidRPr="00DD38C4" w:rsidRDefault="007C6982" w:rsidP="007C6982">
      <w:pPr>
        <w:spacing w:line="240" w:lineRule="auto"/>
        <w:jc w:val="left"/>
        <w:rPr>
          <w:rFonts w:asciiTheme="minorHAnsi" w:hAnsiTheme="minorHAnsi" w:cstheme="minorHAnsi"/>
          <w:i/>
          <w:iCs/>
          <w:color w:val="2C2B2B"/>
          <w:sz w:val="18"/>
          <w:szCs w:val="18"/>
          <w:lang w:val="en-US"/>
        </w:rPr>
      </w:pPr>
      <w:r w:rsidRPr="00DD38C4">
        <w:rPr>
          <w:rFonts w:asciiTheme="minorHAnsi" w:hAnsiTheme="minorHAnsi" w:cstheme="minorHAnsi"/>
          <w:i/>
          <w:iCs/>
          <w:color w:val="2C2B2B"/>
          <w:sz w:val="18"/>
          <w:szCs w:val="18"/>
          <w:lang w:val="en-US"/>
        </w:rPr>
        <w:t>In large population-based patient series, 75-80% of seminoma patients, and about 55% of patients with NSGCT cancer have stage I disease at diagnosis. True stage IS (persistently elevated or increasing serum marker levels after orchiectomy) is found in about 5% of non-seminoma patients.</w:t>
      </w:r>
    </w:p>
    <w:p w14:paraId="1CD15F11" w14:textId="77777777" w:rsidR="007C6982" w:rsidRPr="00DD38C4" w:rsidRDefault="007C6982" w:rsidP="007C6982">
      <w:pPr>
        <w:spacing w:line="240" w:lineRule="auto"/>
        <w:jc w:val="left"/>
        <w:rPr>
          <w:rFonts w:asciiTheme="minorHAnsi" w:hAnsiTheme="minorHAnsi" w:cstheme="minorHAnsi"/>
          <w:i/>
          <w:iCs/>
          <w:color w:val="2C2B2B"/>
          <w:sz w:val="18"/>
          <w:szCs w:val="18"/>
          <w:lang w:val="en-US"/>
        </w:rPr>
      </w:pPr>
    </w:p>
    <w:p w14:paraId="2738D815" w14:textId="77777777" w:rsidR="007C6982" w:rsidRPr="00DD38C4" w:rsidRDefault="007C6982" w:rsidP="007C6982">
      <w:pPr>
        <w:spacing w:line="240" w:lineRule="auto"/>
        <w:jc w:val="left"/>
        <w:rPr>
          <w:rFonts w:asciiTheme="minorHAnsi" w:hAnsiTheme="minorHAnsi" w:cstheme="minorHAnsi"/>
          <w:i/>
          <w:iCs/>
          <w:color w:val="2C2B2B"/>
          <w:sz w:val="18"/>
          <w:szCs w:val="18"/>
          <w:lang w:val="en-US"/>
        </w:rPr>
      </w:pPr>
      <w:r w:rsidRPr="00DD38C4">
        <w:rPr>
          <w:rFonts w:asciiTheme="minorHAnsi" w:hAnsiTheme="minorHAnsi" w:cstheme="minorHAnsi"/>
          <w:i/>
          <w:iCs/>
          <w:color w:val="2C2B2B"/>
          <w:sz w:val="18"/>
          <w:szCs w:val="18"/>
          <w:lang w:val="en-US"/>
        </w:rPr>
        <w:t xml:space="preserve">In 1997, the IGCCCG defined a prognostic factor-based staging system for metastatic testis tumours based on identification of clinically independent adverse factors. This staging system has been incorporated into the TNM Classification and uses histology, location of the primary tumour, location of metastases and pre-chemotherapy marker levels in serum as prognostic factors to categorise patients into ‘good’, ‘intermediate’ or ‘poor’ prognosis. </w:t>
      </w:r>
    </w:p>
    <w:p w14:paraId="4AC66D5A" w14:textId="77777777" w:rsidR="00351D0F" w:rsidRPr="00DD38C4" w:rsidRDefault="00351D0F" w:rsidP="00351D0F">
      <w:pPr>
        <w:spacing w:line="240" w:lineRule="auto"/>
        <w:jc w:val="left"/>
        <w:rPr>
          <w:rFonts w:ascii="Calibri" w:hAnsi="Calibri" w:cs="Calibri"/>
          <w:lang w:val="en-US"/>
        </w:rPr>
      </w:pPr>
    </w:p>
    <w:p w14:paraId="395DF9BA" w14:textId="77777777" w:rsidR="00351D0F" w:rsidRPr="00DD38C4" w:rsidRDefault="00351D0F" w:rsidP="00351D0F">
      <w:pPr>
        <w:spacing w:line="240" w:lineRule="auto"/>
        <w:jc w:val="left"/>
        <w:rPr>
          <w:rFonts w:ascii="Calibri" w:hAnsi="Calibri" w:cs="Calibri"/>
          <w:lang w:val="en-US"/>
        </w:rPr>
      </w:pPr>
    </w:p>
    <w:p w14:paraId="65421ADA" w14:textId="77777777" w:rsidR="00351D0F" w:rsidRPr="00DD38C4" w:rsidRDefault="00351D0F" w:rsidP="00351D0F">
      <w:pPr>
        <w:spacing w:line="240" w:lineRule="auto"/>
        <w:jc w:val="left"/>
        <w:rPr>
          <w:rFonts w:ascii="Calibri" w:hAnsi="Calibri" w:cs="Calibri"/>
          <w:noProof/>
          <w:lang w:val="en-US" w:eastAsia="de-AT"/>
        </w:rPr>
      </w:pPr>
    </w:p>
    <w:p w14:paraId="340D0592" w14:textId="77777777" w:rsidR="00351D0F" w:rsidRPr="00DD38C4" w:rsidRDefault="00351D0F" w:rsidP="00351D0F">
      <w:pPr>
        <w:spacing w:line="240" w:lineRule="auto"/>
        <w:jc w:val="left"/>
        <w:rPr>
          <w:rFonts w:ascii="Calibri" w:hAnsi="Calibri" w:cs="Calibri"/>
          <w:noProof/>
          <w:lang w:val="en-US" w:eastAsia="de-AT"/>
        </w:rPr>
      </w:pPr>
    </w:p>
    <w:p w14:paraId="729B8CD9" w14:textId="77777777" w:rsidR="007C6982" w:rsidRPr="00DD38C4" w:rsidRDefault="007C6982" w:rsidP="00351D0F">
      <w:pPr>
        <w:spacing w:line="240" w:lineRule="auto"/>
        <w:jc w:val="left"/>
        <w:rPr>
          <w:rFonts w:ascii="Calibri" w:hAnsi="Calibri" w:cs="Calibri"/>
          <w:noProof/>
          <w:lang w:val="en-US" w:eastAsia="de-AT"/>
        </w:rPr>
      </w:pPr>
    </w:p>
    <w:p w14:paraId="547766BA" w14:textId="77777777" w:rsidR="007C6982" w:rsidRPr="00DD38C4" w:rsidRDefault="007C6982" w:rsidP="00351D0F">
      <w:pPr>
        <w:spacing w:line="240" w:lineRule="auto"/>
        <w:jc w:val="left"/>
        <w:rPr>
          <w:rFonts w:ascii="Calibri" w:hAnsi="Calibri" w:cs="Calibri"/>
          <w:noProof/>
          <w:lang w:val="en-US" w:eastAsia="de-AT"/>
        </w:rPr>
      </w:pPr>
    </w:p>
    <w:p w14:paraId="03ACDE31" w14:textId="77777777" w:rsidR="007C6982" w:rsidRPr="00DD38C4" w:rsidRDefault="007C6982" w:rsidP="00351D0F">
      <w:pPr>
        <w:spacing w:line="240" w:lineRule="auto"/>
        <w:jc w:val="left"/>
        <w:rPr>
          <w:rFonts w:ascii="Calibri" w:hAnsi="Calibri" w:cs="Calibri"/>
          <w:noProof/>
          <w:lang w:val="en-US" w:eastAsia="de-AT"/>
        </w:rPr>
      </w:pPr>
    </w:p>
    <w:p w14:paraId="19D4B181" w14:textId="77777777" w:rsidR="007C6982" w:rsidRPr="00DD38C4" w:rsidRDefault="007C6982" w:rsidP="007C6982">
      <w:pPr>
        <w:pStyle w:val="berschrift2"/>
        <w:rPr>
          <w:lang w:val="en-US"/>
        </w:rPr>
      </w:pPr>
      <w:bookmarkStart w:id="8" w:name="_Toc15372124"/>
      <w:r w:rsidRPr="00DD38C4">
        <w:rPr>
          <w:lang w:val="en-US"/>
        </w:rPr>
        <w:lastRenderedPageBreak/>
        <w:t>2.4</w:t>
      </w:r>
      <w:r w:rsidRPr="00DD38C4">
        <w:rPr>
          <w:lang w:val="en-US"/>
        </w:rPr>
        <w:tab/>
        <w:t>Prognosegruppen (International Germ Cell Cancer Collaborative Group)</w:t>
      </w:r>
      <w:bookmarkEnd w:id="8"/>
    </w:p>
    <w:p w14:paraId="0FAA6215" w14:textId="77777777" w:rsidR="00351D0F" w:rsidRPr="00DD38C4" w:rsidRDefault="00351D0F" w:rsidP="00351D0F">
      <w:pPr>
        <w:spacing w:line="240" w:lineRule="auto"/>
        <w:jc w:val="left"/>
        <w:rPr>
          <w:rFonts w:ascii="Calibri" w:hAnsi="Calibri" w:cs="Calibri"/>
          <w:noProof/>
          <w:lang w:val="en-US" w:eastAsia="de-AT"/>
        </w:rPr>
      </w:pPr>
    </w:p>
    <w:p w14:paraId="1681664B" w14:textId="77777777" w:rsidR="00351D0F" w:rsidRPr="00DD38C4" w:rsidRDefault="00351D0F" w:rsidP="00351D0F">
      <w:pPr>
        <w:spacing w:line="240" w:lineRule="auto"/>
        <w:jc w:val="left"/>
        <w:rPr>
          <w:rFonts w:ascii="Calibri" w:hAnsi="Calibri" w:cs="Calibri"/>
          <w:lang w:val="en-US"/>
        </w:rPr>
      </w:pPr>
    </w:p>
    <w:p w14:paraId="7D3E1A97" w14:textId="77777777" w:rsidR="001F2BEC" w:rsidRPr="00DD38C4" w:rsidRDefault="007C6982" w:rsidP="00351D0F">
      <w:pPr>
        <w:spacing w:line="240" w:lineRule="auto"/>
        <w:jc w:val="left"/>
        <w:rPr>
          <w:rFonts w:asciiTheme="minorHAnsi" w:hAnsiTheme="minorHAnsi" w:cstheme="minorHAnsi"/>
          <w:i/>
          <w:szCs w:val="22"/>
        </w:rPr>
      </w:pPr>
      <w:r w:rsidRPr="00DD38C4">
        <w:rPr>
          <w:noProof/>
          <w:lang w:eastAsia="de-AT"/>
        </w:rPr>
        <w:drawing>
          <wp:inline distT="0" distB="0" distL="0" distR="0" wp14:anchorId="5D3F6A6D" wp14:editId="64E2B7BB">
            <wp:extent cx="5075017" cy="5596646"/>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81808" cy="5604136"/>
                    </a:xfrm>
                    <a:prstGeom prst="rect">
                      <a:avLst/>
                    </a:prstGeom>
                  </pic:spPr>
                </pic:pic>
              </a:graphicData>
            </a:graphic>
          </wp:inline>
        </w:drawing>
      </w:r>
    </w:p>
    <w:p w14:paraId="528F20C5" w14:textId="77777777" w:rsidR="007C6982" w:rsidRPr="00DD38C4" w:rsidRDefault="007C6982" w:rsidP="007C6982">
      <w:pPr>
        <w:spacing w:line="240" w:lineRule="auto"/>
        <w:jc w:val="left"/>
        <w:rPr>
          <w:rFonts w:asciiTheme="minorHAnsi" w:hAnsiTheme="minorHAnsi" w:cstheme="minorHAnsi"/>
          <w:i/>
          <w:iCs/>
          <w:color w:val="2C2B2B"/>
          <w:sz w:val="18"/>
          <w:szCs w:val="18"/>
        </w:rPr>
      </w:pPr>
    </w:p>
    <w:p w14:paraId="57E9009A" w14:textId="77777777" w:rsidR="007C6982" w:rsidRPr="00DD38C4" w:rsidRDefault="007C6982" w:rsidP="00E64C5A">
      <w:pPr>
        <w:spacing w:line="240" w:lineRule="auto"/>
        <w:ind w:right="2436"/>
        <w:jc w:val="left"/>
        <w:rPr>
          <w:rFonts w:asciiTheme="minorHAnsi" w:hAnsiTheme="minorHAnsi" w:cstheme="minorHAnsi"/>
          <w:i/>
          <w:iCs/>
          <w:color w:val="2C2B2B"/>
          <w:sz w:val="18"/>
          <w:szCs w:val="18"/>
          <w:lang w:val="en-US"/>
        </w:rPr>
      </w:pPr>
      <w:r w:rsidRPr="00DD38C4">
        <w:rPr>
          <w:rFonts w:asciiTheme="minorHAnsi" w:hAnsiTheme="minorHAnsi" w:cstheme="minorHAnsi"/>
          <w:i/>
          <w:iCs/>
          <w:color w:val="2C2B2B"/>
          <w:sz w:val="18"/>
          <w:szCs w:val="18"/>
          <w:lang w:val="en-US"/>
        </w:rPr>
        <w:t>* Pre-chemotherapy serum tumour markers should be assessed immediately prior to the administration of chemotherapy (same day).</w:t>
      </w:r>
    </w:p>
    <w:p w14:paraId="20C90863" w14:textId="77777777" w:rsidR="007C6982" w:rsidRPr="00DD38C4" w:rsidRDefault="007C6982" w:rsidP="00E64C5A">
      <w:pPr>
        <w:spacing w:line="240" w:lineRule="auto"/>
        <w:ind w:right="2436"/>
        <w:jc w:val="left"/>
        <w:rPr>
          <w:rFonts w:asciiTheme="minorHAnsi" w:hAnsiTheme="minorHAnsi" w:cstheme="minorHAnsi"/>
          <w:i/>
          <w:iCs/>
          <w:color w:val="2C2B2B"/>
          <w:sz w:val="18"/>
          <w:szCs w:val="18"/>
          <w:lang w:val="en-US"/>
        </w:rPr>
      </w:pPr>
    </w:p>
    <w:p w14:paraId="5B537BC8" w14:textId="77777777" w:rsidR="007C6982" w:rsidRPr="00DD38C4" w:rsidRDefault="007C6982" w:rsidP="00E64C5A">
      <w:pPr>
        <w:spacing w:line="240" w:lineRule="auto"/>
        <w:ind w:right="2436"/>
        <w:jc w:val="left"/>
        <w:rPr>
          <w:rFonts w:asciiTheme="minorHAnsi" w:hAnsiTheme="minorHAnsi" w:cstheme="minorHAnsi"/>
          <w:i/>
          <w:iCs/>
          <w:color w:val="2C2B2B"/>
          <w:sz w:val="18"/>
          <w:szCs w:val="18"/>
          <w:lang w:val="en-US"/>
        </w:rPr>
      </w:pPr>
      <w:r w:rsidRPr="00DD38C4">
        <w:rPr>
          <w:rFonts w:asciiTheme="minorHAnsi" w:hAnsiTheme="minorHAnsi" w:cstheme="minorHAnsi"/>
          <w:i/>
          <w:iCs/>
          <w:color w:val="2C2B2B"/>
          <w:sz w:val="18"/>
          <w:szCs w:val="18"/>
          <w:lang w:val="en-US"/>
        </w:rPr>
        <w:t>PFS = progression-free survival; AFP = alpha-fetoprotein; hCG = human chorionic gonadotrophin; LDH = lactate dehydrogenase.</w:t>
      </w:r>
    </w:p>
    <w:p w14:paraId="2CC07BE1" w14:textId="77777777" w:rsidR="007C6982" w:rsidRPr="00DD38C4" w:rsidRDefault="007C6982" w:rsidP="00E64C5A">
      <w:pPr>
        <w:rPr>
          <w:lang w:val="en-US"/>
        </w:rPr>
      </w:pPr>
    </w:p>
    <w:p w14:paraId="6F5D2081" w14:textId="77777777" w:rsidR="00E64C5A" w:rsidRPr="00DD38C4" w:rsidRDefault="00E64C5A" w:rsidP="00E64C5A">
      <w:pPr>
        <w:rPr>
          <w:lang w:val="en-US"/>
        </w:rPr>
      </w:pPr>
    </w:p>
    <w:p w14:paraId="62B4F6CA" w14:textId="77777777" w:rsidR="00E64C5A" w:rsidRPr="00DD38C4" w:rsidRDefault="00E64C5A" w:rsidP="00E64C5A">
      <w:pPr>
        <w:rPr>
          <w:lang w:val="en-US"/>
        </w:rPr>
      </w:pPr>
    </w:p>
    <w:p w14:paraId="536C7C06" w14:textId="77777777" w:rsidR="00E64C5A" w:rsidRPr="00DD38C4" w:rsidRDefault="00E64C5A" w:rsidP="00E64C5A">
      <w:pPr>
        <w:rPr>
          <w:lang w:val="en-US"/>
        </w:rPr>
      </w:pPr>
    </w:p>
    <w:p w14:paraId="03DEC774" w14:textId="77777777" w:rsidR="00E64C5A" w:rsidRPr="00DD38C4" w:rsidRDefault="00E64C5A" w:rsidP="00E64C5A">
      <w:pPr>
        <w:rPr>
          <w:lang w:val="en-US"/>
        </w:rPr>
      </w:pPr>
    </w:p>
    <w:p w14:paraId="14965561" w14:textId="77777777" w:rsidR="00E64C5A" w:rsidRPr="00DD38C4" w:rsidRDefault="00E64C5A" w:rsidP="00E64C5A">
      <w:pPr>
        <w:rPr>
          <w:lang w:val="en-US"/>
        </w:rPr>
      </w:pPr>
    </w:p>
    <w:p w14:paraId="66563278" w14:textId="77777777" w:rsidR="00E64C5A" w:rsidRPr="00DD38C4" w:rsidRDefault="00E64C5A" w:rsidP="00E64C5A">
      <w:pPr>
        <w:rPr>
          <w:lang w:val="en-US"/>
        </w:rPr>
      </w:pPr>
    </w:p>
    <w:p w14:paraId="13DB0355" w14:textId="77777777" w:rsidR="006D4DAC" w:rsidRPr="00DD38C4" w:rsidRDefault="00F443D5" w:rsidP="00F443D5">
      <w:pPr>
        <w:pStyle w:val="berschrift1"/>
      </w:pPr>
      <w:bookmarkStart w:id="9" w:name="_Toc15372125"/>
      <w:bookmarkStart w:id="10" w:name="_Toc367183617"/>
      <w:bookmarkStart w:id="11" w:name="_Toc367183855"/>
      <w:r w:rsidRPr="00DD38C4">
        <w:lastRenderedPageBreak/>
        <w:t>3</w:t>
      </w:r>
      <w:r w:rsidRPr="00DD38C4">
        <w:tab/>
      </w:r>
      <w:r w:rsidR="006D4DAC" w:rsidRPr="00DD38C4">
        <w:t>Behandlungsplan</w:t>
      </w:r>
      <w:bookmarkEnd w:id="9"/>
      <w:r w:rsidR="006D4DAC" w:rsidRPr="00DD38C4">
        <w:t xml:space="preserve"> </w:t>
      </w:r>
      <w:bookmarkEnd w:id="10"/>
      <w:bookmarkEnd w:id="11"/>
    </w:p>
    <w:p w14:paraId="541B9045" w14:textId="77777777" w:rsidR="00351D0F" w:rsidRPr="00DD38C4" w:rsidRDefault="00351D0F" w:rsidP="00351D0F">
      <w:pPr>
        <w:autoSpaceDE w:val="0"/>
        <w:autoSpaceDN w:val="0"/>
        <w:adjustRightInd w:val="0"/>
        <w:spacing w:line="240" w:lineRule="auto"/>
        <w:jc w:val="left"/>
        <w:rPr>
          <w:rFonts w:ascii="Calibri" w:hAnsi="Calibri" w:cs="Calibri"/>
          <w:b/>
          <w:noProof/>
          <w:lang w:eastAsia="de-AT"/>
        </w:rPr>
      </w:pPr>
    </w:p>
    <w:p w14:paraId="407A9057" w14:textId="77777777" w:rsidR="00351D0F" w:rsidRPr="00DD38C4" w:rsidRDefault="00351D0F" w:rsidP="00351D0F">
      <w:pPr>
        <w:autoSpaceDE w:val="0"/>
        <w:autoSpaceDN w:val="0"/>
        <w:adjustRightInd w:val="0"/>
        <w:spacing w:line="240" w:lineRule="auto"/>
        <w:jc w:val="left"/>
        <w:rPr>
          <w:rFonts w:ascii="Calibri" w:hAnsi="Calibri" w:cs="Calibri"/>
          <w:b/>
          <w:noProof/>
          <w:lang w:eastAsia="de-AT"/>
        </w:rPr>
      </w:pPr>
      <w:r w:rsidRPr="00DD38C4">
        <w:rPr>
          <w:rFonts w:ascii="Calibri" w:hAnsi="Calibri" w:cs="Calibri"/>
          <w:b/>
          <w:noProof/>
          <w:lang w:eastAsia="de-AT"/>
        </w:rPr>
        <w:t>Primäre operative Therapie:</w:t>
      </w:r>
    </w:p>
    <w:p w14:paraId="39003B50" w14:textId="77777777" w:rsidR="00351D0F" w:rsidRPr="00DD38C4" w:rsidRDefault="00351D0F" w:rsidP="00351D0F">
      <w:pPr>
        <w:spacing w:line="240" w:lineRule="auto"/>
        <w:jc w:val="both"/>
        <w:rPr>
          <w:rFonts w:asciiTheme="minorHAnsi" w:hAnsiTheme="minorHAnsi" w:cstheme="minorHAnsi"/>
          <w:szCs w:val="22"/>
        </w:rPr>
      </w:pPr>
      <w:r w:rsidRPr="00DD38C4">
        <w:rPr>
          <w:rFonts w:asciiTheme="minorHAnsi" w:hAnsiTheme="minorHAnsi" w:cstheme="minorHAnsi"/>
          <w:szCs w:val="22"/>
        </w:rPr>
        <w:t xml:space="preserve">Inguinale Orchiektomie des tumortragenden Hodens mit aufgeschobener Dringlichkeit (wenn möglich Staging CT noch präoperativ)  mit Absetzung des Funiculus am inneren Leistenring; </w:t>
      </w:r>
    </w:p>
    <w:p w14:paraId="58F04081" w14:textId="77777777" w:rsidR="00351D0F" w:rsidRPr="00DD38C4" w:rsidRDefault="00351D0F" w:rsidP="00351D0F">
      <w:pPr>
        <w:spacing w:line="240" w:lineRule="auto"/>
        <w:jc w:val="both"/>
        <w:rPr>
          <w:rFonts w:asciiTheme="minorHAnsi" w:hAnsiTheme="minorHAnsi" w:cstheme="minorHAnsi"/>
          <w:szCs w:val="22"/>
        </w:rPr>
      </w:pPr>
    </w:p>
    <w:p w14:paraId="13E789E7" w14:textId="77777777" w:rsidR="00351D0F" w:rsidRPr="00DD38C4" w:rsidRDefault="00351D0F" w:rsidP="00351D0F">
      <w:pPr>
        <w:spacing w:line="240" w:lineRule="auto"/>
        <w:jc w:val="both"/>
        <w:rPr>
          <w:rFonts w:asciiTheme="minorHAnsi" w:hAnsiTheme="minorHAnsi" w:cstheme="minorHAnsi"/>
          <w:szCs w:val="22"/>
        </w:rPr>
      </w:pPr>
      <w:r w:rsidRPr="00DD38C4">
        <w:rPr>
          <w:rFonts w:asciiTheme="minorHAnsi" w:hAnsiTheme="minorHAnsi" w:cstheme="minorHAnsi"/>
          <w:szCs w:val="22"/>
        </w:rPr>
        <w:t xml:space="preserve">Tumorenukleation mit Randbiopsien ( &gt;80% TIN Inzidenz ) indiziert bei </w:t>
      </w:r>
    </w:p>
    <w:p w14:paraId="34A2321E" w14:textId="77777777" w:rsidR="00351D0F" w:rsidRPr="00DD38C4" w:rsidRDefault="00351D0F" w:rsidP="00351D0F">
      <w:pPr>
        <w:pStyle w:val="Listenabsatz"/>
        <w:numPr>
          <w:ilvl w:val="0"/>
          <w:numId w:val="17"/>
        </w:numPr>
        <w:spacing w:line="240" w:lineRule="auto"/>
        <w:jc w:val="both"/>
        <w:rPr>
          <w:rFonts w:asciiTheme="minorHAnsi" w:hAnsiTheme="minorHAnsi" w:cstheme="minorHAnsi"/>
          <w:szCs w:val="22"/>
        </w:rPr>
      </w:pPr>
      <w:r w:rsidRPr="00DD38C4">
        <w:rPr>
          <w:rFonts w:asciiTheme="minorHAnsi" w:hAnsiTheme="minorHAnsi" w:cstheme="minorHAnsi"/>
          <w:szCs w:val="22"/>
        </w:rPr>
        <w:t xml:space="preserve">Einzelhoden mit normalen preoperativen Testosteronwerten und Tumorvolumen kleiner 30% des Hodenvolumens, </w:t>
      </w:r>
    </w:p>
    <w:p w14:paraId="4D698283" w14:textId="77777777" w:rsidR="00351D0F" w:rsidRPr="00DD38C4" w:rsidRDefault="00351D0F" w:rsidP="00351D0F">
      <w:pPr>
        <w:pStyle w:val="Listenabsatz"/>
        <w:numPr>
          <w:ilvl w:val="0"/>
          <w:numId w:val="17"/>
        </w:numPr>
        <w:spacing w:line="240" w:lineRule="auto"/>
        <w:jc w:val="both"/>
        <w:rPr>
          <w:rFonts w:asciiTheme="minorHAnsi" w:hAnsiTheme="minorHAnsi" w:cstheme="minorHAnsi"/>
          <w:szCs w:val="22"/>
        </w:rPr>
      </w:pPr>
      <w:r w:rsidRPr="00DD38C4">
        <w:rPr>
          <w:rFonts w:asciiTheme="minorHAnsi" w:hAnsiTheme="minorHAnsi" w:cstheme="minorHAnsi"/>
          <w:szCs w:val="22"/>
        </w:rPr>
        <w:t>bei synchronen bilateralen Tumoren oder</w:t>
      </w:r>
    </w:p>
    <w:p w14:paraId="63C0BEB8" w14:textId="77777777" w:rsidR="00351D0F" w:rsidRPr="00DD38C4" w:rsidRDefault="00351D0F" w:rsidP="00351D0F">
      <w:pPr>
        <w:pStyle w:val="Listenabsatz"/>
        <w:numPr>
          <w:ilvl w:val="0"/>
          <w:numId w:val="17"/>
        </w:numPr>
        <w:spacing w:line="240" w:lineRule="auto"/>
        <w:jc w:val="both"/>
        <w:rPr>
          <w:rFonts w:asciiTheme="minorHAnsi" w:hAnsiTheme="minorHAnsi" w:cstheme="minorHAnsi"/>
          <w:szCs w:val="22"/>
        </w:rPr>
      </w:pPr>
      <w:r w:rsidRPr="00DD38C4">
        <w:rPr>
          <w:rFonts w:asciiTheme="minorHAnsi" w:hAnsiTheme="minorHAnsi" w:cstheme="minorHAnsi"/>
          <w:szCs w:val="22"/>
        </w:rPr>
        <w:t xml:space="preserve">metachronen kontralateralenTumoren. </w:t>
      </w:r>
    </w:p>
    <w:p w14:paraId="74617E98" w14:textId="77777777" w:rsidR="00351D0F" w:rsidRPr="00DD38C4" w:rsidRDefault="00351D0F" w:rsidP="00351D0F">
      <w:pPr>
        <w:autoSpaceDE w:val="0"/>
        <w:autoSpaceDN w:val="0"/>
        <w:adjustRightInd w:val="0"/>
        <w:spacing w:line="240" w:lineRule="auto"/>
        <w:jc w:val="left"/>
        <w:rPr>
          <w:rFonts w:ascii="Calibri" w:hAnsi="Calibri" w:cs="Calibri"/>
          <w:noProof/>
          <w:lang w:eastAsia="de-AT"/>
        </w:rPr>
      </w:pPr>
    </w:p>
    <w:p w14:paraId="5B4280AF" w14:textId="77777777" w:rsidR="00351D0F" w:rsidRPr="00DD38C4" w:rsidRDefault="00351D0F" w:rsidP="00351D0F">
      <w:pPr>
        <w:autoSpaceDE w:val="0"/>
        <w:autoSpaceDN w:val="0"/>
        <w:adjustRightInd w:val="0"/>
        <w:spacing w:line="240" w:lineRule="auto"/>
        <w:jc w:val="left"/>
        <w:rPr>
          <w:rFonts w:ascii="Calibri" w:hAnsi="Calibri" w:cs="Calibri"/>
          <w:noProof/>
          <w:lang w:eastAsia="de-AT"/>
        </w:rPr>
      </w:pPr>
    </w:p>
    <w:p w14:paraId="214F8FF8" w14:textId="77777777" w:rsidR="00351D0F" w:rsidRPr="00DD38C4" w:rsidRDefault="00351D0F" w:rsidP="00351D0F">
      <w:pPr>
        <w:autoSpaceDE w:val="0"/>
        <w:autoSpaceDN w:val="0"/>
        <w:adjustRightInd w:val="0"/>
        <w:spacing w:line="240" w:lineRule="auto"/>
        <w:jc w:val="left"/>
        <w:rPr>
          <w:rFonts w:ascii="Calibri" w:hAnsi="Calibri" w:cs="Calibri"/>
          <w:b/>
          <w:noProof/>
          <w:lang w:eastAsia="de-AT"/>
        </w:rPr>
      </w:pPr>
      <w:r w:rsidRPr="00DD38C4">
        <w:rPr>
          <w:rFonts w:ascii="Calibri" w:hAnsi="Calibri" w:cs="Calibri"/>
          <w:b/>
          <w:noProof/>
          <w:lang w:eastAsia="de-AT"/>
        </w:rPr>
        <w:t xml:space="preserve">Markerabfall: </w:t>
      </w:r>
    </w:p>
    <w:p w14:paraId="0452E122" w14:textId="77777777" w:rsidR="004E11B2" w:rsidRPr="00DD38C4" w:rsidRDefault="00351D0F" w:rsidP="00351D0F">
      <w:pPr>
        <w:autoSpaceDE w:val="0"/>
        <w:autoSpaceDN w:val="0"/>
        <w:adjustRightInd w:val="0"/>
        <w:spacing w:line="240" w:lineRule="auto"/>
        <w:jc w:val="both"/>
        <w:rPr>
          <w:rFonts w:asciiTheme="minorHAnsi" w:hAnsiTheme="minorHAnsi" w:cstheme="minorHAnsi"/>
          <w:szCs w:val="22"/>
        </w:rPr>
      </w:pPr>
      <w:r w:rsidRPr="00DD38C4">
        <w:rPr>
          <w:rFonts w:asciiTheme="minorHAnsi" w:hAnsiTheme="minorHAnsi" w:cstheme="minorHAnsi"/>
          <w:szCs w:val="22"/>
        </w:rPr>
        <w:t>b-HCG und AFP sollen vor Start des 3. Zyklus Chemotherapie normalisiert sein oder gemäß der HWZ (s.o.) rückläufig sein. Falls dies nicht erreicht wird ist für Zyklus 3 und 4 eine Salvage-Chemotherapie zu wählen. Wird bis Ende des 4. Zyklus das Behandlungsziel noch immer nicht erreicht ist eine autologer SCT in den Behandlungsplan zu implementieren (Motzer et al, JCO 2007)</w:t>
      </w:r>
      <w:r w:rsidR="00E64C5A" w:rsidRPr="00DD38C4">
        <w:rPr>
          <w:rFonts w:asciiTheme="minorHAnsi" w:hAnsiTheme="minorHAnsi" w:cstheme="minorHAnsi"/>
          <w:szCs w:val="22"/>
        </w:rPr>
        <w:t xml:space="preserve">. </w:t>
      </w:r>
    </w:p>
    <w:p w14:paraId="7A938620" w14:textId="77777777" w:rsidR="004E11B2" w:rsidRPr="00DD38C4" w:rsidRDefault="004E11B2" w:rsidP="00351D0F">
      <w:pPr>
        <w:autoSpaceDE w:val="0"/>
        <w:autoSpaceDN w:val="0"/>
        <w:adjustRightInd w:val="0"/>
        <w:spacing w:line="240" w:lineRule="auto"/>
        <w:jc w:val="both"/>
        <w:rPr>
          <w:rFonts w:asciiTheme="minorHAnsi" w:hAnsiTheme="minorHAnsi" w:cstheme="minorHAnsi"/>
          <w:szCs w:val="22"/>
        </w:rPr>
      </w:pPr>
    </w:p>
    <w:p w14:paraId="088D8359" w14:textId="77777777" w:rsidR="00351D0F" w:rsidRPr="00DD38C4" w:rsidRDefault="00E64C5A" w:rsidP="00351D0F">
      <w:pPr>
        <w:autoSpaceDE w:val="0"/>
        <w:autoSpaceDN w:val="0"/>
        <w:adjustRightInd w:val="0"/>
        <w:spacing w:line="240" w:lineRule="auto"/>
        <w:jc w:val="both"/>
        <w:rPr>
          <w:rFonts w:asciiTheme="minorHAnsi" w:hAnsiTheme="minorHAnsi" w:cstheme="minorHAnsi"/>
          <w:szCs w:val="22"/>
        </w:rPr>
      </w:pPr>
      <w:r w:rsidRPr="00DD38C4">
        <w:rPr>
          <w:rFonts w:asciiTheme="minorHAnsi" w:hAnsiTheme="minorHAnsi" w:cstheme="minorHAnsi"/>
          <w:szCs w:val="22"/>
        </w:rPr>
        <w:t xml:space="preserve">Neuere Algorithmen vergleichen bereits </w:t>
      </w:r>
      <w:r w:rsidR="004E11B2" w:rsidRPr="00DD38C4">
        <w:rPr>
          <w:rFonts w:asciiTheme="minorHAnsi" w:hAnsiTheme="minorHAnsi" w:cstheme="minorHAnsi"/>
          <w:szCs w:val="22"/>
        </w:rPr>
        <w:t xml:space="preserve">die Tumormarker </w:t>
      </w:r>
      <w:r w:rsidRPr="00DD38C4">
        <w:rPr>
          <w:rFonts w:asciiTheme="minorHAnsi" w:hAnsiTheme="minorHAnsi" w:cstheme="minorHAnsi"/>
          <w:szCs w:val="22"/>
        </w:rPr>
        <w:t xml:space="preserve">prä-Chemo mit </w:t>
      </w:r>
      <w:r w:rsidR="004E11B2" w:rsidRPr="00DD38C4">
        <w:rPr>
          <w:rFonts w:asciiTheme="minorHAnsi" w:hAnsiTheme="minorHAnsi" w:cstheme="minorHAnsi"/>
          <w:szCs w:val="22"/>
        </w:rPr>
        <w:t xml:space="preserve">denen am </w:t>
      </w:r>
      <w:r w:rsidRPr="00DD38C4">
        <w:rPr>
          <w:rFonts w:asciiTheme="minorHAnsi" w:hAnsiTheme="minorHAnsi" w:cstheme="minorHAnsi"/>
          <w:szCs w:val="22"/>
        </w:rPr>
        <w:t xml:space="preserve">d18-21 um den adäquaten Markerabfall zu bestimmen: unter </w:t>
      </w:r>
      <w:hyperlink r:id="rId20" w:history="1">
        <w:r w:rsidRPr="00DD38C4">
          <w:rPr>
            <w:rStyle w:val="Hyperlink"/>
            <w:rFonts w:asciiTheme="minorHAnsi" w:hAnsiTheme="minorHAnsi" w:cstheme="minorHAnsi"/>
            <w:szCs w:val="22"/>
          </w:rPr>
          <w:t>https://www.gustaveroussy.fr/calculation-tumor/NSGCT.html</w:t>
        </w:r>
      </w:hyperlink>
      <w:r w:rsidRPr="00DD38C4">
        <w:rPr>
          <w:rFonts w:asciiTheme="minorHAnsi" w:hAnsiTheme="minorHAnsi" w:cstheme="minorHAnsi"/>
          <w:szCs w:val="22"/>
        </w:rPr>
        <w:t xml:space="preserve"> ist ein xls.-, Android- oder Iphone-Kalkulator verfügbar.</w:t>
      </w:r>
    </w:p>
    <w:p w14:paraId="37F49B6A" w14:textId="77777777" w:rsidR="00351D0F" w:rsidRPr="00DD38C4" w:rsidRDefault="00351D0F" w:rsidP="00351D0F">
      <w:pPr>
        <w:autoSpaceDE w:val="0"/>
        <w:autoSpaceDN w:val="0"/>
        <w:adjustRightInd w:val="0"/>
        <w:spacing w:line="240" w:lineRule="auto"/>
        <w:jc w:val="left"/>
        <w:rPr>
          <w:rFonts w:ascii="Calibri" w:hAnsi="Calibri" w:cs="Calibri"/>
          <w:noProof/>
          <w:lang w:eastAsia="de-AT"/>
        </w:rPr>
      </w:pPr>
    </w:p>
    <w:p w14:paraId="3DFB002F" w14:textId="77777777" w:rsidR="00351D0F" w:rsidRPr="00DD38C4" w:rsidRDefault="00351D0F" w:rsidP="00351D0F">
      <w:pPr>
        <w:autoSpaceDE w:val="0"/>
        <w:autoSpaceDN w:val="0"/>
        <w:adjustRightInd w:val="0"/>
        <w:spacing w:line="240" w:lineRule="auto"/>
        <w:jc w:val="left"/>
        <w:rPr>
          <w:rFonts w:ascii="Calibri" w:hAnsi="Calibri" w:cs="Calibri"/>
          <w:b/>
          <w:noProof/>
          <w:lang w:eastAsia="de-AT"/>
        </w:rPr>
      </w:pPr>
    </w:p>
    <w:p w14:paraId="6142DA46" w14:textId="77777777" w:rsidR="00351D0F" w:rsidRPr="00DD38C4" w:rsidRDefault="00351D0F" w:rsidP="00351D0F">
      <w:pPr>
        <w:autoSpaceDE w:val="0"/>
        <w:autoSpaceDN w:val="0"/>
        <w:adjustRightInd w:val="0"/>
        <w:spacing w:line="240" w:lineRule="auto"/>
        <w:jc w:val="left"/>
        <w:rPr>
          <w:rFonts w:asciiTheme="minorHAnsi" w:hAnsiTheme="minorHAnsi" w:cstheme="minorHAnsi"/>
          <w:b/>
          <w:szCs w:val="22"/>
        </w:rPr>
      </w:pPr>
      <w:r w:rsidRPr="00DD38C4">
        <w:rPr>
          <w:rFonts w:asciiTheme="minorHAnsi" w:hAnsiTheme="minorHAnsi" w:cstheme="minorHAnsi"/>
          <w:b/>
          <w:szCs w:val="22"/>
        </w:rPr>
        <w:t xml:space="preserve">Zwischenstaging: </w:t>
      </w:r>
    </w:p>
    <w:p w14:paraId="5CBC890B" w14:textId="77777777" w:rsidR="00351D0F" w:rsidRPr="00DD38C4" w:rsidRDefault="00351D0F" w:rsidP="00351D0F">
      <w:pPr>
        <w:autoSpaceDE w:val="0"/>
        <w:autoSpaceDN w:val="0"/>
        <w:adjustRightInd w:val="0"/>
        <w:spacing w:line="240" w:lineRule="auto"/>
        <w:jc w:val="left"/>
        <w:rPr>
          <w:rFonts w:asciiTheme="minorHAnsi" w:hAnsiTheme="minorHAnsi" w:cstheme="minorHAnsi"/>
          <w:szCs w:val="22"/>
        </w:rPr>
      </w:pPr>
      <w:r w:rsidRPr="00DD38C4">
        <w:rPr>
          <w:rFonts w:asciiTheme="minorHAnsi" w:hAnsiTheme="minorHAnsi" w:cstheme="minorHAnsi"/>
          <w:szCs w:val="22"/>
        </w:rPr>
        <w:t>Patienten unter PEB, PE, PEI oder TIP sollten nach 2 Zyklen auch bildgebend kontrolliert werden!</w:t>
      </w:r>
    </w:p>
    <w:p w14:paraId="47E24E20" w14:textId="77777777" w:rsidR="00351D0F" w:rsidRPr="00DD38C4" w:rsidRDefault="00351D0F" w:rsidP="00351D0F">
      <w:pPr>
        <w:autoSpaceDE w:val="0"/>
        <w:autoSpaceDN w:val="0"/>
        <w:adjustRightInd w:val="0"/>
        <w:spacing w:line="240" w:lineRule="auto"/>
        <w:jc w:val="left"/>
        <w:rPr>
          <w:rFonts w:asciiTheme="minorHAnsi" w:hAnsiTheme="minorHAnsi" w:cstheme="minorHAnsi"/>
          <w:szCs w:val="22"/>
        </w:rPr>
      </w:pPr>
    </w:p>
    <w:p w14:paraId="4FDC0761" w14:textId="77777777" w:rsidR="004E11B2" w:rsidRPr="00DD38C4" w:rsidRDefault="004E11B2" w:rsidP="00351D0F">
      <w:pPr>
        <w:autoSpaceDE w:val="0"/>
        <w:autoSpaceDN w:val="0"/>
        <w:adjustRightInd w:val="0"/>
        <w:spacing w:line="240" w:lineRule="auto"/>
        <w:jc w:val="left"/>
        <w:rPr>
          <w:rFonts w:asciiTheme="minorHAnsi" w:hAnsiTheme="minorHAnsi" w:cstheme="minorHAnsi"/>
          <w:szCs w:val="22"/>
        </w:rPr>
      </w:pPr>
    </w:p>
    <w:p w14:paraId="4713E157" w14:textId="77777777" w:rsidR="00351D0F" w:rsidRPr="00DD38C4" w:rsidRDefault="00351D0F" w:rsidP="00351D0F">
      <w:pPr>
        <w:autoSpaceDE w:val="0"/>
        <w:autoSpaceDN w:val="0"/>
        <w:adjustRightInd w:val="0"/>
        <w:spacing w:line="240" w:lineRule="auto"/>
        <w:jc w:val="left"/>
        <w:rPr>
          <w:rFonts w:asciiTheme="minorHAnsi" w:hAnsiTheme="minorHAnsi" w:cstheme="minorHAnsi"/>
          <w:b/>
          <w:szCs w:val="22"/>
        </w:rPr>
      </w:pPr>
      <w:r w:rsidRPr="00DD38C4">
        <w:rPr>
          <w:rFonts w:asciiTheme="minorHAnsi" w:hAnsiTheme="minorHAnsi" w:cstheme="minorHAnsi"/>
          <w:b/>
          <w:szCs w:val="22"/>
        </w:rPr>
        <w:t xml:space="preserve">Dosis in der Zeit: </w:t>
      </w:r>
    </w:p>
    <w:p w14:paraId="60B89CEC" w14:textId="77777777" w:rsidR="00351D0F" w:rsidRPr="00DD38C4" w:rsidRDefault="00351D0F" w:rsidP="00E64C5A">
      <w:pPr>
        <w:autoSpaceDE w:val="0"/>
        <w:autoSpaceDN w:val="0"/>
        <w:adjustRightInd w:val="0"/>
        <w:spacing w:line="240" w:lineRule="auto"/>
        <w:jc w:val="both"/>
        <w:rPr>
          <w:rFonts w:asciiTheme="minorHAnsi" w:hAnsiTheme="minorHAnsi" w:cstheme="minorHAnsi"/>
          <w:b/>
          <w:szCs w:val="22"/>
        </w:rPr>
      </w:pPr>
      <w:r w:rsidRPr="00DD38C4">
        <w:rPr>
          <w:rFonts w:asciiTheme="minorHAnsi" w:hAnsiTheme="minorHAnsi" w:cstheme="minorHAnsi"/>
          <w:b/>
          <w:szCs w:val="22"/>
        </w:rPr>
        <w:t xml:space="preserve">Beim Hodenkarzinom ist </w:t>
      </w:r>
      <w:r w:rsidR="00E64C5A" w:rsidRPr="00DD38C4">
        <w:rPr>
          <w:rFonts w:asciiTheme="minorHAnsi" w:hAnsiTheme="minorHAnsi" w:cstheme="minorHAnsi"/>
          <w:b/>
          <w:szCs w:val="22"/>
        </w:rPr>
        <w:t xml:space="preserve">ein rascher postoperativer Chemostart sowie </w:t>
      </w:r>
      <w:r w:rsidRPr="00DD38C4">
        <w:rPr>
          <w:rFonts w:asciiTheme="minorHAnsi" w:hAnsiTheme="minorHAnsi" w:cstheme="minorHAnsi"/>
          <w:b/>
          <w:szCs w:val="22"/>
        </w:rPr>
        <w:t xml:space="preserve">das Einhalten der Chemo-Intervalle besonders wichtig und Verzögerungen sind zu vermeiden! </w:t>
      </w:r>
    </w:p>
    <w:p w14:paraId="2568ED2B" w14:textId="77777777" w:rsidR="00E64C5A" w:rsidRPr="00DD38C4" w:rsidRDefault="00E64C5A" w:rsidP="00E64C5A">
      <w:pPr>
        <w:autoSpaceDE w:val="0"/>
        <w:autoSpaceDN w:val="0"/>
        <w:adjustRightInd w:val="0"/>
        <w:spacing w:line="240" w:lineRule="auto"/>
        <w:jc w:val="both"/>
        <w:rPr>
          <w:rFonts w:asciiTheme="minorHAnsi" w:hAnsiTheme="minorHAnsi" w:cstheme="minorHAnsi"/>
          <w:szCs w:val="22"/>
        </w:rPr>
      </w:pPr>
    </w:p>
    <w:p w14:paraId="455F3F85" w14:textId="77777777" w:rsidR="004E11B2" w:rsidRPr="00DD38C4" w:rsidRDefault="004E11B2" w:rsidP="00E64C5A">
      <w:pPr>
        <w:autoSpaceDE w:val="0"/>
        <w:autoSpaceDN w:val="0"/>
        <w:adjustRightInd w:val="0"/>
        <w:spacing w:line="240" w:lineRule="auto"/>
        <w:jc w:val="both"/>
        <w:rPr>
          <w:rFonts w:asciiTheme="minorHAnsi" w:hAnsiTheme="minorHAnsi" w:cstheme="minorHAnsi"/>
          <w:szCs w:val="22"/>
        </w:rPr>
      </w:pPr>
    </w:p>
    <w:p w14:paraId="7214B44B" w14:textId="77777777" w:rsidR="00E64C5A" w:rsidRPr="00DD38C4" w:rsidRDefault="00E64C5A" w:rsidP="00E64C5A">
      <w:pPr>
        <w:autoSpaceDE w:val="0"/>
        <w:autoSpaceDN w:val="0"/>
        <w:adjustRightInd w:val="0"/>
        <w:spacing w:line="240" w:lineRule="auto"/>
        <w:jc w:val="left"/>
        <w:rPr>
          <w:rFonts w:asciiTheme="minorHAnsi" w:hAnsiTheme="minorHAnsi" w:cstheme="minorHAnsi"/>
          <w:b/>
          <w:szCs w:val="22"/>
        </w:rPr>
      </w:pPr>
      <w:r w:rsidRPr="00DD38C4">
        <w:rPr>
          <w:rFonts w:asciiTheme="minorHAnsi" w:hAnsiTheme="minorHAnsi" w:cstheme="minorHAnsi"/>
          <w:b/>
          <w:szCs w:val="22"/>
        </w:rPr>
        <w:t>Chorionkarzinom Syndrom:</w:t>
      </w:r>
    </w:p>
    <w:p w14:paraId="1F559F6D" w14:textId="77777777" w:rsidR="00E64C5A" w:rsidRPr="00DD38C4" w:rsidRDefault="00E64C5A" w:rsidP="00E64C5A">
      <w:pPr>
        <w:autoSpaceDE w:val="0"/>
        <w:autoSpaceDN w:val="0"/>
        <w:adjustRightInd w:val="0"/>
        <w:spacing w:line="240" w:lineRule="auto"/>
        <w:jc w:val="both"/>
        <w:rPr>
          <w:rFonts w:asciiTheme="minorHAnsi" w:hAnsiTheme="minorHAnsi" w:cstheme="minorHAnsi"/>
          <w:szCs w:val="22"/>
        </w:rPr>
      </w:pPr>
      <w:r w:rsidRPr="00DD38C4">
        <w:rPr>
          <w:rFonts w:asciiTheme="minorHAnsi" w:hAnsiTheme="minorHAnsi" w:cstheme="minorHAnsi"/>
          <w:szCs w:val="22"/>
        </w:rPr>
        <w:t xml:space="preserve">Patienten mit hoher Tumorlast und sehr hohen b-HCG Serumspiegeln haben ein deutlich erhöhtes </w:t>
      </w:r>
      <w:r w:rsidR="004E11B2" w:rsidRPr="00DD38C4">
        <w:rPr>
          <w:rFonts w:asciiTheme="minorHAnsi" w:hAnsiTheme="minorHAnsi" w:cstheme="minorHAnsi"/>
          <w:szCs w:val="22"/>
        </w:rPr>
        <w:t>Risiko auf ein Chorionkarzinom-S</w:t>
      </w:r>
      <w:r w:rsidRPr="00DD38C4">
        <w:rPr>
          <w:rFonts w:asciiTheme="minorHAnsi" w:hAnsiTheme="minorHAnsi" w:cstheme="minorHAnsi"/>
          <w:szCs w:val="22"/>
        </w:rPr>
        <w:t>yndrom (Front. Endocrinol. 2019: 10:218) weshalb eine Chemo</w:t>
      </w:r>
      <w:r w:rsidR="004E11B2" w:rsidRPr="00DD38C4">
        <w:rPr>
          <w:rFonts w:asciiTheme="minorHAnsi" w:hAnsiTheme="minorHAnsi" w:cstheme="minorHAnsi"/>
          <w:szCs w:val="22"/>
        </w:rPr>
        <w:t>-V</w:t>
      </w:r>
      <w:r w:rsidRPr="00DD38C4">
        <w:rPr>
          <w:rFonts w:asciiTheme="minorHAnsi" w:hAnsiTheme="minorHAnsi" w:cstheme="minorHAnsi"/>
          <w:szCs w:val="22"/>
        </w:rPr>
        <w:t>orphase (</w:t>
      </w:r>
      <w:r w:rsidR="004E11B2" w:rsidRPr="00DD38C4">
        <w:rPr>
          <w:rFonts w:asciiTheme="minorHAnsi" w:hAnsiTheme="minorHAnsi" w:cstheme="minorHAnsi"/>
          <w:szCs w:val="22"/>
        </w:rPr>
        <w:t xml:space="preserve">z.B. </w:t>
      </w:r>
      <w:r w:rsidR="0079635D" w:rsidRPr="00DD38C4">
        <w:rPr>
          <w:rFonts w:asciiTheme="minorHAnsi" w:hAnsiTheme="minorHAnsi" w:cstheme="minorHAnsi"/>
          <w:szCs w:val="22"/>
        </w:rPr>
        <w:t xml:space="preserve"> 3d-</w:t>
      </w:r>
      <w:r w:rsidRPr="00DD38C4">
        <w:rPr>
          <w:rFonts w:asciiTheme="minorHAnsi" w:hAnsiTheme="minorHAnsi" w:cstheme="minorHAnsi"/>
          <w:szCs w:val="22"/>
        </w:rPr>
        <w:t>PEB</w:t>
      </w:r>
      <w:r w:rsidR="0079635D" w:rsidRPr="00DD38C4">
        <w:rPr>
          <w:rFonts w:asciiTheme="minorHAnsi" w:hAnsiTheme="minorHAnsi" w:cstheme="minorHAnsi"/>
          <w:szCs w:val="22"/>
        </w:rPr>
        <w:t xml:space="preserve"> </w:t>
      </w:r>
      <w:r w:rsidRPr="00DD38C4">
        <w:rPr>
          <w:rFonts w:asciiTheme="minorHAnsi" w:hAnsiTheme="minorHAnsi" w:cstheme="minorHAnsi"/>
          <w:szCs w:val="22"/>
        </w:rPr>
        <w:t>) überlegt werden sollte.</w:t>
      </w:r>
    </w:p>
    <w:p w14:paraId="32D1EDF1" w14:textId="77777777" w:rsidR="00E64C5A" w:rsidRPr="00DD38C4" w:rsidRDefault="00E64C5A" w:rsidP="00E64C5A">
      <w:pPr>
        <w:autoSpaceDE w:val="0"/>
        <w:autoSpaceDN w:val="0"/>
        <w:adjustRightInd w:val="0"/>
        <w:spacing w:line="240" w:lineRule="auto"/>
        <w:jc w:val="both"/>
        <w:rPr>
          <w:rFonts w:asciiTheme="minorHAnsi" w:hAnsiTheme="minorHAnsi" w:cstheme="minorHAnsi"/>
          <w:b/>
          <w:szCs w:val="22"/>
        </w:rPr>
      </w:pPr>
    </w:p>
    <w:p w14:paraId="3AA20C1F" w14:textId="77777777" w:rsidR="00351D0F" w:rsidRPr="00DD38C4" w:rsidRDefault="00351D0F" w:rsidP="00351D0F"/>
    <w:p w14:paraId="75B7C55E" w14:textId="77777777" w:rsidR="00351D0F" w:rsidRPr="00DD38C4" w:rsidRDefault="00351D0F" w:rsidP="00351D0F"/>
    <w:p w14:paraId="261BABA0" w14:textId="77777777" w:rsidR="00351D0F" w:rsidRPr="00DD38C4" w:rsidRDefault="00351D0F" w:rsidP="00351D0F"/>
    <w:p w14:paraId="0E93D200" w14:textId="77777777" w:rsidR="00351D0F" w:rsidRPr="00DD38C4" w:rsidRDefault="00351D0F" w:rsidP="00351D0F"/>
    <w:p w14:paraId="57EBF84E" w14:textId="77777777" w:rsidR="00351D0F" w:rsidRPr="00DD38C4" w:rsidRDefault="00351D0F" w:rsidP="00351D0F"/>
    <w:p w14:paraId="12A1ABEB" w14:textId="77777777" w:rsidR="00351D0F" w:rsidRPr="00DD38C4" w:rsidRDefault="00351D0F" w:rsidP="00351D0F"/>
    <w:p w14:paraId="5F4D1935" w14:textId="77777777" w:rsidR="00351D0F" w:rsidRPr="00DD38C4" w:rsidRDefault="00351D0F" w:rsidP="00351D0F"/>
    <w:p w14:paraId="2BCCE0FE" w14:textId="77777777" w:rsidR="00351D0F" w:rsidRPr="00DD38C4" w:rsidRDefault="00351D0F" w:rsidP="00351D0F"/>
    <w:p w14:paraId="6DE048D6" w14:textId="77777777" w:rsidR="00351D0F" w:rsidRPr="00DD38C4" w:rsidRDefault="00351D0F" w:rsidP="00351D0F"/>
    <w:p w14:paraId="50572E68" w14:textId="77777777" w:rsidR="00351D0F" w:rsidRPr="00DD38C4" w:rsidRDefault="00351D0F" w:rsidP="00351D0F"/>
    <w:p w14:paraId="3B9C1E94" w14:textId="77777777" w:rsidR="00351D0F" w:rsidRPr="00DD38C4" w:rsidRDefault="00351D0F" w:rsidP="00351D0F">
      <w:pPr>
        <w:pStyle w:val="berschrift2"/>
      </w:pPr>
      <w:bookmarkStart w:id="12" w:name="_Toc15372126"/>
      <w:r w:rsidRPr="00DD38C4">
        <w:lastRenderedPageBreak/>
        <w:t>3.1</w:t>
      </w:r>
      <w:r w:rsidRPr="00DD38C4">
        <w:tab/>
        <w:t>Seminom</w:t>
      </w:r>
      <w:bookmarkEnd w:id="12"/>
    </w:p>
    <w:p w14:paraId="6F4DE296" w14:textId="77777777" w:rsidR="00351D0F" w:rsidRPr="00DD38C4" w:rsidRDefault="00351D0F" w:rsidP="00351D0F"/>
    <w:p w14:paraId="19FA97FE" w14:textId="3451AA66" w:rsidR="00351D0F" w:rsidRPr="00DD38C4" w:rsidRDefault="00FA508C" w:rsidP="00351D0F">
      <w:pPr>
        <w:pStyle w:val="Textkrper-Einzug2"/>
        <w:spacing w:line="276" w:lineRule="auto"/>
        <w:ind w:left="0"/>
        <w:jc w:val="both"/>
        <w:rPr>
          <w:rFonts w:asciiTheme="minorHAnsi" w:hAnsiTheme="minorHAnsi" w:cstheme="minorHAnsi"/>
          <w:szCs w:val="22"/>
        </w:rPr>
      </w:pPr>
      <w:r>
        <w:rPr>
          <w:rFonts w:asciiTheme="minorHAnsi" w:hAnsiTheme="minorHAnsi" w:cstheme="minorHAnsi"/>
          <w:noProof/>
          <w:szCs w:val="22"/>
          <w:lang w:eastAsia="de-AT"/>
        </w:rPr>
        <w:drawing>
          <wp:inline distT="0" distB="0" distL="0" distR="0" wp14:anchorId="3C02D157" wp14:editId="27E3F219">
            <wp:extent cx="5957570" cy="623379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03-28 Visio LL Hodenkarzinom.gif"/>
                    <pic:cNvPicPr/>
                  </pic:nvPicPr>
                  <pic:blipFill>
                    <a:blip r:embed="rId21">
                      <a:extLst>
                        <a:ext uri="{28A0092B-C50C-407E-A947-70E740481C1C}">
                          <a14:useLocalDpi xmlns:a14="http://schemas.microsoft.com/office/drawing/2010/main" val="0"/>
                        </a:ext>
                      </a:extLst>
                    </a:blip>
                    <a:stretch>
                      <a:fillRect/>
                    </a:stretch>
                  </pic:blipFill>
                  <pic:spPr>
                    <a:xfrm>
                      <a:off x="0" y="0"/>
                      <a:ext cx="5957570" cy="6233795"/>
                    </a:xfrm>
                    <a:prstGeom prst="rect">
                      <a:avLst/>
                    </a:prstGeom>
                  </pic:spPr>
                </pic:pic>
              </a:graphicData>
            </a:graphic>
          </wp:inline>
        </w:drawing>
      </w:r>
    </w:p>
    <w:p w14:paraId="3DA5BCB9" w14:textId="77777777" w:rsidR="00351D0F" w:rsidRPr="00DD38C4" w:rsidRDefault="00351D0F" w:rsidP="00351D0F"/>
    <w:p w14:paraId="1A45C9B2" w14:textId="77777777" w:rsidR="00351D0F" w:rsidRPr="00DD38C4" w:rsidRDefault="00A9383A" w:rsidP="00A9383A">
      <w:pPr>
        <w:jc w:val="left"/>
        <w:rPr>
          <w:rFonts w:asciiTheme="minorHAnsi" w:hAnsiTheme="minorHAnsi"/>
          <w:sz w:val="18"/>
          <w:szCs w:val="18"/>
        </w:rPr>
      </w:pPr>
      <w:r w:rsidRPr="00DD38C4">
        <w:rPr>
          <w:rFonts w:asciiTheme="minorHAnsi" w:hAnsiTheme="minorHAnsi"/>
          <w:sz w:val="18"/>
          <w:szCs w:val="18"/>
          <w:vertAlign w:val="superscript"/>
        </w:rPr>
        <w:t>1</w:t>
      </w:r>
      <w:r w:rsidRPr="00DD38C4">
        <w:rPr>
          <w:rFonts w:asciiTheme="minorHAnsi" w:hAnsiTheme="minorHAnsi"/>
          <w:sz w:val="18"/>
          <w:szCs w:val="18"/>
        </w:rPr>
        <w:t xml:space="preserve"> Falls bildgebend nicht CR oder TUMM wiederholt steigend</w:t>
      </w:r>
      <w:r w:rsidR="00847054" w:rsidRPr="00DD38C4">
        <w:rPr>
          <w:rFonts w:asciiTheme="minorHAnsi" w:hAnsiTheme="minorHAnsi"/>
          <w:sz w:val="18"/>
          <w:szCs w:val="18"/>
        </w:rPr>
        <w:t xml:space="preserve"> (nach Ausschluss anderer Ursachen für TUMM-Anstieg).</w:t>
      </w:r>
    </w:p>
    <w:p w14:paraId="025765E5" w14:textId="77777777" w:rsidR="00351D0F" w:rsidRPr="00DD38C4" w:rsidRDefault="003D65D0" w:rsidP="003D65D0">
      <w:pPr>
        <w:jc w:val="left"/>
      </w:pPr>
      <w:r w:rsidRPr="00DD38C4">
        <w:rPr>
          <w:rFonts w:asciiTheme="minorHAnsi" w:hAnsiTheme="minorHAnsi"/>
          <w:sz w:val="18"/>
          <w:szCs w:val="18"/>
          <w:vertAlign w:val="superscript"/>
        </w:rPr>
        <w:t>2</w:t>
      </w:r>
      <w:r w:rsidRPr="00DD38C4">
        <w:rPr>
          <w:rFonts w:asciiTheme="minorHAnsi" w:hAnsiTheme="minorHAnsi"/>
          <w:sz w:val="18"/>
          <w:szCs w:val="18"/>
        </w:rPr>
        <w:t xml:space="preserve"> Tumor &lt; 4cm und keine Rete tests infiltration: Surveillance, bei beiden RF 2 Zyklen Carbo zu bevorzuen (</w:t>
      </w:r>
      <w:r w:rsidRPr="00DD38C4">
        <w:rPr>
          <w:rFonts w:asciiTheme="minorHAnsi" w:hAnsiTheme="minorHAnsi"/>
          <w:i/>
          <w:sz w:val="18"/>
          <w:szCs w:val="18"/>
        </w:rPr>
        <w:t>EAU Leitlinie 2017</w:t>
      </w:r>
      <w:r w:rsidRPr="00DD38C4">
        <w:rPr>
          <w:rFonts w:asciiTheme="minorHAnsi" w:hAnsiTheme="minorHAnsi"/>
          <w:sz w:val="18"/>
          <w:szCs w:val="18"/>
        </w:rPr>
        <w:t>).</w:t>
      </w:r>
    </w:p>
    <w:p w14:paraId="6DECA674" w14:textId="77777777" w:rsidR="00351D0F" w:rsidRPr="00DD38C4" w:rsidRDefault="00351D0F" w:rsidP="00351D0F"/>
    <w:p w14:paraId="2ABAAD0D" w14:textId="77777777" w:rsidR="00351D0F" w:rsidRPr="00DD38C4" w:rsidRDefault="00351D0F" w:rsidP="00351D0F"/>
    <w:p w14:paraId="568D8E55" w14:textId="77777777" w:rsidR="000500E9" w:rsidRPr="00DD38C4" w:rsidRDefault="000500E9" w:rsidP="00351D0F"/>
    <w:p w14:paraId="0F9A3F14" w14:textId="77777777" w:rsidR="00351D0F" w:rsidRPr="00DD38C4" w:rsidRDefault="00351D0F" w:rsidP="00351D0F">
      <w:pPr>
        <w:pStyle w:val="berschrift2"/>
      </w:pPr>
      <w:bookmarkStart w:id="13" w:name="_Toc379446911"/>
      <w:bookmarkStart w:id="14" w:name="_Toc15372127"/>
      <w:r w:rsidRPr="00DD38C4">
        <w:lastRenderedPageBreak/>
        <w:t>3.2</w:t>
      </w:r>
      <w:r w:rsidRPr="00DD38C4">
        <w:tab/>
        <w:t>Nicht Seminom</w:t>
      </w:r>
      <w:bookmarkEnd w:id="13"/>
      <w:bookmarkEnd w:id="14"/>
    </w:p>
    <w:p w14:paraId="2B72A0D5" w14:textId="77777777" w:rsidR="00351D0F" w:rsidRPr="00DD38C4" w:rsidRDefault="00383B6B" w:rsidP="00351D0F">
      <w:pPr>
        <w:pStyle w:val="Textkrper-Einzug2"/>
        <w:spacing w:line="276" w:lineRule="auto"/>
        <w:ind w:left="0"/>
        <w:jc w:val="both"/>
        <w:rPr>
          <w:rFonts w:asciiTheme="minorHAnsi" w:hAnsiTheme="minorHAnsi" w:cstheme="minorHAnsi"/>
          <w:szCs w:val="22"/>
        </w:rPr>
      </w:pPr>
      <w:r w:rsidRPr="00DD38C4">
        <w:rPr>
          <w:rFonts w:asciiTheme="minorHAnsi" w:hAnsiTheme="minorHAnsi" w:cstheme="minorHAnsi"/>
          <w:noProof/>
          <w:szCs w:val="22"/>
          <w:lang w:eastAsia="de-AT"/>
        </w:rPr>
        <w:drawing>
          <wp:inline distT="0" distB="0" distL="0" distR="0" wp14:anchorId="7D9483D1" wp14:editId="4591E622">
            <wp:extent cx="5151120" cy="3595682"/>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28 Visio LL Hodenkarzinom.gif"/>
                    <pic:cNvPicPr/>
                  </pic:nvPicPr>
                  <pic:blipFill>
                    <a:blip r:embed="rId22">
                      <a:extLst>
                        <a:ext uri="{28A0092B-C50C-407E-A947-70E740481C1C}">
                          <a14:useLocalDpi xmlns:a14="http://schemas.microsoft.com/office/drawing/2010/main" val="0"/>
                        </a:ext>
                      </a:extLst>
                    </a:blip>
                    <a:stretch>
                      <a:fillRect/>
                    </a:stretch>
                  </pic:blipFill>
                  <pic:spPr>
                    <a:xfrm>
                      <a:off x="0" y="0"/>
                      <a:ext cx="5150022" cy="3594916"/>
                    </a:xfrm>
                    <a:prstGeom prst="rect">
                      <a:avLst/>
                    </a:prstGeom>
                  </pic:spPr>
                </pic:pic>
              </a:graphicData>
            </a:graphic>
          </wp:inline>
        </w:drawing>
      </w:r>
    </w:p>
    <w:p w14:paraId="6790D88E" w14:textId="77777777" w:rsidR="0013356E" w:rsidRPr="00DD38C4" w:rsidRDefault="0013356E" w:rsidP="00351D0F">
      <w:pPr>
        <w:pStyle w:val="Textkrper-Einzug2"/>
        <w:spacing w:line="276" w:lineRule="auto"/>
        <w:ind w:left="0"/>
        <w:jc w:val="both"/>
        <w:rPr>
          <w:rFonts w:asciiTheme="minorHAnsi" w:hAnsiTheme="minorHAnsi"/>
          <w:noProof/>
          <w:sz w:val="18"/>
          <w:szCs w:val="18"/>
          <w:vertAlign w:val="superscript"/>
          <w:lang w:eastAsia="de-AT"/>
        </w:rPr>
      </w:pPr>
    </w:p>
    <w:p w14:paraId="3AD09CDF" w14:textId="77777777" w:rsidR="00351D0F" w:rsidRPr="00DD38C4" w:rsidRDefault="00847054" w:rsidP="00C67550">
      <w:pPr>
        <w:pStyle w:val="Textkrper-Einzug2"/>
        <w:spacing w:after="0" w:line="240" w:lineRule="auto"/>
        <w:ind w:left="0"/>
        <w:jc w:val="both"/>
        <w:rPr>
          <w:rFonts w:asciiTheme="minorHAnsi" w:hAnsiTheme="minorHAnsi"/>
          <w:noProof/>
          <w:sz w:val="18"/>
          <w:szCs w:val="18"/>
          <w:lang w:eastAsia="de-AT"/>
        </w:rPr>
      </w:pPr>
      <w:r w:rsidRPr="00DD38C4">
        <w:rPr>
          <w:rFonts w:asciiTheme="minorHAnsi" w:hAnsiTheme="minorHAnsi"/>
          <w:noProof/>
          <w:sz w:val="18"/>
          <w:szCs w:val="18"/>
          <w:vertAlign w:val="superscript"/>
          <w:lang w:eastAsia="de-AT"/>
        </w:rPr>
        <w:t>1</w:t>
      </w:r>
      <w:r w:rsidRPr="00DD38C4">
        <w:rPr>
          <w:rFonts w:asciiTheme="minorHAnsi" w:hAnsiTheme="minorHAnsi"/>
          <w:noProof/>
          <w:sz w:val="18"/>
          <w:szCs w:val="18"/>
          <w:lang w:eastAsia="de-AT"/>
        </w:rPr>
        <w:t xml:space="preserve"> Nach Ausschluss anderer Ursachen für TUMM-Erhöhung und bei Unklarheit CT-Kontrolle</w:t>
      </w:r>
    </w:p>
    <w:p w14:paraId="701EF651" w14:textId="77777777" w:rsidR="000500E9" w:rsidRPr="00DD38C4" w:rsidRDefault="000500E9" w:rsidP="00C67550">
      <w:pPr>
        <w:pStyle w:val="Textkrper-Einzug2"/>
        <w:spacing w:after="0" w:line="240" w:lineRule="auto"/>
        <w:ind w:left="0"/>
        <w:jc w:val="both"/>
        <w:rPr>
          <w:rFonts w:asciiTheme="minorHAnsi" w:hAnsiTheme="minorHAnsi"/>
          <w:noProof/>
          <w:sz w:val="18"/>
          <w:szCs w:val="18"/>
          <w:lang w:eastAsia="de-AT"/>
        </w:rPr>
      </w:pPr>
      <w:r w:rsidRPr="00DD38C4">
        <w:rPr>
          <w:rFonts w:asciiTheme="minorHAnsi" w:hAnsiTheme="minorHAnsi"/>
          <w:noProof/>
          <w:sz w:val="18"/>
          <w:szCs w:val="18"/>
          <w:vertAlign w:val="superscript"/>
          <w:lang w:eastAsia="de-AT"/>
        </w:rPr>
        <w:t>2</w:t>
      </w:r>
      <w:r w:rsidRPr="00DD38C4">
        <w:rPr>
          <w:rFonts w:asciiTheme="minorHAnsi" w:hAnsiTheme="minorHAnsi"/>
          <w:noProof/>
          <w:sz w:val="18"/>
          <w:szCs w:val="18"/>
          <w:lang w:eastAsia="de-AT"/>
        </w:rPr>
        <w:t xml:space="preserve"> Mit dem Patienten ist zu besprechen, dass eine 2x-ige Verabreichung die Rezidivwahrscheinlichkeit nur um 0,5% senkt, die Überlebenswahrscheinlichkeit nicht besser wird, die Toxizität aber höher ist und eventuell auch Spätfolgen erhöht sein könnten.</w:t>
      </w:r>
    </w:p>
    <w:p w14:paraId="6EDC836D" w14:textId="77777777" w:rsidR="003D65D0" w:rsidRPr="00DD38C4" w:rsidRDefault="003D65D0" w:rsidP="00C67550">
      <w:pPr>
        <w:pStyle w:val="Textkrper-Einzug2"/>
        <w:spacing w:after="0" w:line="240" w:lineRule="auto"/>
        <w:ind w:left="0"/>
        <w:jc w:val="both"/>
        <w:rPr>
          <w:rFonts w:asciiTheme="minorHAnsi" w:hAnsiTheme="minorHAnsi"/>
          <w:noProof/>
          <w:sz w:val="18"/>
          <w:szCs w:val="18"/>
          <w:lang w:val="en-US" w:eastAsia="de-AT"/>
        </w:rPr>
      </w:pPr>
      <w:r w:rsidRPr="00DD38C4">
        <w:rPr>
          <w:rFonts w:asciiTheme="minorHAnsi" w:hAnsiTheme="minorHAnsi"/>
          <w:noProof/>
          <w:sz w:val="18"/>
          <w:szCs w:val="18"/>
          <w:vertAlign w:val="superscript"/>
          <w:lang w:val="en-US" w:eastAsia="de-AT"/>
        </w:rPr>
        <w:t>3</w:t>
      </w:r>
      <w:r w:rsidRPr="00DD38C4">
        <w:rPr>
          <w:rFonts w:asciiTheme="minorHAnsi" w:hAnsiTheme="minorHAnsi"/>
          <w:noProof/>
          <w:sz w:val="18"/>
          <w:szCs w:val="18"/>
          <w:lang w:val="en-US" w:eastAsia="de-AT"/>
        </w:rPr>
        <w:t xml:space="preserve"> Stage IA (pT1, no vascular invasion): low risk</w:t>
      </w:r>
    </w:p>
    <w:p w14:paraId="1CAACC22" w14:textId="77777777" w:rsidR="003D65D0" w:rsidRPr="00DD38C4" w:rsidRDefault="003D65D0" w:rsidP="00C67550">
      <w:pPr>
        <w:pStyle w:val="Textkrper-Einzug2"/>
        <w:spacing w:after="0" w:line="240" w:lineRule="auto"/>
        <w:ind w:left="0"/>
        <w:jc w:val="both"/>
        <w:rPr>
          <w:rFonts w:asciiTheme="minorHAnsi" w:hAnsiTheme="minorHAnsi"/>
          <w:noProof/>
          <w:sz w:val="18"/>
          <w:szCs w:val="18"/>
          <w:lang w:val="en-US" w:eastAsia="de-AT"/>
        </w:rPr>
      </w:pPr>
      <w:r w:rsidRPr="00DD38C4">
        <w:rPr>
          <w:rFonts w:asciiTheme="minorHAnsi" w:hAnsiTheme="minorHAnsi"/>
          <w:noProof/>
          <w:sz w:val="18"/>
          <w:szCs w:val="18"/>
          <w:vertAlign w:val="superscript"/>
          <w:lang w:val="en-US" w:eastAsia="de-AT"/>
        </w:rPr>
        <w:t>4</w:t>
      </w:r>
      <w:r w:rsidRPr="00DD38C4">
        <w:rPr>
          <w:rFonts w:asciiTheme="minorHAnsi" w:hAnsiTheme="minorHAnsi"/>
          <w:noProof/>
          <w:sz w:val="18"/>
          <w:szCs w:val="18"/>
          <w:lang w:val="en-US" w:eastAsia="de-AT"/>
        </w:rPr>
        <w:t xml:space="preserve"> Stage IB (pT2 – pT4): high risk and/or vascular invasion</w:t>
      </w:r>
    </w:p>
    <w:p w14:paraId="5F65FE9B" w14:textId="77777777" w:rsidR="00383B6B" w:rsidRPr="00DD38C4" w:rsidRDefault="00383B6B" w:rsidP="00383B6B">
      <w:pPr>
        <w:pStyle w:val="Textkrper-Einzug2"/>
        <w:spacing w:line="240" w:lineRule="auto"/>
        <w:ind w:left="0"/>
        <w:jc w:val="both"/>
        <w:rPr>
          <w:rFonts w:asciiTheme="minorHAnsi" w:hAnsiTheme="minorHAnsi"/>
          <w:noProof/>
          <w:sz w:val="18"/>
          <w:szCs w:val="18"/>
          <w:lang w:val="en-US" w:eastAsia="de-AT"/>
        </w:rPr>
      </w:pPr>
    </w:p>
    <w:p w14:paraId="66E55A5F" w14:textId="77777777" w:rsidR="00351D0F" w:rsidRPr="00DD38C4" w:rsidRDefault="00C67550" w:rsidP="00C67550">
      <w:pPr>
        <w:pStyle w:val="berschrift2"/>
      </w:pPr>
      <w:bookmarkStart w:id="15" w:name="_Toc15372128"/>
      <w:r w:rsidRPr="00DD38C4">
        <w:t>3.3</w:t>
      </w:r>
      <w:r w:rsidRPr="00DD38C4">
        <w:tab/>
        <w:t xml:space="preserve">Nicht Seminom </w:t>
      </w:r>
      <w:r w:rsidR="00383B6B" w:rsidRPr="00DD38C4">
        <w:t>Stadium IIA</w:t>
      </w:r>
      <w:bookmarkEnd w:id="15"/>
    </w:p>
    <w:p w14:paraId="07C8D518" w14:textId="77777777" w:rsidR="00351D0F" w:rsidRPr="00DD38C4" w:rsidRDefault="00C67550" w:rsidP="00383B6B">
      <w:pPr>
        <w:pStyle w:val="Textkrper-Einzug2"/>
        <w:spacing w:line="276" w:lineRule="auto"/>
        <w:ind w:left="0"/>
        <w:jc w:val="left"/>
        <w:rPr>
          <w:rFonts w:asciiTheme="minorHAnsi" w:hAnsiTheme="minorHAnsi" w:cstheme="minorHAnsi"/>
          <w:szCs w:val="22"/>
        </w:rPr>
      </w:pPr>
      <w:r w:rsidRPr="00DD38C4">
        <w:rPr>
          <w:rFonts w:asciiTheme="minorHAnsi" w:hAnsiTheme="minorHAnsi" w:cstheme="minorHAnsi"/>
          <w:noProof/>
          <w:szCs w:val="22"/>
          <w:lang w:eastAsia="de-AT"/>
        </w:rPr>
        <w:drawing>
          <wp:inline distT="0" distB="0" distL="0" distR="0" wp14:anchorId="09366DE9" wp14:editId="08234908">
            <wp:extent cx="5957570" cy="260350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3-03-28 Visio LL Hodenkarzinom.gif"/>
                    <pic:cNvPicPr/>
                  </pic:nvPicPr>
                  <pic:blipFill>
                    <a:blip r:embed="rId23">
                      <a:extLst>
                        <a:ext uri="{28A0092B-C50C-407E-A947-70E740481C1C}">
                          <a14:useLocalDpi xmlns:a14="http://schemas.microsoft.com/office/drawing/2010/main" val="0"/>
                        </a:ext>
                      </a:extLst>
                    </a:blip>
                    <a:stretch>
                      <a:fillRect/>
                    </a:stretch>
                  </pic:blipFill>
                  <pic:spPr>
                    <a:xfrm>
                      <a:off x="0" y="0"/>
                      <a:ext cx="5957570" cy="2603500"/>
                    </a:xfrm>
                    <a:prstGeom prst="rect">
                      <a:avLst/>
                    </a:prstGeom>
                  </pic:spPr>
                </pic:pic>
              </a:graphicData>
            </a:graphic>
          </wp:inline>
        </w:drawing>
      </w:r>
    </w:p>
    <w:p w14:paraId="3EA3A062" w14:textId="77777777" w:rsidR="007C4371" w:rsidRPr="00DD38C4" w:rsidRDefault="00AB50DA" w:rsidP="00C67550">
      <w:pPr>
        <w:pStyle w:val="Textkrper-Einzug2"/>
        <w:spacing w:line="240" w:lineRule="auto"/>
        <w:ind w:left="0"/>
        <w:jc w:val="both"/>
        <w:rPr>
          <w:rFonts w:asciiTheme="minorHAnsi" w:hAnsiTheme="minorHAnsi"/>
          <w:noProof/>
          <w:sz w:val="18"/>
          <w:szCs w:val="18"/>
          <w:lang w:val="en-US" w:eastAsia="de-AT"/>
        </w:rPr>
      </w:pPr>
      <w:r w:rsidRPr="00DD38C4">
        <w:rPr>
          <w:rFonts w:asciiTheme="minorHAnsi" w:hAnsiTheme="minorHAnsi" w:cs="Arial"/>
          <w:color w:val="000000"/>
          <w:sz w:val="18"/>
          <w:szCs w:val="18"/>
          <w:lang w:val="en-US" w:eastAsia="de-AT"/>
        </w:rPr>
        <w:t>BEP = cisplatin, etoposide, bleomycin; NS = nerve-sparing; RPLND = retroperitoneal lymph node dissection; PS = pathological stage; PD = progressive disease; NC = no change.</w:t>
      </w:r>
    </w:p>
    <w:p w14:paraId="264C9EF4" w14:textId="77777777" w:rsidR="007C4371" w:rsidRPr="00DD38C4" w:rsidRDefault="007C4371" w:rsidP="007C4371">
      <w:pPr>
        <w:pStyle w:val="Textkrper-Einzug2"/>
        <w:spacing w:line="276" w:lineRule="auto"/>
        <w:ind w:left="0"/>
        <w:jc w:val="both"/>
        <w:rPr>
          <w:rFonts w:asciiTheme="minorHAnsi" w:hAnsiTheme="minorHAnsi"/>
          <w:noProof/>
          <w:sz w:val="18"/>
          <w:szCs w:val="18"/>
          <w:lang w:val="en-US" w:eastAsia="de-AT"/>
        </w:rPr>
      </w:pPr>
    </w:p>
    <w:p w14:paraId="647AB7D4" w14:textId="77777777" w:rsidR="006D4DAC" w:rsidRPr="00DD38C4" w:rsidRDefault="006D4DAC" w:rsidP="007F3064">
      <w:pPr>
        <w:pStyle w:val="berschrift1"/>
      </w:pPr>
      <w:bookmarkStart w:id="16" w:name="_Toc367183618"/>
      <w:bookmarkStart w:id="17" w:name="_Toc367183856"/>
      <w:bookmarkStart w:id="18" w:name="_Toc15372129"/>
      <w:r w:rsidRPr="00DD38C4">
        <w:lastRenderedPageBreak/>
        <w:t>4</w:t>
      </w:r>
      <w:r w:rsidRPr="00DD38C4">
        <w:tab/>
      </w:r>
      <w:bookmarkEnd w:id="16"/>
      <w:bookmarkEnd w:id="17"/>
      <w:r w:rsidR="0049768A" w:rsidRPr="00DD38C4">
        <w:t>Besondere klinische Situationen</w:t>
      </w:r>
      <w:bookmarkEnd w:id="18"/>
      <w:r w:rsidRPr="00DD38C4">
        <w:t xml:space="preserve"> </w:t>
      </w:r>
    </w:p>
    <w:p w14:paraId="2073F66C" w14:textId="0046709E" w:rsidR="00C67550" w:rsidRPr="00DD38C4" w:rsidRDefault="00DD38C4" w:rsidP="00C67550">
      <w:pPr>
        <w:pStyle w:val="berschrift2"/>
        <w:rPr>
          <w:lang w:eastAsia="de-AT"/>
        </w:rPr>
      </w:pPr>
      <w:bookmarkStart w:id="19" w:name="_Toc15372130"/>
      <w:r w:rsidRPr="00DD38C4">
        <w:rPr>
          <w:lang w:eastAsia="de-AT"/>
        </w:rPr>
        <w:t>A</w:t>
      </w:r>
      <w:r w:rsidR="00C64FA9" w:rsidRPr="00DD38C4">
        <w:rPr>
          <w:lang w:eastAsia="de-AT"/>
        </w:rPr>
        <w:t>utologe</w:t>
      </w:r>
      <w:r w:rsidR="00C67550" w:rsidRPr="00DD38C4">
        <w:rPr>
          <w:lang w:eastAsia="de-AT"/>
        </w:rPr>
        <w:t xml:space="preserve"> S</w:t>
      </w:r>
      <w:bookmarkEnd w:id="19"/>
      <w:r w:rsidR="00C64FA9" w:rsidRPr="00DD38C4">
        <w:rPr>
          <w:lang w:eastAsia="de-AT"/>
        </w:rPr>
        <w:t>tammzelltransplantation (SCT):</w:t>
      </w:r>
    </w:p>
    <w:p w14:paraId="1BC1534B" w14:textId="77777777" w:rsidR="00C64FA9" w:rsidRPr="00DD38C4" w:rsidRDefault="00C64FA9" w:rsidP="00C64FA9">
      <w:pPr>
        <w:pStyle w:val="Textkrper-Einzug2"/>
        <w:spacing w:after="0" w:line="276" w:lineRule="auto"/>
        <w:ind w:left="0"/>
        <w:jc w:val="both"/>
        <w:rPr>
          <w:rFonts w:asciiTheme="minorHAnsi" w:hAnsiTheme="minorHAnsi" w:cstheme="minorHAnsi"/>
          <w:b/>
          <w:szCs w:val="22"/>
        </w:rPr>
      </w:pPr>
      <w:r w:rsidRPr="00DD38C4">
        <w:rPr>
          <w:rFonts w:asciiTheme="minorHAnsi" w:hAnsiTheme="minorHAnsi" w:cstheme="minorHAnsi"/>
          <w:b/>
          <w:szCs w:val="22"/>
        </w:rPr>
        <w:t>Indikationen zur SCT:</w:t>
      </w:r>
    </w:p>
    <w:p w14:paraId="62A537B7" w14:textId="77777777" w:rsidR="00C67550" w:rsidRPr="00DD38C4" w:rsidRDefault="004E11B2" w:rsidP="00C67550">
      <w:pPr>
        <w:pStyle w:val="Textkrper-Einzug2"/>
        <w:numPr>
          <w:ilvl w:val="0"/>
          <w:numId w:val="18"/>
        </w:numPr>
        <w:spacing w:after="0" w:line="276" w:lineRule="auto"/>
        <w:ind w:left="284" w:hanging="284"/>
        <w:jc w:val="both"/>
        <w:rPr>
          <w:rFonts w:asciiTheme="minorHAnsi" w:hAnsiTheme="minorHAnsi" w:cstheme="minorHAnsi"/>
          <w:szCs w:val="22"/>
        </w:rPr>
      </w:pPr>
      <w:r w:rsidRPr="00DD38C4">
        <w:rPr>
          <w:rFonts w:asciiTheme="minorHAnsi" w:hAnsiTheme="minorHAnsi" w:cstheme="minorHAnsi"/>
          <w:szCs w:val="22"/>
        </w:rPr>
        <w:t xml:space="preserve">refraktär </w:t>
      </w:r>
      <w:r w:rsidR="003A3308" w:rsidRPr="00DD38C4">
        <w:rPr>
          <w:rFonts w:asciiTheme="minorHAnsi" w:hAnsiTheme="minorHAnsi" w:cstheme="minorHAnsi"/>
          <w:szCs w:val="22"/>
        </w:rPr>
        <w:t>auf zumindest 3</w:t>
      </w:r>
      <w:r w:rsidR="00C67550" w:rsidRPr="00DD38C4">
        <w:rPr>
          <w:rFonts w:asciiTheme="minorHAnsi" w:hAnsiTheme="minorHAnsi" w:cstheme="minorHAnsi"/>
          <w:szCs w:val="22"/>
        </w:rPr>
        <w:t xml:space="preserve"> Zyklen Erstlinientherapie </w:t>
      </w:r>
      <w:r w:rsidR="003A3308" w:rsidRPr="00DD38C4">
        <w:rPr>
          <w:rFonts w:asciiTheme="minorHAnsi" w:hAnsiTheme="minorHAnsi" w:cstheme="minorHAnsi"/>
          <w:szCs w:val="22"/>
        </w:rPr>
        <w:t>(z</w:t>
      </w:r>
      <w:r w:rsidR="003A133E" w:rsidRPr="00DD38C4">
        <w:rPr>
          <w:rFonts w:asciiTheme="minorHAnsi" w:hAnsiTheme="minorHAnsi" w:cstheme="minorHAnsi"/>
          <w:szCs w:val="22"/>
        </w:rPr>
        <w:t>.</w:t>
      </w:r>
      <w:r w:rsidR="003A3308" w:rsidRPr="00DD38C4">
        <w:rPr>
          <w:rFonts w:asciiTheme="minorHAnsi" w:hAnsiTheme="minorHAnsi" w:cstheme="minorHAnsi"/>
          <w:szCs w:val="22"/>
        </w:rPr>
        <w:t xml:space="preserve">B. unzureichender Markerabfall auf 2xPEB, Wechsel auf </w:t>
      </w:r>
      <w:r w:rsidR="003A133E" w:rsidRPr="00DD38C4">
        <w:rPr>
          <w:rFonts w:asciiTheme="minorHAnsi" w:hAnsiTheme="minorHAnsi" w:cstheme="minorHAnsi"/>
          <w:szCs w:val="22"/>
        </w:rPr>
        <w:t>PEI</w:t>
      </w:r>
      <w:r w:rsidR="003A3308" w:rsidRPr="00DD38C4">
        <w:rPr>
          <w:rFonts w:asciiTheme="minorHAnsi" w:hAnsiTheme="minorHAnsi" w:cstheme="minorHAnsi"/>
          <w:szCs w:val="22"/>
        </w:rPr>
        <w:t xml:space="preserve"> und trotzdem kein ausreichender Response erzielbar)</w:t>
      </w:r>
    </w:p>
    <w:p w14:paraId="77574EA7" w14:textId="77777777" w:rsidR="00C67550" w:rsidRPr="00DD38C4" w:rsidRDefault="004E11B2" w:rsidP="00C67550">
      <w:pPr>
        <w:pStyle w:val="Textkrper-Einzug2"/>
        <w:numPr>
          <w:ilvl w:val="0"/>
          <w:numId w:val="18"/>
        </w:numPr>
        <w:spacing w:after="0" w:line="276" w:lineRule="auto"/>
        <w:ind w:left="284" w:hanging="284"/>
        <w:jc w:val="both"/>
        <w:rPr>
          <w:rFonts w:asciiTheme="minorHAnsi" w:hAnsiTheme="minorHAnsi" w:cstheme="minorHAnsi"/>
          <w:szCs w:val="22"/>
        </w:rPr>
      </w:pPr>
      <w:r w:rsidRPr="00DD38C4">
        <w:rPr>
          <w:rFonts w:asciiTheme="minorHAnsi" w:hAnsiTheme="minorHAnsi" w:cstheme="minorHAnsi"/>
          <w:szCs w:val="22"/>
        </w:rPr>
        <w:t xml:space="preserve">1. Rezidiv: </w:t>
      </w:r>
      <w:r w:rsidR="0079635D" w:rsidRPr="00DD38C4">
        <w:rPr>
          <w:rFonts w:asciiTheme="minorHAnsi" w:hAnsiTheme="minorHAnsi" w:cstheme="minorHAnsi"/>
          <w:szCs w:val="22"/>
        </w:rPr>
        <w:t>bei Spätrezidiven (Rezidiv &gt; 2a nach Ende der Primärtherapie) nur falls mit Chemo u.o. OP keine Tumorfreiheit zu erzielen ist</w:t>
      </w:r>
      <w:r w:rsidR="003A3308" w:rsidRPr="00DD38C4">
        <w:rPr>
          <w:rFonts w:asciiTheme="minorHAnsi" w:hAnsiTheme="minorHAnsi" w:cstheme="minorHAnsi"/>
          <w:szCs w:val="22"/>
        </w:rPr>
        <w:t>. Alle chemosensiblen Frürezidive.</w:t>
      </w:r>
      <w:r w:rsidR="0079635D" w:rsidRPr="00DD38C4">
        <w:rPr>
          <w:rFonts w:asciiTheme="minorHAnsi" w:hAnsiTheme="minorHAnsi" w:cstheme="minorHAnsi"/>
          <w:szCs w:val="22"/>
        </w:rPr>
        <w:t xml:space="preserve"> </w:t>
      </w:r>
    </w:p>
    <w:p w14:paraId="6B716170" w14:textId="77777777" w:rsidR="00C67550" w:rsidRPr="00DD38C4" w:rsidRDefault="003A3308" w:rsidP="00C67550">
      <w:pPr>
        <w:pStyle w:val="Textkrper-Einzug2"/>
        <w:numPr>
          <w:ilvl w:val="0"/>
          <w:numId w:val="18"/>
        </w:numPr>
        <w:spacing w:after="0" w:line="276" w:lineRule="auto"/>
        <w:ind w:left="284" w:hanging="284"/>
        <w:jc w:val="both"/>
        <w:rPr>
          <w:rFonts w:asciiTheme="minorHAnsi" w:hAnsiTheme="minorHAnsi" w:cstheme="minorHAnsi"/>
          <w:szCs w:val="22"/>
        </w:rPr>
      </w:pPr>
      <w:r w:rsidRPr="00DD38C4">
        <w:rPr>
          <w:rFonts w:asciiTheme="minorHAnsi" w:hAnsiTheme="minorHAnsi" w:cstheme="minorHAnsi"/>
          <w:szCs w:val="22"/>
        </w:rPr>
        <w:t>Alle Patienten im zweiten</w:t>
      </w:r>
      <w:r w:rsidR="00C67550" w:rsidRPr="00DD38C4">
        <w:rPr>
          <w:rFonts w:asciiTheme="minorHAnsi" w:hAnsiTheme="minorHAnsi" w:cstheme="minorHAnsi"/>
          <w:szCs w:val="22"/>
        </w:rPr>
        <w:t xml:space="preserve"> Rezidiv</w:t>
      </w:r>
    </w:p>
    <w:p w14:paraId="77B400CB" w14:textId="77777777" w:rsidR="003A133E" w:rsidRPr="00DD38C4" w:rsidRDefault="003A133E" w:rsidP="003A133E">
      <w:pPr>
        <w:pStyle w:val="Textkrper-Einzug2"/>
        <w:spacing w:after="0" w:line="276" w:lineRule="auto"/>
        <w:jc w:val="both"/>
        <w:rPr>
          <w:rFonts w:asciiTheme="minorHAnsi" w:hAnsiTheme="minorHAnsi" w:cstheme="minorHAnsi"/>
          <w:szCs w:val="22"/>
        </w:rPr>
      </w:pPr>
    </w:p>
    <w:p w14:paraId="4F8F565E" w14:textId="77777777" w:rsidR="00C64FA9" w:rsidRPr="00DD38C4" w:rsidRDefault="00C64FA9" w:rsidP="003A133E">
      <w:pPr>
        <w:pStyle w:val="Textkrper-Einzug2"/>
        <w:spacing w:after="0" w:line="276" w:lineRule="auto"/>
        <w:ind w:left="0"/>
        <w:jc w:val="both"/>
        <w:rPr>
          <w:rFonts w:asciiTheme="minorHAnsi" w:hAnsiTheme="minorHAnsi" w:cstheme="minorHAnsi"/>
          <w:b/>
          <w:szCs w:val="22"/>
        </w:rPr>
      </w:pPr>
      <w:r w:rsidRPr="00DD38C4">
        <w:rPr>
          <w:rFonts w:asciiTheme="minorHAnsi" w:hAnsiTheme="minorHAnsi" w:cstheme="minorHAnsi"/>
          <w:b/>
          <w:szCs w:val="22"/>
        </w:rPr>
        <w:t>Auswahl der TX-Konditionierungstherapie:</w:t>
      </w:r>
    </w:p>
    <w:p w14:paraId="48F14045" w14:textId="77777777" w:rsidR="003A133E" w:rsidRPr="00DD38C4" w:rsidRDefault="003A133E" w:rsidP="00C64FA9">
      <w:pPr>
        <w:pStyle w:val="Textkrper-Einzug2"/>
        <w:numPr>
          <w:ilvl w:val="0"/>
          <w:numId w:val="22"/>
        </w:numPr>
        <w:spacing w:after="0" w:line="276" w:lineRule="auto"/>
        <w:jc w:val="both"/>
      </w:pPr>
      <w:r w:rsidRPr="00DD38C4">
        <w:rPr>
          <w:rFonts w:asciiTheme="minorHAnsi" w:hAnsiTheme="minorHAnsi" w:cstheme="minorHAnsi"/>
          <w:szCs w:val="22"/>
        </w:rPr>
        <w:t xml:space="preserve">Patienten nach PEB/PEI werden analog dem TIGER Protokoll behandelt: </w:t>
      </w:r>
      <w:hyperlink r:id="rId24" w:history="1">
        <w:r w:rsidRPr="00DD38C4">
          <w:rPr>
            <w:rStyle w:val="Hyperlink"/>
            <w:rFonts w:asciiTheme="minorHAnsi" w:hAnsiTheme="minorHAnsi" w:cstheme="minorHAnsi"/>
          </w:rPr>
          <w:t>http://www.eortc.be/services/forms/1407/1407%20Tiger-Outline%2020140919.pdf</w:t>
        </w:r>
      </w:hyperlink>
      <w:r w:rsidRPr="00DD38C4">
        <w:rPr>
          <w:rFonts w:asciiTheme="minorHAnsi" w:hAnsiTheme="minorHAnsi" w:cstheme="minorHAnsi"/>
        </w:rPr>
        <w:t xml:space="preserve">; </w:t>
      </w:r>
    </w:p>
    <w:p w14:paraId="6A3B7506" w14:textId="77777777" w:rsidR="003A133E" w:rsidRPr="00DD38C4" w:rsidRDefault="003A133E" w:rsidP="00C64FA9">
      <w:pPr>
        <w:pStyle w:val="Textkrper-Einzug2"/>
        <w:numPr>
          <w:ilvl w:val="0"/>
          <w:numId w:val="22"/>
        </w:numPr>
        <w:spacing w:after="0" w:line="276" w:lineRule="auto"/>
        <w:jc w:val="both"/>
        <w:rPr>
          <w:rFonts w:asciiTheme="minorHAnsi" w:hAnsiTheme="minorHAnsi" w:cstheme="minorHAnsi"/>
          <w:szCs w:val="22"/>
          <w:lang w:val="en-GB"/>
        </w:rPr>
      </w:pPr>
      <w:r w:rsidRPr="00DD38C4">
        <w:rPr>
          <w:rFonts w:asciiTheme="minorHAnsi" w:hAnsiTheme="minorHAnsi" w:cstheme="minorHAnsi"/>
          <w:szCs w:val="22"/>
        </w:rPr>
        <w:t xml:space="preserve">Patienten nach TIP sollten mit Carbo/Etoposid </w:t>
      </w:r>
      <w:r w:rsidR="00C64FA9" w:rsidRPr="00DD38C4">
        <w:rPr>
          <w:rFonts w:asciiTheme="minorHAnsi" w:hAnsiTheme="minorHAnsi" w:cstheme="minorHAnsi"/>
          <w:szCs w:val="22"/>
        </w:rPr>
        <w:t xml:space="preserve">(Indiana Tandem Protokoll) </w:t>
      </w:r>
      <w:r w:rsidRPr="00DD38C4">
        <w:rPr>
          <w:rFonts w:asciiTheme="minorHAnsi" w:hAnsiTheme="minorHAnsi" w:cstheme="minorHAnsi"/>
          <w:szCs w:val="22"/>
        </w:rPr>
        <w:t xml:space="preserve">konditioniert werden: N. Adra et al. </w:t>
      </w:r>
      <w:r w:rsidRPr="00DD38C4">
        <w:rPr>
          <w:rFonts w:asciiTheme="minorHAnsi" w:hAnsiTheme="minorHAnsi" w:cstheme="minorHAnsi"/>
          <w:szCs w:val="22"/>
          <w:lang w:val="en-GB"/>
        </w:rPr>
        <w:t>High dose Chemotherapy and Stem Cell Transplantation.</w:t>
      </w:r>
      <w:r w:rsidRPr="00DD38C4">
        <w:rPr>
          <w:rFonts w:cs="Arial"/>
          <w:color w:val="000000"/>
          <w:sz w:val="18"/>
          <w:szCs w:val="18"/>
          <w:shd w:val="clear" w:color="auto" w:fill="FFFFFF"/>
          <w:lang w:val="en-GB"/>
        </w:rPr>
        <w:t xml:space="preserve"> </w:t>
      </w:r>
      <w:r w:rsidRPr="00DD38C4">
        <w:rPr>
          <w:rFonts w:asciiTheme="minorHAnsi" w:hAnsiTheme="minorHAnsi" w:cstheme="minorHAnsi"/>
          <w:szCs w:val="22"/>
          <w:lang w:val="en-GB"/>
        </w:rPr>
        <w:t>Urol Clin North Am. 2019 Aug;46(3):439-448</w:t>
      </w:r>
    </w:p>
    <w:p w14:paraId="06055ED8" w14:textId="77777777" w:rsidR="003A133E" w:rsidRPr="00DD38C4" w:rsidRDefault="003A133E" w:rsidP="003A133E">
      <w:pPr>
        <w:pStyle w:val="Textkrper-Einzug2"/>
        <w:spacing w:after="0" w:line="276" w:lineRule="auto"/>
        <w:jc w:val="both"/>
        <w:rPr>
          <w:rFonts w:asciiTheme="minorHAnsi" w:hAnsiTheme="minorHAnsi" w:cstheme="minorHAnsi"/>
          <w:szCs w:val="22"/>
          <w:lang w:val="en-GB"/>
        </w:rPr>
      </w:pPr>
    </w:p>
    <w:p w14:paraId="17143B05" w14:textId="77777777" w:rsidR="000D2481" w:rsidRPr="00DD38C4" w:rsidRDefault="000D2481" w:rsidP="007F3064">
      <w:pPr>
        <w:pStyle w:val="Textkrper-Einzug2"/>
        <w:spacing w:line="276" w:lineRule="auto"/>
        <w:ind w:left="0"/>
        <w:jc w:val="both"/>
        <w:rPr>
          <w:rFonts w:asciiTheme="minorHAnsi" w:hAnsiTheme="minorHAnsi" w:cstheme="minorHAnsi"/>
          <w:i/>
          <w:szCs w:val="22"/>
          <w:lang w:val="en-GB"/>
        </w:rPr>
      </w:pPr>
    </w:p>
    <w:p w14:paraId="7E28EB48" w14:textId="77777777" w:rsidR="00514C14" w:rsidRPr="00DD38C4" w:rsidRDefault="00514C14">
      <w:pPr>
        <w:spacing w:line="240" w:lineRule="auto"/>
        <w:jc w:val="left"/>
        <w:rPr>
          <w:rFonts w:asciiTheme="minorHAnsi" w:hAnsiTheme="minorHAnsi" w:cstheme="minorHAnsi"/>
          <w:i/>
          <w:szCs w:val="22"/>
          <w:lang w:val="en-GB"/>
        </w:rPr>
      </w:pPr>
      <w:r w:rsidRPr="00DD38C4">
        <w:rPr>
          <w:rFonts w:asciiTheme="minorHAnsi" w:hAnsiTheme="minorHAnsi" w:cstheme="minorHAnsi"/>
          <w:i/>
          <w:szCs w:val="22"/>
          <w:lang w:val="en-GB"/>
        </w:rPr>
        <w:br w:type="page"/>
      </w:r>
    </w:p>
    <w:p w14:paraId="02D71967" w14:textId="77777777" w:rsidR="006D4DAC" w:rsidRPr="00DD38C4" w:rsidRDefault="00534643" w:rsidP="00534643">
      <w:pPr>
        <w:pStyle w:val="berschrift1"/>
      </w:pPr>
      <w:bookmarkStart w:id="20" w:name="_Toc367183619"/>
      <w:bookmarkStart w:id="21" w:name="_Toc367183857"/>
      <w:bookmarkStart w:id="22" w:name="_Toc15372131"/>
      <w:r w:rsidRPr="00DD38C4">
        <w:lastRenderedPageBreak/>
        <w:t>5</w:t>
      </w:r>
      <w:r w:rsidRPr="00DD38C4">
        <w:tab/>
      </w:r>
      <w:r w:rsidR="0049768A" w:rsidRPr="00DD38C4">
        <w:t xml:space="preserve">Verlaufskontrolle und </w:t>
      </w:r>
      <w:r w:rsidR="006D4DAC" w:rsidRPr="00DD38C4">
        <w:t>Nachsorge</w:t>
      </w:r>
      <w:bookmarkEnd w:id="20"/>
      <w:bookmarkEnd w:id="21"/>
      <w:bookmarkEnd w:id="22"/>
    </w:p>
    <w:p w14:paraId="10F63BCB" w14:textId="77777777" w:rsidR="000D2481" w:rsidRPr="00DD38C4" w:rsidRDefault="000D2481" w:rsidP="000D2481">
      <w:pPr>
        <w:spacing w:line="240" w:lineRule="auto"/>
        <w:jc w:val="left"/>
        <w:rPr>
          <w:rFonts w:asciiTheme="minorHAnsi" w:hAnsiTheme="minorHAnsi" w:cstheme="minorHAnsi"/>
          <w:sz w:val="8"/>
          <w:szCs w:val="8"/>
        </w:rPr>
      </w:pPr>
    </w:p>
    <w:p w14:paraId="51609724" w14:textId="77777777" w:rsidR="000D2481" w:rsidRPr="00DD38C4" w:rsidRDefault="000D2481" w:rsidP="000D2481">
      <w:pPr>
        <w:jc w:val="left"/>
        <w:rPr>
          <w:rFonts w:asciiTheme="minorHAnsi" w:hAnsiTheme="minorHAnsi" w:cstheme="minorHAnsi"/>
          <w:sz w:val="18"/>
          <w:szCs w:val="18"/>
        </w:rPr>
      </w:pPr>
      <w:r w:rsidRPr="00DD38C4">
        <w:rPr>
          <w:rFonts w:asciiTheme="minorHAnsi" w:hAnsiTheme="minorHAnsi" w:cstheme="minorHAnsi"/>
          <w:sz w:val="18"/>
          <w:szCs w:val="18"/>
        </w:rPr>
        <w:t xml:space="preserve">nach: EAU-guideline; </w:t>
      </w:r>
      <w:hyperlink r:id="rId25" w:anchor="8" w:history="1">
        <w:r w:rsidRPr="00DD38C4">
          <w:rPr>
            <w:rStyle w:val="Hyperlink"/>
            <w:rFonts w:asciiTheme="minorHAnsi" w:hAnsiTheme="minorHAnsi" w:cstheme="minorHAnsi"/>
            <w:sz w:val="18"/>
            <w:szCs w:val="18"/>
          </w:rPr>
          <w:t>https://uroweb.org/guideline/testicular-cancer/#8</w:t>
        </w:r>
      </w:hyperlink>
      <w:r w:rsidRPr="00DD38C4">
        <w:rPr>
          <w:rFonts w:asciiTheme="minorHAnsi" w:hAnsiTheme="minorHAnsi" w:cstheme="minorHAnsi"/>
          <w:sz w:val="18"/>
          <w:szCs w:val="18"/>
        </w:rPr>
        <w:t xml:space="preserve"> </w:t>
      </w:r>
    </w:p>
    <w:p w14:paraId="019319FF" w14:textId="77777777" w:rsidR="00C67550" w:rsidRPr="00DD38C4" w:rsidRDefault="00C67550" w:rsidP="00C67550">
      <w:pPr>
        <w:pStyle w:val="berschrift2"/>
        <w:ind w:left="567" w:hanging="567"/>
      </w:pPr>
      <w:bookmarkStart w:id="23" w:name="_Toc15372132"/>
      <w:r w:rsidRPr="00DD38C4">
        <w:t>5.1</w:t>
      </w:r>
      <w:r w:rsidRPr="00DD38C4">
        <w:tab/>
      </w:r>
      <w:r w:rsidR="000D2481" w:rsidRPr="00DD38C4">
        <w:t>M</w:t>
      </w:r>
      <w:r w:rsidRPr="00DD38C4">
        <w:t>inimales Follow-up für Seminom Stadium I in active surveillance oder nach adjuvanter Behandlung (Carboplatin oder Bestrahlung)</w:t>
      </w:r>
      <w:bookmarkEnd w:id="23"/>
    </w:p>
    <w:p w14:paraId="0358FDEB" w14:textId="77777777" w:rsidR="00351D0F" w:rsidRPr="00DD38C4" w:rsidRDefault="00C67550" w:rsidP="00351D0F">
      <w:pPr>
        <w:pStyle w:val="Textkrper-Einzug2"/>
        <w:spacing w:line="276" w:lineRule="auto"/>
        <w:ind w:left="0"/>
        <w:jc w:val="both"/>
        <w:rPr>
          <w:rFonts w:asciiTheme="minorHAnsi" w:hAnsiTheme="minorHAnsi" w:cstheme="minorHAnsi"/>
          <w:szCs w:val="22"/>
        </w:rPr>
      </w:pPr>
      <w:r w:rsidRPr="00DD38C4">
        <w:rPr>
          <w:noProof/>
          <w:lang w:eastAsia="de-AT"/>
        </w:rPr>
        <w:drawing>
          <wp:inline distT="0" distB="0" distL="0" distR="0" wp14:anchorId="4CB57306" wp14:editId="680A9314">
            <wp:extent cx="4524375" cy="14573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24375" cy="1457325"/>
                    </a:xfrm>
                    <a:prstGeom prst="rect">
                      <a:avLst/>
                    </a:prstGeom>
                  </pic:spPr>
                </pic:pic>
              </a:graphicData>
            </a:graphic>
          </wp:inline>
        </w:drawing>
      </w:r>
    </w:p>
    <w:p w14:paraId="0811CF48" w14:textId="77777777" w:rsidR="000500E9" w:rsidRPr="00DD38C4" w:rsidRDefault="000D2481" w:rsidP="000D2481">
      <w:pPr>
        <w:pStyle w:val="berschrift2"/>
        <w:ind w:left="567" w:hanging="567"/>
        <w:rPr>
          <w:lang w:val="en-US"/>
        </w:rPr>
      </w:pPr>
      <w:bookmarkStart w:id="24" w:name="_Toc15372133"/>
      <w:r w:rsidRPr="00DD38C4">
        <w:rPr>
          <w:lang w:val="en-US"/>
        </w:rPr>
        <w:t>5.2</w:t>
      </w:r>
      <w:r w:rsidRPr="00DD38C4">
        <w:rPr>
          <w:lang w:val="en-US"/>
        </w:rPr>
        <w:tab/>
        <w:t>Minimales Follow-up für nicht-Seminom Stadium I in active surveillance</w:t>
      </w:r>
      <w:bookmarkEnd w:id="24"/>
    </w:p>
    <w:p w14:paraId="2E49B0E4" w14:textId="77777777" w:rsidR="000D2481" w:rsidRPr="00DD38C4" w:rsidRDefault="000D2481" w:rsidP="00351D0F">
      <w:pPr>
        <w:pStyle w:val="Textkrper-Einzug2"/>
        <w:spacing w:line="276" w:lineRule="auto"/>
        <w:ind w:left="0"/>
        <w:jc w:val="both"/>
        <w:rPr>
          <w:rFonts w:asciiTheme="minorHAnsi" w:hAnsiTheme="minorHAnsi" w:cstheme="minorHAnsi"/>
          <w:szCs w:val="22"/>
        </w:rPr>
      </w:pPr>
      <w:r w:rsidRPr="00DD38C4">
        <w:rPr>
          <w:noProof/>
          <w:lang w:eastAsia="de-AT"/>
        </w:rPr>
        <w:drawing>
          <wp:inline distT="0" distB="0" distL="0" distR="0" wp14:anchorId="78B967AA" wp14:editId="7BCAD931">
            <wp:extent cx="4500664" cy="171773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13756" cy="1722734"/>
                    </a:xfrm>
                    <a:prstGeom prst="rect">
                      <a:avLst/>
                    </a:prstGeom>
                  </pic:spPr>
                </pic:pic>
              </a:graphicData>
            </a:graphic>
          </wp:inline>
        </w:drawing>
      </w:r>
    </w:p>
    <w:p w14:paraId="5C13EA15" w14:textId="77777777" w:rsidR="000D2481" w:rsidRPr="00DD38C4" w:rsidRDefault="000D2481" w:rsidP="000D2481">
      <w:pPr>
        <w:pStyle w:val="Textkrper-Einzug2"/>
        <w:spacing w:after="0" w:line="240" w:lineRule="auto"/>
        <w:ind w:left="0"/>
        <w:jc w:val="both"/>
        <w:rPr>
          <w:rFonts w:asciiTheme="minorHAnsi" w:hAnsiTheme="minorHAnsi" w:cs="Arial"/>
          <w:color w:val="000000"/>
          <w:sz w:val="18"/>
          <w:szCs w:val="18"/>
          <w:lang w:val="en-US" w:eastAsia="de-AT"/>
        </w:rPr>
      </w:pPr>
      <w:r w:rsidRPr="00DD38C4">
        <w:rPr>
          <w:rFonts w:asciiTheme="minorHAnsi" w:hAnsiTheme="minorHAnsi" w:cs="Arial"/>
          <w:color w:val="000000"/>
          <w:sz w:val="18"/>
          <w:szCs w:val="18"/>
          <w:lang w:val="en-US" w:eastAsia="de-AT"/>
        </w:rPr>
        <w:t>* Recommended by 50% of the consensus group members.</w:t>
      </w:r>
    </w:p>
    <w:p w14:paraId="03081015" w14:textId="77777777" w:rsidR="000D2481" w:rsidRPr="00DD38C4" w:rsidRDefault="000D2481" w:rsidP="000D2481">
      <w:pPr>
        <w:pStyle w:val="Textkrper-Einzug2"/>
        <w:spacing w:after="0" w:line="240" w:lineRule="auto"/>
        <w:ind w:left="0"/>
        <w:jc w:val="both"/>
        <w:rPr>
          <w:rFonts w:asciiTheme="minorHAnsi" w:hAnsiTheme="minorHAnsi" w:cs="Arial"/>
          <w:color w:val="000000"/>
          <w:sz w:val="18"/>
          <w:szCs w:val="18"/>
          <w:lang w:val="en-US" w:eastAsia="de-AT"/>
        </w:rPr>
      </w:pPr>
      <w:r w:rsidRPr="00DD38C4">
        <w:rPr>
          <w:rFonts w:asciiTheme="minorHAnsi" w:hAnsiTheme="minorHAnsi" w:cs="Arial"/>
          <w:color w:val="000000"/>
          <w:sz w:val="18"/>
          <w:szCs w:val="18"/>
          <w:lang w:val="en-US" w:eastAsia="de-AT"/>
        </w:rPr>
        <w:t>** In case of high risk (LVI+) a minority of the consensus group members recommended six times.</w:t>
      </w:r>
    </w:p>
    <w:p w14:paraId="675DB10C" w14:textId="77777777" w:rsidR="000D2481" w:rsidRPr="00DD38C4" w:rsidRDefault="000D2481" w:rsidP="000D2481">
      <w:pPr>
        <w:pStyle w:val="Textkrper-Einzug2"/>
        <w:spacing w:after="0" w:line="240" w:lineRule="auto"/>
        <w:ind w:left="0"/>
        <w:jc w:val="both"/>
        <w:rPr>
          <w:rFonts w:asciiTheme="minorHAnsi" w:hAnsiTheme="minorHAnsi" w:cs="Arial"/>
          <w:color w:val="000000"/>
          <w:sz w:val="18"/>
          <w:szCs w:val="18"/>
          <w:lang w:val="en-US" w:eastAsia="de-AT"/>
        </w:rPr>
      </w:pPr>
      <w:r w:rsidRPr="00DD38C4">
        <w:rPr>
          <w:rFonts w:asciiTheme="minorHAnsi" w:hAnsiTheme="minorHAnsi" w:cs="Arial"/>
          <w:color w:val="000000"/>
          <w:sz w:val="18"/>
          <w:szCs w:val="18"/>
          <w:lang w:val="en-US" w:eastAsia="de-AT"/>
        </w:rPr>
        <w:t>*** In case of high risk (LVI+) a majority of the consensus group members recommended an additional CT at eighteen months.</w:t>
      </w:r>
    </w:p>
    <w:p w14:paraId="105DF4C7" w14:textId="77777777" w:rsidR="000D2481" w:rsidRPr="00DD38C4" w:rsidRDefault="000D2481" w:rsidP="000D2481">
      <w:pPr>
        <w:pStyle w:val="Textkrper-Einzug2"/>
        <w:spacing w:after="0" w:line="240" w:lineRule="auto"/>
        <w:ind w:left="0"/>
        <w:jc w:val="both"/>
        <w:rPr>
          <w:rFonts w:asciiTheme="minorHAnsi" w:hAnsiTheme="minorHAnsi" w:cstheme="minorHAnsi"/>
          <w:sz w:val="8"/>
          <w:szCs w:val="8"/>
          <w:lang w:val="en-US"/>
        </w:rPr>
      </w:pPr>
    </w:p>
    <w:p w14:paraId="7F84317C" w14:textId="4F2D6605" w:rsidR="000D2481" w:rsidRPr="00DD38C4" w:rsidRDefault="000D2481" w:rsidP="000D2481">
      <w:pPr>
        <w:pStyle w:val="berschrift2"/>
        <w:ind w:left="567" w:hanging="567"/>
      </w:pPr>
      <w:bookmarkStart w:id="25" w:name="_Toc15372134"/>
      <w:r w:rsidRPr="00DD38C4">
        <w:t>5.3</w:t>
      </w:r>
      <w:r w:rsidRPr="00DD38C4">
        <w:tab/>
        <w:t>Follow-up nach adjuvanter Behandlung oder kompletter Remission bei fortgeschrittener Erkrankung  (ausgenommen: „poor prognosis“ und keine Remission)</w:t>
      </w:r>
      <w:bookmarkEnd w:id="25"/>
    </w:p>
    <w:p w14:paraId="0D6B4EEC" w14:textId="77777777" w:rsidR="000500E9" w:rsidRPr="00DD38C4" w:rsidRDefault="000D2481" w:rsidP="00351D0F">
      <w:pPr>
        <w:pStyle w:val="Textkrper-Einzug2"/>
        <w:spacing w:line="276" w:lineRule="auto"/>
        <w:ind w:left="0"/>
        <w:jc w:val="both"/>
        <w:rPr>
          <w:rFonts w:asciiTheme="minorHAnsi" w:hAnsiTheme="minorHAnsi" w:cstheme="minorHAnsi"/>
          <w:szCs w:val="22"/>
        </w:rPr>
      </w:pPr>
      <w:r w:rsidRPr="00DD38C4">
        <w:rPr>
          <w:noProof/>
          <w:lang w:eastAsia="de-AT"/>
        </w:rPr>
        <w:drawing>
          <wp:inline distT="0" distB="0" distL="0" distR="0" wp14:anchorId="2FFB377F" wp14:editId="538CBF01">
            <wp:extent cx="4486275" cy="18859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86275" cy="1885950"/>
                    </a:xfrm>
                    <a:prstGeom prst="rect">
                      <a:avLst/>
                    </a:prstGeom>
                  </pic:spPr>
                </pic:pic>
              </a:graphicData>
            </a:graphic>
          </wp:inline>
        </w:drawing>
      </w:r>
    </w:p>
    <w:p w14:paraId="68BF645C" w14:textId="77777777" w:rsidR="000D2481" w:rsidRPr="00DD38C4" w:rsidRDefault="000D2481" w:rsidP="000D2481">
      <w:pPr>
        <w:pStyle w:val="Textkrper-Einzug2"/>
        <w:spacing w:after="0" w:line="240" w:lineRule="auto"/>
        <w:ind w:left="0"/>
        <w:jc w:val="both"/>
        <w:rPr>
          <w:rFonts w:asciiTheme="minorHAnsi" w:hAnsiTheme="minorHAnsi" w:cs="Arial"/>
          <w:color w:val="000000"/>
          <w:sz w:val="18"/>
          <w:szCs w:val="18"/>
          <w:lang w:val="en-US" w:eastAsia="de-AT"/>
        </w:rPr>
      </w:pPr>
      <w:r w:rsidRPr="00DD38C4">
        <w:rPr>
          <w:rFonts w:asciiTheme="minorHAnsi" w:hAnsiTheme="minorHAnsi" w:cs="Arial"/>
          <w:color w:val="000000"/>
          <w:sz w:val="18"/>
          <w:szCs w:val="18"/>
          <w:lang w:val="en-US" w:eastAsia="de-AT"/>
        </w:rPr>
        <w:t>* Same time points as abdominopelvic CT/MRI in case of pulmonary metastases at diagnosis.</w:t>
      </w:r>
    </w:p>
    <w:p w14:paraId="117A1935" w14:textId="77777777" w:rsidR="000D2481" w:rsidRPr="00DD38C4" w:rsidRDefault="000D2481" w:rsidP="000D2481">
      <w:pPr>
        <w:pStyle w:val="Textkrper-Einzug2"/>
        <w:spacing w:after="0" w:line="240" w:lineRule="auto"/>
        <w:ind w:left="0"/>
        <w:jc w:val="both"/>
        <w:rPr>
          <w:rFonts w:asciiTheme="minorHAnsi" w:hAnsiTheme="minorHAnsi" w:cs="Arial"/>
          <w:color w:val="000000"/>
          <w:sz w:val="18"/>
          <w:szCs w:val="18"/>
          <w:lang w:val="en-US" w:eastAsia="de-AT"/>
        </w:rPr>
      </w:pPr>
      <w:r w:rsidRPr="00DD38C4">
        <w:rPr>
          <w:rFonts w:asciiTheme="minorHAnsi" w:hAnsiTheme="minorHAnsi" w:cs="Arial"/>
          <w:color w:val="000000"/>
          <w:sz w:val="18"/>
          <w:szCs w:val="18"/>
          <w:lang w:val="en-US" w:eastAsia="de-AT"/>
        </w:rPr>
        <w:t>** In case of teratoma in resected residual disease: the patient should remain with the uro-oncologist.</w:t>
      </w:r>
    </w:p>
    <w:p w14:paraId="1425BC6E" w14:textId="77777777" w:rsidR="006D4DAC" w:rsidRPr="00DD38C4" w:rsidRDefault="006D4DAC" w:rsidP="007F3064">
      <w:pPr>
        <w:pStyle w:val="berschrift1"/>
      </w:pPr>
      <w:bookmarkStart w:id="26" w:name="_Toc367183620"/>
      <w:bookmarkStart w:id="27" w:name="_Toc367183858"/>
      <w:bookmarkStart w:id="28" w:name="_Toc15372135"/>
      <w:r w:rsidRPr="00DD38C4">
        <w:lastRenderedPageBreak/>
        <w:t>6</w:t>
      </w:r>
      <w:r w:rsidRPr="00DD38C4">
        <w:tab/>
        <w:t>Dokumentation und Qualitätsparameter</w:t>
      </w:r>
      <w:bookmarkEnd w:id="26"/>
      <w:bookmarkEnd w:id="27"/>
      <w:bookmarkEnd w:id="28"/>
    </w:p>
    <w:p w14:paraId="06BA87F4" w14:textId="77777777" w:rsidR="00351D0F" w:rsidRPr="00DD38C4" w:rsidRDefault="00351D0F" w:rsidP="009C0448">
      <w:pPr>
        <w:pStyle w:val="Textkrper-Einzug2"/>
        <w:spacing w:after="0" w:line="276" w:lineRule="auto"/>
        <w:ind w:left="720"/>
        <w:jc w:val="both"/>
        <w:rPr>
          <w:rFonts w:asciiTheme="minorHAnsi" w:hAnsiTheme="minorHAnsi" w:cstheme="minorHAnsi"/>
          <w:szCs w:val="22"/>
        </w:rPr>
      </w:pPr>
    </w:p>
    <w:p w14:paraId="3CFE53C3" w14:textId="77777777" w:rsidR="00351D0F" w:rsidRPr="00DD38C4" w:rsidRDefault="00351D0F" w:rsidP="005B1AF3">
      <w:pPr>
        <w:pStyle w:val="Textkrper-Einzug2"/>
        <w:numPr>
          <w:ilvl w:val="0"/>
          <w:numId w:val="21"/>
        </w:numPr>
        <w:spacing w:after="0" w:line="276" w:lineRule="auto"/>
        <w:ind w:hanging="720"/>
        <w:jc w:val="both"/>
        <w:rPr>
          <w:rFonts w:asciiTheme="minorHAnsi" w:hAnsiTheme="minorHAnsi" w:cstheme="minorHAnsi"/>
          <w:szCs w:val="22"/>
        </w:rPr>
      </w:pPr>
      <w:r w:rsidRPr="00DD38C4">
        <w:rPr>
          <w:rFonts w:asciiTheme="minorHAnsi" w:hAnsiTheme="minorHAnsi" w:cstheme="minorHAnsi"/>
          <w:szCs w:val="22"/>
        </w:rPr>
        <w:t>% LL-Konform behandelt (C37)</w:t>
      </w:r>
    </w:p>
    <w:p w14:paraId="03E03B8E" w14:textId="77777777" w:rsidR="00351D0F" w:rsidRPr="00DD38C4" w:rsidRDefault="00351D0F" w:rsidP="005B1AF3">
      <w:pPr>
        <w:pStyle w:val="Textkrper-Einzug2"/>
        <w:numPr>
          <w:ilvl w:val="0"/>
          <w:numId w:val="21"/>
        </w:numPr>
        <w:spacing w:after="0" w:line="276" w:lineRule="auto"/>
        <w:ind w:hanging="720"/>
        <w:jc w:val="both"/>
        <w:rPr>
          <w:rFonts w:asciiTheme="minorHAnsi" w:hAnsiTheme="minorHAnsi" w:cstheme="minorHAnsi"/>
          <w:szCs w:val="22"/>
        </w:rPr>
      </w:pPr>
      <w:r w:rsidRPr="00DD38C4">
        <w:rPr>
          <w:rFonts w:asciiTheme="minorHAnsi" w:hAnsiTheme="minorHAnsi" w:cstheme="minorHAnsi"/>
          <w:szCs w:val="22"/>
        </w:rPr>
        <w:t xml:space="preserve">% Chemo dose in time </w:t>
      </w:r>
    </w:p>
    <w:p w14:paraId="4C5976A6" w14:textId="77777777" w:rsidR="00351D0F" w:rsidRPr="00DD38C4" w:rsidRDefault="00351D0F" w:rsidP="005B1AF3">
      <w:pPr>
        <w:pStyle w:val="Textkrper-Einzug2"/>
        <w:numPr>
          <w:ilvl w:val="0"/>
          <w:numId w:val="21"/>
        </w:numPr>
        <w:spacing w:after="0" w:line="276" w:lineRule="auto"/>
        <w:ind w:hanging="720"/>
        <w:jc w:val="both"/>
        <w:rPr>
          <w:rFonts w:asciiTheme="minorHAnsi" w:hAnsiTheme="minorHAnsi" w:cstheme="minorHAnsi"/>
          <w:szCs w:val="22"/>
          <w:lang w:val="en-US"/>
        </w:rPr>
      </w:pPr>
      <w:r w:rsidRPr="00DD38C4">
        <w:rPr>
          <w:rFonts w:asciiTheme="minorHAnsi" w:hAnsiTheme="minorHAnsi" w:cstheme="minorHAnsi"/>
          <w:szCs w:val="22"/>
          <w:lang w:val="en-GB"/>
        </w:rPr>
        <w:t>PFS (Star</w:t>
      </w:r>
      <w:r w:rsidRPr="00DD38C4">
        <w:rPr>
          <w:rFonts w:asciiTheme="minorHAnsi" w:hAnsiTheme="minorHAnsi" w:cstheme="minorHAnsi"/>
          <w:szCs w:val="22"/>
          <w:lang w:val="en-US"/>
        </w:rPr>
        <w:t>t first line therapy till progression or death)</w:t>
      </w:r>
    </w:p>
    <w:p w14:paraId="1F29A3C3" w14:textId="77777777" w:rsidR="00351D0F" w:rsidRPr="00DD38C4" w:rsidRDefault="003072B3" w:rsidP="005B1AF3">
      <w:pPr>
        <w:pStyle w:val="Textkrper-Einzug2"/>
        <w:numPr>
          <w:ilvl w:val="0"/>
          <w:numId w:val="21"/>
        </w:numPr>
        <w:spacing w:after="0" w:line="276" w:lineRule="auto"/>
        <w:ind w:hanging="720"/>
        <w:jc w:val="both"/>
        <w:rPr>
          <w:rFonts w:asciiTheme="minorHAnsi" w:hAnsiTheme="minorHAnsi" w:cstheme="minorHAnsi"/>
          <w:szCs w:val="22"/>
        </w:rPr>
      </w:pPr>
      <w:r w:rsidRPr="00DD38C4">
        <w:rPr>
          <w:rFonts w:asciiTheme="minorHAnsi" w:hAnsiTheme="minorHAnsi" w:cstheme="minorHAnsi"/>
          <w:szCs w:val="22"/>
        </w:rPr>
        <w:t>O</w:t>
      </w:r>
      <w:r w:rsidR="00351D0F" w:rsidRPr="00DD38C4">
        <w:rPr>
          <w:rFonts w:asciiTheme="minorHAnsi" w:hAnsiTheme="minorHAnsi" w:cstheme="minorHAnsi"/>
          <w:szCs w:val="22"/>
        </w:rPr>
        <w:t>S</w:t>
      </w:r>
    </w:p>
    <w:p w14:paraId="1B7C2112" w14:textId="77777777" w:rsidR="00351D0F" w:rsidRPr="00DD38C4" w:rsidRDefault="00351D0F" w:rsidP="009C0448">
      <w:pPr>
        <w:pStyle w:val="Textkrper-Einzug2"/>
        <w:spacing w:after="0" w:line="276" w:lineRule="auto"/>
        <w:ind w:left="720"/>
        <w:jc w:val="both"/>
        <w:rPr>
          <w:rFonts w:asciiTheme="minorHAnsi" w:hAnsiTheme="minorHAnsi" w:cstheme="minorHAnsi"/>
          <w:szCs w:val="22"/>
        </w:rPr>
      </w:pPr>
    </w:p>
    <w:p w14:paraId="040D6FFB" w14:textId="77777777" w:rsidR="006D4DAC" w:rsidRPr="00DD38C4" w:rsidRDefault="006D4DAC" w:rsidP="007F3064">
      <w:pPr>
        <w:pStyle w:val="berschrift1"/>
        <w:rPr>
          <w:lang w:val="en-GB"/>
        </w:rPr>
      </w:pPr>
      <w:bookmarkStart w:id="29" w:name="_Toc367183621"/>
      <w:bookmarkStart w:id="30" w:name="_Toc367183859"/>
      <w:bookmarkStart w:id="31" w:name="_Toc15372136"/>
      <w:r w:rsidRPr="00DD38C4">
        <w:rPr>
          <w:lang w:val="en-GB"/>
        </w:rPr>
        <w:t>7</w:t>
      </w:r>
      <w:r w:rsidRPr="00DD38C4">
        <w:rPr>
          <w:lang w:val="en-GB"/>
        </w:rPr>
        <w:tab/>
        <w:t>Literatur/Quellenangaben</w:t>
      </w:r>
      <w:bookmarkEnd w:id="29"/>
      <w:bookmarkEnd w:id="30"/>
      <w:bookmarkEnd w:id="31"/>
    </w:p>
    <w:p w14:paraId="128DABC1" w14:textId="77777777" w:rsidR="00351D0F" w:rsidRPr="00DD38C4" w:rsidRDefault="00351D0F" w:rsidP="009C0448">
      <w:pPr>
        <w:pStyle w:val="Textkrper-Einzug2"/>
        <w:spacing w:after="0" w:line="276" w:lineRule="auto"/>
        <w:ind w:left="0"/>
        <w:jc w:val="both"/>
        <w:rPr>
          <w:rFonts w:asciiTheme="minorHAnsi" w:hAnsiTheme="minorHAnsi" w:cstheme="minorHAnsi"/>
          <w:szCs w:val="22"/>
          <w:lang w:val="en-GB"/>
        </w:rPr>
      </w:pPr>
    </w:p>
    <w:p w14:paraId="6002CE19" w14:textId="77777777" w:rsidR="00351D0F" w:rsidRPr="00DD38C4" w:rsidRDefault="00351D0F" w:rsidP="009C0448">
      <w:pPr>
        <w:pStyle w:val="Textkrper-Einzug2"/>
        <w:spacing w:after="0" w:line="276" w:lineRule="auto"/>
        <w:ind w:left="0"/>
        <w:jc w:val="both"/>
        <w:rPr>
          <w:rFonts w:asciiTheme="minorHAnsi" w:hAnsiTheme="minorHAnsi" w:cstheme="minorHAnsi"/>
          <w:szCs w:val="22"/>
          <w:lang w:val="en-GB"/>
        </w:rPr>
      </w:pPr>
      <w:r w:rsidRPr="00DD38C4">
        <w:rPr>
          <w:rFonts w:asciiTheme="minorHAnsi" w:hAnsiTheme="minorHAnsi" w:cstheme="minorHAnsi"/>
          <w:szCs w:val="22"/>
          <w:lang w:val="en-GB"/>
        </w:rPr>
        <w:t>G -</w:t>
      </w:r>
      <w:r w:rsidR="007C4371" w:rsidRPr="00DD38C4">
        <w:rPr>
          <w:rFonts w:asciiTheme="minorHAnsi" w:hAnsiTheme="minorHAnsi" w:cstheme="minorHAnsi"/>
          <w:szCs w:val="22"/>
          <w:lang w:val="en-GB"/>
        </w:rPr>
        <w:t xml:space="preserve"> </w:t>
      </w:r>
      <w:r w:rsidRPr="00DD38C4">
        <w:rPr>
          <w:rFonts w:asciiTheme="minorHAnsi" w:hAnsiTheme="minorHAnsi" w:cstheme="minorHAnsi"/>
          <w:szCs w:val="22"/>
          <w:lang w:val="en-GB"/>
        </w:rPr>
        <w:t>201</w:t>
      </w:r>
      <w:r w:rsidR="00C26EC0" w:rsidRPr="00DD38C4">
        <w:rPr>
          <w:rFonts w:asciiTheme="minorHAnsi" w:hAnsiTheme="minorHAnsi" w:cstheme="minorHAnsi"/>
          <w:szCs w:val="22"/>
          <w:lang w:val="en-GB"/>
        </w:rPr>
        <w:t>9</w:t>
      </w:r>
      <w:r w:rsidRPr="00DD38C4">
        <w:rPr>
          <w:rFonts w:asciiTheme="minorHAnsi" w:hAnsiTheme="minorHAnsi" w:cstheme="minorHAnsi"/>
          <w:szCs w:val="22"/>
          <w:lang w:val="en-GB"/>
        </w:rPr>
        <w:t xml:space="preserve"> </w:t>
      </w:r>
      <w:r w:rsidR="00C26EC0" w:rsidRPr="00DD38C4">
        <w:rPr>
          <w:rFonts w:asciiTheme="minorHAnsi" w:hAnsiTheme="minorHAnsi" w:cstheme="minorHAnsi"/>
          <w:szCs w:val="22"/>
          <w:lang w:val="en-GB"/>
        </w:rPr>
        <w:t>-</w:t>
      </w:r>
      <w:r w:rsidRPr="00DD38C4">
        <w:rPr>
          <w:rFonts w:asciiTheme="minorHAnsi" w:hAnsiTheme="minorHAnsi" w:cstheme="minorHAnsi"/>
          <w:szCs w:val="22"/>
          <w:lang w:val="en-GB"/>
        </w:rPr>
        <w:t xml:space="preserve"> EAU </w:t>
      </w:r>
      <w:r w:rsidR="00C26EC0" w:rsidRPr="00DD38C4">
        <w:rPr>
          <w:rFonts w:asciiTheme="minorHAnsi" w:hAnsiTheme="minorHAnsi" w:cstheme="minorHAnsi"/>
          <w:szCs w:val="22"/>
          <w:lang w:val="en-GB"/>
        </w:rPr>
        <w:t>-</w:t>
      </w:r>
      <w:r w:rsidRPr="00DD38C4">
        <w:rPr>
          <w:rFonts w:asciiTheme="minorHAnsi" w:hAnsiTheme="minorHAnsi" w:cstheme="minorHAnsi"/>
          <w:szCs w:val="22"/>
          <w:lang w:val="en-GB"/>
        </w:rPr>
        <w:t xml:space="preserve"> Testicular Cancer</w:t>
      </w:r>
      <w:r w:rsidR="00C26EC0" w:rsidRPr="00DD38C4">
        <w:rPr>
          <w:rFonts w:asciiTheme="minorHAnsi" w:hAnsiTheme="minorHAnsi" w:cstheme="minorHAnsi"/>
          <w:szCs w:val="22"/>
          <w:lang w:val="en-GB"/>
        </w:rPr>
        <w:t>, https://uroweb.or</w:t>
      </w:r>
      <w:r w:rsidR="00E64C5A" w:rsidRPr="00DD38C4">
        <w:rPr>
          <w:rFonts w:asciiTheme="minorHAnsi" w:hAnsiTheme="minorHAnsi" w:cstheme="minorHAnsi"/>
          <w:szCs w:val="22"/>
          <w:lang w:val="en-GB"/>
        </w:rPr>
        <w:t>g/guideline/testicular-cancer</w:t>
      </w:r>
    </w:p>
    <w:p w14:paraId="66A97DC1" w14:textId="77777777" w:rsidR="00351D0F" w:rsidRPr="00DD38C4" w:rsidRDefault="00351D0F" w:rsidP="009C0448">
      <w:pPr>
        <w:pStyle w:val="Textkrper-Einzug2"/>
        <w:spacing w:after="0" w:line="276" w:lineRule="auto"/>
        <w:ind w:left="0"/>
        <w:jc w:val="both"/>
        <w:rPr>
          <w:rFonts w:asciiTheme="minorHAnsi" w:hAnsiTheme="minorHAnsi" w:cstheme="minorHAnsi"/>
          <w:szCs w:val="22"/>
        </w:rPr>
      </w:pPr>
      <w:r w:rsidRPr="00DD38C4">
        <w:rPr>
          <w:rFonts w:asciiTheme="minorHAnsi" w:hAnsiTheme="minorHAnsi" w:cstheme="minorHAnsi"/>
          <w:szCs w:val="22"/>
        </w:rPr>
        <w:t>O - 2007 - JCO - Marker decline</w:t>
      </w:r>
    </w:p>
    <w:p w14:paraId="0F4A4BCE" w14:textId="77777777" w:rsidR="00514C14" w:rsidRPr="00DD38C4" w:rsidRDefault="00514C14" w:rsidP="00514C14">
      <w:pPr>
        <w:pStyle w:val="Textkrper-Einzug2"/>
        <w:spacing w:after="0" w:line="276" w:lineRule="auto"/>
        <w:ind w:left="0"/>
        <w:jc w:val="both"/>
        <w:rPr>
          <w:rStyle w:val="Hyperlink"/>
          <w:rFonts w:asciiTheme="minorHAnsi" w:hAnsiTheme="minorHAnsi" w:cstheme="minorHAnsi"/>
          <w:szCs w:val="22"/>
        </w:rPr>
      </w:pPr>
      <w:r w:rsidRPr="00DD38C4">
        <w:rPr>
          <w:rFonts w:asciiTheme="minorHAnsi" w:hAnsiTheme="minorHAnsi" w:cstheme="minorHAnsi"/>
          <w:szCs w:val="22"/>
        </w:rPr>
        <w:t xml:space="preserve">Online Kalkulator für Marker-decline: </w:t>
      </w:r>
      <w:hyperlink r:id="rId29" w:history="1">
        <w:r w:rsidRPr="00DD38C4">
          <w:rPr>
            <w:rStyle w:val="Hyperlink"/>
            <w:rFonts w:asciiTheme="minorHAnsi" w:hAnsiTheme="minorHAnsi" w:cstheme="minorHAnsi"/>
            <w:szCs w:val="22"/>
          </w:rPr>
          <w:t>https://www.gustaveroussy.fr/calculation-tumor/NSGCT.html</w:t>
        </w:r>
      </w:hyperlink>
    </w:p>
    <w:p w14:paraId="304AC686" w14:textId="77777777" w:rsidR="00514C14" w:rsidRPr="00DD38C4" w:rsidRDefault="00514C14" w:rsidP="00514C14">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O - 2019 - FrontEndocrinology - Choriocarcinoma Syndrome</w:t>
      </w:r>
    </w:p>
    <w:p w14:paraId="3FAECE5C" w14:textId="77777777" w:rsidR="00514C14" w:rsidRPr="00DD38C4" w:rsidRDefault="00514C14" w:rsidP="00514C14">
      <w:pPr>
        <w:pStyle w:val="Textkrper-Einzug2"/>
        <w:spacing w:after="0" w:line="276" w:lineRule="auto"/>
        <w:ind w:left="0"/>
        <w:jc w:val="both"/>
        <w:rPr>
          <w:rFonts w:asciiTheme="minorHAnsi" w:hAnsiTheme="minorHAnsi" w:cstheme="minorHAnsi"/>
          <w:lang w:val="en-GB"/>
        </w:rPr>
      </w:pPr>
      <w:r w:rsidRPr="00DD38C4">
        <w:rPr>
          <w:rFonts w:asciiTheme="minorHAnsi" w:hAnsiTheme="minorHAnsi" w:cstheme="minorHAnsi"/>
          <w:lang w:val="en-GB"/>
        </w:rPr>
        <w:t xml:space="preserve">Tiger Trial.: </w:t>
      </w:r>
      <w:hyperlink r:id="rId30" w:history="1">
        <w:r w:rsidRPr="00DD38C4">
          <w:rPr>
            <w:rStyle w:val="Hyperlink"/>
            <w:rFonts w:asciiTheme="minorHAnsi" w:hAnsiTheme="minorHAnsi" w:cstheme="minorHAnsi"/>
            <w:lang w:val="en-GB"/>
          </w:rPr>
          <w:t>http://www.eortc.be/services/forms/1407/1407%20Tiger-Outline%2020140919.pdf</w:t>
        </w:r>
      </w:hyperlink>
    </w:p>
    <w:p w14:paraId="302F646F" w14:textId="77777777" w:rsidR="00514C14" w:rsidRPr="00DD38C4" w:rsidRDefault="00765930" w:rsidP="00514C14">
      <w:pPr>
        <w:pStyle w:val="Textkrper-Einzug2"/>
        <w:spacing w:after="0" w:line="276" w:lineRule="auto"/>
        <w:ind w:left="0"/>
        <w:jc w:val="both"/>
        <w:rPr>
          <w:rFonts w:asciiTheme="minorHAnsi" w:hAnsiTheme="minorHAnsi" w:cstheme="minorHAnsi"/>
          <w:szCs w:val="22"/>
        </w:rPr>
      </w:pPr>
      <w:r w:rsidRPr="00DD38C4">
        <w:rPr>
          <w:rFonts w:asciiTheme="minorHAnsi" w:hAnsiTheme="minorHAnsi" w:cstheme="minorHAnsi"/>
          <w:szCs w:val="22"/>
        </w:rPr>
        <w:t>O - 2019 - UrolClinNA - SCT in GCT</w:t>
      </w:r>
    </w:p>
    <w:p w14:paraId="252CB4F7" w14:textId="77777777" w:rsidR="00514C14" w:rsidRPr="00DD38C4" w:rsidRDefault="00514C14" w:rsidP="00514C14">
      <w:pPr>
        <w:pStyle w:val="Textkrper-Einzug2"/>
        <w:spacing w:after="0" w:line="276" w:lineRule="auto"/>
        <w:ind w:left="0"/>
        <w:jc w:val="both"/>
        <w:rPr>
          <w:rFonts w:asciiTheme="minorHAnsi" w:hAnsiTheme="minorHAnsi" w:cstheme="minorHAnsi"/>
          <w:szCs w:val="22"/>
        </w:rPr>
      </w:pPr>
    </w:p>
    <w:p w14:paraId="3F273BE0" w14:textId="77777777" w:rsidR="009C0448" w:rsidRPr="00DD38C4" w:rsidRDefault="009C0448" w:rsidP="009C0448">
      <w:pPr>
        <w:pStyle w:val="berschrift1"/>
      </w:pPr>
      <w:bookmarkStart w:id="32" w:name="_Toc15372137"/>
      <w:r w:rsidRPr="00DD38C4">
        <w:t>Anhang: Therapieprotokolle</w:t>
      </w:r>
      <w:bookmarkEnd w:id="32"/>
    </w:p>
    <w:p w14:paraId="5F30D98A" w14:textId="77777777" w:rsidR="009C0448" w:rsidRPr="00DD38C4" w:rsidRDefault="009C0448" w:rsidP="009C0448">
      <w:pPr>
        <w:pStyle w:val="Textkrper-Einzug2"/>
        <w:spacing w:after="0" w:line="276" w:lineRule="auto"/>
        <w:ind w:left="0"/>
        <w:jc w:val="both"/>
        <w:rPr>
          <w:rFonts w:asciiTheme="minorHAnsi" w:hAnsiTheme="minorHAnsi" w:cstheme="minorHAnsi"/>
          <w:b/>
          <w:szCs w:val="22"/>
        </w:rPr>
      </w:pPr>
    </w:p>
    <w:p w14:paraId="701662D0" w14:textId="77777777" w:rsidR="009C0448" w:rsidRPr="00DD38C4" w:rsidRDefault="009C0448" w:rsidP="009C0448">
      <w:pPr>
        <w:pStyle w:val="Textkrper-Einzug2"/>
        <w:spacing w:after="0" w:line="276" w:lineRule="auto"/>
        <w:ind w:left="0"/>
        <w:jc w:val="both"/>
        <w:rPr>
          <w:rFonts w:asciiTheme="minorHAnsi" w:hAnsiTheme="minorHAnsi" w:cstheme="minorHAnsi"/>
          <w:b/>
          <w:szCs w:val="22"/>
          <w:lang w:val="en-US"/>
        </w:rPr>
      </w:pPr>
      <w:r w:rsidRPr="00DD38C4">
        <w:rPr>
          <w:rFonts w:asciiTheme="minorHAnsi" w:hAnsiTheme="minorHAnsi" w:cstheme="minorHAnsi"/>
          <w:b/>
          <w:szCs w:val="22"/>
          <w:lang w:val="en-US"/>
        </w:rPr>
        <w:t xml:space="preserve">PE: q3wk          </w:t>
      </w:r>
    </w:p>
    <w:p w14:paraId="25D9C40B"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Cisplatin</w:t>
      </w:r>
      <w:r w:rsidRPr="00DD38C4">
        <w:rPr>
          <w:rFonts w:asciiTheme="minorHAnsi" w:hAnsiTheme="minorHAnsi" w:cstheme="minorHAnsi"/>
          <w:szCs w:val="22"/>
          <w:lang w:val="en-US"/>
        </w:rPr>
        <w:tab/>
      </w:r>
      <w:r w:rsidRPr="00DD38C4">
        <w:rPr>
          <w:rFonts w:asciiTheme="minorHAnsi" w:hAnsiTheme="minorHAnsi" w:cstheme="minorHAnsi"/>
          <w:szCs w:val="22"/>
          <w:lang w:val="en-US"/>
        </w:rPr>
        <w:tab/>
        <w:t>20mg/m2</w:t>
      </w:r>
      <w:r w:rsidRPr="00DD38C4">
        <w:rPr>
          <w:rFonts w:asciiTheme="minorHAnsi" w:hAnsiTheme="minorHAnsi" w:cstheme="minorHAnsi"/>
          <w:szCs w:val="22"/>
          <w:lang w:val="en-US"/>
        </w:rPr>
        <w:tab/>
        <w:t>i.v.</w:t>
      </w:r>
      <w:r w:rsidRPr="00DD38C4">
        <w:rPr>
          <w:rFonts w:asciiTheme="minorHAnsi" w:hAnsiTheme="minorHAnsi" w:cstheme="minorHAnsi"/>
          <w:szCs w:val="22"/>
          <w:lang w:val="en-US"/>
        </w:rPr>
        <w:tab/>
        <w:t xml:space="preserve">d 1-5 </w:t>
      </w:r>
    </w:p>
    <w:p w14:paraId="2E42A4DA"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Etoposid</w:t>
      </w:r>
      <w:r w:rsidRPr="00DD38C4">
        <w:rPr>
          <w:rFonts w:asciiTheme="minorHAnsi" w:hAnsiTheme="minorHAnsi" w:cstheme="minorHAnsi"/>
          <w:szCs w:val="22"/>
          <w:lang w:val="en-US"/>
        </w:rPr>
        <w:tab/>
      </w:r>
      <w:r w:rsidRPr="00DD38C4">
        <w:rPr>
          <w:rFonts w:asciiTheme="minorHAnsi" w:hAnsiTheme="minorHAnsi" w:cstheme="minorHAnsi"/>
          <w:szCs w:val="22"/>
          <w:lang w:val="en-US"/>
        </w:rPr>
        <w:tab/>
        <w:t xml:space="preserve">100mg/m2 </w:t>
      </w:r>
      <w:r w:rsidRPr="00DD38C4">
        <w:rPr>
          <w:rFonts w:asciiTheme="minorHAnsi" w:hAnsiTheme="minorHAnsi" w:cstheme="minorHAnsi"/>
          <w:szCs w:val="22"/>
          <w:lang w:val="en-US"/>
        </w:rPr>
        <w:tab/>
        <w:t>i.v.</w:t>
      </w:r>
      <w:r w:rsidRPr="00DD38C4">
        <w:rPr>
          <w:rFonts w:asciiTheme="minorHAnsi" w:hAnsiTheme="minorHAnsi" w:cstheme="minorHAnsi"/>
          <w:szCs w:val="22"/>
          <w:lang w:val="en-US"/>
        </w:rPr>
        <w:tab/>
        <w:t xml:space="preserve">d 1-5 </w:t>
      </w:r>
    </w:p>
    <w:p w14:paraId="4DBB0447" w14:textId="77777777" w:rsidR="009C0448" w:rsidRPr="00DD38C4" w:rsidRDefault="009C0448" w:rsidP="009C0448">
      <w:pPr>
        <w:pStyle w:val="Textkrper-Einzug2"/>
        <w:spacing w:after="0" w:line="276" w:lineRule="auto"/>
        <w:ind w:left="0"/>
        <w:jc w:val="both"/>
        <w:rPr>
          <w:rFonts w:asciiTheme="minorHAnsi" w:hAnsiTheme="minorHAnsi" w:cstheme="minorHAnsi"/>
          <w:b/>
          <w:szCs w:val="22"/>
          <w:lang w:val="en-US"/>
        </w:rPr>
      </w:pPr>
      <w:r w:rsidRPr="00DD38C4">
        <w:rPr>
          <w:rFonts w:asciiTheme="minorHAnsi" w:hAnsiTheme="minorHAnsi" w:cstheme="minorHAnsi"/>
          <w:b/>
          <w:szCs w:val="22"/>
          <w:lang w:val="en-US"/>
        </w:rPr>
        <w:t xml:space="preserve">PEB: q3wk        </w:t>
      </w:r>
    </w:p>
    <w:p w14:paraId="1AA003C4"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Cisplatin</w:t>
      </w:r>
      <w:r w:rsidRPr="00DD38C4">
        <w:rPr>
          <w:rFonts w:asciiTheme="minorHAnsi" w:hAnsiTheme="minorHAnsi" w:cstheme="minorHAnsi"/>
          <w:szCs w:val="22"/>
          <w:lang w:val="en-US"/>
        </w:rPr>
        <w:tab/>
      </w:r>
      <w:r w:rsidRPr="00DD38C4">
        <w:rPr>
          <w:rFonts w:asciiTheme="minorHAnsi" w:hAnsiTheme="minorHAnsi" w:cstheme="minorHAnsi"/>
          <w:szCs w:val="22"/>
          <w:lang w:val="en-US"/>
        </w:rPr>
        <w:tab/>
        <w:t>20mg/m2</w:t>
      </w:r>
      <w:r w:rsidRPr="00DD38C4">
        <w:rPr>
          <w:rFonts w:asciiTheme="minorHAnsi" w:hAnsiTheme="minorHAnsi" w:cstheme="minorHAnsi"/>
          <w:szCs w:val="22"/>
          <w:lang w:val="en-US"/>
        </w:rPr>
        <w:tab/>
        <w:t>i.v.</w:t>
      </w:r>
      <w:r w:rsidRPr="00DD38C4">
        <w:rPr>
          <w:rFonts w:asciiTheme="minorHAnsi" w:hAnsiTheme="minorHAnsi" w:cstheme="minorHAnsi"/>
          <w:szCs w:val="22"/>
          <w:lang w:val="en-US"/>
        </w:rPr>
        <w:tab/>
        <w:t xml:space="preserve">d 1-5 </w:t>
      </w:r>
    </w:p>
    <w:p w14:paraId="07BD463B"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Etoposid</w:t>
      </w:r>
      <w:r w:rsidRPr="00DD38C4">
        <w:rPr>
          <w:rFonts w:asciiTheme="minorHAnsi" w:hAnsiTheme="minorHAnsi" w:cstheme="minorHAnsi"/>
          <w:szCs w:val="22"/>
          <w:lang w:val="en-US"/>
        </w:rPr>
        <w:tab/>
      </w:r>
      <w:r w:rsidRPr="00DD38C4">
        <w:rPr>
          <w:rFonts w:asciiTheme="minorHAnsi" w:hAnsiTheme="minorHAnsi" w:cstheme="minorHAnsi"/>
          <w:szCs w:val="22"/>
          <w:lang w:val="en-US"/>
        </w:rPr>
        <w:tab/>
        <w:t>100mg/m2</w:t>
      </w:r>
      <w:r w:rsidRPr="00DD38C4">
        <w:rPr>
          <w:rFonts w:asciiTheme="minorHAnsi" w:hAnsiTheme="minorHAnsi" w:cstheme="minorHAnsi"/>
          <w:szCs w:val="22"/>
          <w:lang w:val="en-US"/>
        </w:rPr>
        <w:tab/>
        <w:t xml:space="preserve">i.v. </w:t>
      </w:r>
      <w:r w:rsidRPr="00DD38C4">
        <w:rPr>
          <w:rFonts w:asciiTheme="minorHAnsi" w:hAnsiTheme="minorHAnsi" w:cstheme="minorHAnsi"/>
          <w:szCs w:val="22"/>
          <w:lang w:val="en-US"/>
        </w:rPr>
        <w:tab/>
        <w:t xml:space="preserve">d 1-5 </w:t>
      </w:r>
    </w:p>
    <w:p w14:paraId="033BF89D"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Bleomycin</w:t>
      </w:r>
      <w:r w:rsidRPr="00DD38C4">
        <w:rPr>
          <w:rFonts w:asciiTheme="minorHAnsi" w:hAnsiTheme="minorHAnsi" w:cstheme="minorHAnsi"/>
          <w:szCs w:val="22"/>
          <w:lang w:val="en-US"/>
        </w:rPr>
        <w:tab/>
        <w:t xml:space="preserve">30 IE </w:t>
      </w:r>
      <w:r w:rsidRPr="00DD38C4">
        <w:rPr>
          <w:rFonts w:asciiTheme="minorHAnsi" w:hAnsiTheme="minorHAnsi" w:cstheme="minorHAnsi"/>
          <w:szCs w:val="22"/>
          <w:lang w:val="en-US"/>
        </w:rPr>
        <w:tab/>
      </w:r>
      <w:r w:rsidRPr="00DD38C4">
        <w:rPr>
          <w:rFonts w:asciiTheme="minorHAnsi" w:hAnsiTheme="minorHAnsi" w:cstheme="minorHAnsi"/>
          <w:szCs w:val="22"/>
          <w:lang w:val="en-US"/>
        </w:rPr>
        <w:tab/>
        <w:t xml:space="preserve">i.v. </w:t>
      </w:r>
      <w:r w:rsidRPr="00DD38C4">
        <w:rPr>
          <w:rFonts w:asciiTheme="minorHAnsi" w:hAnsiTheme="minorHAnsi" w:cstheme="minorHAnsi"/>
          <w:szCs w:val="22"/>
          <w:lang w:val="en-US"/>
        </w:rPr>
        <w:tab/>
        <w:t xml:space="preserve">d1,8,15 </w:t>
      </w:r>
    </w:p>
    <w:p w14:paraId="2EBD54D6"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b/>
          <w:szCs w:val="22"/>
          <w:lang w:val="en-US"/>
        </w:rPr>
        <w:t>PEI ( VIP ): q3wk</w:t>
      </w:r>
      <w:r w:rsidRPr="00DD38C4">
        <w:rPr>
          <w:rFonts w:asciiTheme="minorHAnsi" w:hAnsiTheme="minorHAnsi" w:cstheme="minorHAnsi"/>
          <w:szCs w:val="22"/>
          <w:lang w:val="en-US"/>
        </w:rPr>
        <w:t xml:space="preserve">                   </w:t>
      </w:r>
    </w:p>
    <w:p w14:paraId="306C5942"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Cispaltin</w:t>
      </w:r>
      <w:r w:rsidRPr="00DD38C4">
        <w:rPr>
          <w:rFonts w:asciiTheme="minorHAnsi" w:hAnsiTheme="minorHAnsi" w:cstheme="minorHAnsi"/>
          <w:szCs w:val="22"/>
          <w:lang w:val="en-US"/>
        </w:rPr>
        <w:tab/>
      </w:r>
      <w:r w:rsidRPr="00DD38C4">
        <w:rPr>
          <w:rFonts w:asciiTheme="minorHAnsi" w:hAnsiTheme="minorHAnsi" w:cstheme="minorHAnsi"/>
          <w:szCs w:val="22"/>
          <w:lang w:val="en-US"/>
        </w:rPr>
        <w:tab/>
        <w:t>20mg/m2</w:t>
      </w:r>
      <w:r w:rsidRPr="00DD38C4">
        <w:rPr>
          <w:rFonts w:asciiTheme="minorHAnsi" w:hAnsiTheme="minorHAnsi" w:cstheme="minorHAnsi"/>
          <w:szCs w:val="22"/>
          <w:lang w:val="en-US"/>
        </w:rPr>
        <w:tab/>
        <w:t>i.v.</w:t>
      </w:r>
      <w:r w:rsidRPr="00DD38C4">
        <w:rPr>
          <w:rFonts w:asciiTheme="minorHAnsi" w:hAnsiTheme="minorHAnsi" w:cstheme="minorHAnsi"/>
          <w:szCs w:val="22"/>
          <w:lang w:val="en-US"/>
        </w:rPr>
        <w:tab/>
        <w:t xml:space="preserve">d 1-5 </w:t>
      </w:r>
    </w:p>
    <w:p w14:paraId="47A8F658" w14:textId="42C3F990"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Etoposid</w:t>
      </w:r>
      <w:r w:rsidRPr="00DD38C4">
        <w:rPr>
          <w:rFonts w:asciiTheme="minorHAnsi" w:hAnsiTheme="minorHAnsi" w:cstheme="minorHAnsi"/>
          <w:szCs w:val="22"/>
          <w:lang w:val="en-US"/>
        </w:rPr>
        <w:tab/>
      </w:r>
      <w:r w:rsidRPr="00DD38C4">
        <w:rPr>
          <w:rFonts w:asciiTheme="minorHAnsi" w:hAnsiTheme="minorHAnsi" w:cstheme="minorHAnsi"/>
          <w:szCs w:val="22"/>
          <w:lang w:val="en-US"/>
        </w:rPr>
        <w:tab/>
      </w:r>
      <w:r w:rsidR="001C1153">
        <w:rPr>
          <w:rFonts w:asciiTheme="minorHAnsi" w:hAnsiTheme="minorHAnsi" w:cstheme="minorHAnsi"/>
          <w:szCs w:val="22"/>
          <w:lang w:val="en-US"/>
        </w:rPr>
        <w:t>100</w:t>
      </w:r>
      <w:r w:rsidRPr="00DD38C4">
        <w:rPr>
          <w:rFonts w:asciiTheme="minorHAnsi" w:hAnsiTheme="minorHAnsi" w:cstheme="minorHAnsi"/>
          <w:szCs w:val="22"/>
          <w:lang w:val="en-US"/>
        </w:rPr>
        <w:t>mg</w:t>
      </w:r>
      <w:r w:rsidR="001C1153">
        <w:rPr>
          <w:rFonts w:asciiTheme="minorHAnsi" w:hAnsiTheme="minorHAnsi" w:cstheme="minorHAnsi"/>
          <w:szCs w:val="22"/>
          <w:lang w:val="en-US"/>
        </w:rPr>
        <w:t>/</w:t>
      </w:r>
      <w:r w:rsidRPr="00DD38C4">
        <w:rPr>
          <w:rFonts w:asciiTheme="minorHAnsi" w:hAnsiTheme="minorHAnsi" w:cstheme="minorHAnsi"/>
          <w:szCs w:val="22"/>
          <w:lang w:val="en-US"/>
        </w:rPr>
        <w:t>m2</w:t>
      </w:r>
      <w:r w:rsidRPr="00DD38C4">
        <w:rPr>
          <w:rFonts w:asciiTheme="minorHAnsi" w:hAnsiTheme="minorHAnsi" w:cstheme="minorHAnsi"/>
          <w:szCs w:val="22"/>
          <w:lang w:val="en-US"/>
        </w:rPr>
        <w:tab/>
        <w:t>i.v.</w:t>
      </w:r>
      <w:r w:rsidRPr="00DD38C4">
        <w:rPr>
          <w:rFonts w:asciiTheme="minorHAnsi" w:hAnsiTheme="minorHAnsi" w:cstheme="minorHAnsi"/>
          <w:szCs w:val="22"/>
          <w:lang w:val="en-US"/>
        </w:rPr>
        <w:tab/>
        <w:t xml:space="preserve">d 1-5 </w:t>
      </w:r>
    </w:p>
    <w:p w14:paraId="37FF5EBE"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US"/>
        </w:rPr>
      </w:pPr>
      <w:r w:rsidRPr="00DD38C4">
        <w:rPr>
          <w:rFonts w:asciiTheme="minorHAnsi" w:hAnsiTheme="minorHAnsi" w:cstheme="minorHAnsi"/>
          <w:szCs w:val="22"/>
          <w:lang w:val="en-US"/>
        </w:rPr>
        <w:t xml:space="preserve">            Ifosfamid</w:t>
      </w:r>
      <w:r w:rsidRPr="00DD38C4">
        <w:rPr>
          <w:rFonts w:asciiTheme="minorHAnsi" w:hAnsiTheme="minorHAnsi" w:cstheme="minorHAnsi"/>
          <w:szCs w:val="22"/>
          <w:lang w:val="en-US"/>
        </w:rPr>
        <w:tab/>
        <w:t>1,2g/m2</w:t>
      </w:r>
      <w:r w:rsidRPr="00DD38C4">
        <w:rPr>
          <w:rFonts w:asciiTheme="minorHAnsi" w:hAnsiTheme="minorHAnsi" w:cstheme="minorHAnsi"/>
          <w:szCs w:val="22"/>
          <w:lang w:val="en-US"/>
        </w:rPr>
        <w:tab/>
        <w:t xml:space="preserve">i.v. </w:t>
      </w:r>
      <w:r w:rsidRPr="00DD38C4">
        <w:rPr>
          <w:rFonts w:asciiTheme="minorHAnsi" w:hAnsiTheme="minorHAnsi" w:cstheme="minorHAnsi"/>
          <w:szCs w:val="22"/>
          <w:lang w:val="en-US"/>
        </w:rPr>
        <w:tab/>
        <w:t>d 1-5 mit Uromitexan</w:t>
      </w:r>
    </w:p>
    <w:p w14:paraId="5AE27185" w14:textId="77777777" w:rsidR="006262FA" w:rsidRPr="00DD38C4" w:rsidRDefault="006262FA" w:rsidP="006262FA">
      <w:pPr>
        <w:pStyle w:val="Textkrper-Einzug2"/>
        <w:spacing w:after="0" w:line="276" w:lineRule="auto"/>
        <w:ind w:left="0"/>
        <w:jc w:val="both"/>
        <w:rPr>
          <w:lang w:val="en-US"/>
        </w:rPr>
      </w:pPr>
      <w:r w:rsidRPr="00DD38C4">
        <w:rPr>
          <w:rFonts w:ascii="Calibri" w:hAnsi="Calibri"/>
          <w:b/>
          <w:bCs/>
          <w:lang w:val="en-US"/>
        </w:rPr>
        <w:t>TIP: q3wk</w:t>
      </w:r>
    </w:p>
    <w:p w14:paraId="3C29D4A2" w14:textId="77777777" w:rsidR="006262FA" w:rsidRPr="00DD38C4" w:rsidRDefault="006262FA" w:rsidP="006262FA">
      <w:pPr>
        <w:pStyle w:val="Textkrper-Einzug2"/>
        <w:spacing w:after="0" w:line="276" w:lineRule="auto"/>
        <w:ind w:left="0"/>
        <w:jc w:val="both"/>
        <w:rPr>
          <w:lang w:val="en-US"/>
        </w:rPr>
      </w:pPr>
      <w:r w:rsidRPr="00DD38C4">
        <w:rPr>
          <w:rFonts w:ascii="Calibri" w:hAnsi="Calibri"/>
          <w:lang w:val="en-US"/>
        </w:rPr>
        <w:t>            Cisplatin               2</w:t>
      </w:r>
      <w:r w:rsidRPr="00DD38C4">
        <w:rPr>
          <w:rFonts w:ascii="Calibri" w:hAnsi="Calibri"/>
          <w:color w:val="000000"/>
          <w:lang w:val="en-US"/>
        </w:rPr>
        <w:t>5</w:t>
      </w:r>
      <w:r w:rsidRPr="00DD38C4">
        <w:rPr>
          <w:rFonts w:ascii="Calibri" w:hAnsi="Calibri"/>
          <w:lang w:val="en-US"/>
        </w:rPr>
        <w:t xml:space="preserve">mg/m2           i.v.         d </w:t>
      </w:r>
      <w:r w:rsidRPr="00DD38C4">
        <w:rPr>
          <w:rFonts w:ascii="Calibri" w:hAnsi="Calibri"/>
          <w:color w:val="000000"/>
          <w:lang w:val="en-US"/>
        </w:rPr>
        <w:t>2</w:t>
      </w:r>
      <w:r w:rsidRPr="00DD38C4">
        <w:rPr>
          <w:rFonts w:ascii="Calibri" w:hAnsi="Calibri"/>
          <w:lang w:val="en-US"/>
        </w:rPr>
        <w:t>-5</w:t>
      </w:r>
    </w:p>
    <w:p w14:paraId="2BCF121C" w14:textId="77777777" w:rsidR="006262FA" w:rsidRPr="00DD38C4" w:rsidRDefault="006262FA" w:rsidP="006262FA">
      <w:pPr>
        <w:pStyle w:val="Textkrper-Einzug2"/>
        <w:spacing w:after="0" w:line="276" w:lineRule="auto"/>
        <w:ind w:left="0"/>
        <w:jc w:val="both"/>
      </w:pPr>
      <w:r w:rsidRPr="00DD38C4">
        <w:rPr>
          <w:rFonts w:ascii="Calibri" w:hAnsi="Calibri"/>
          <w:lang w:val="en-US"/>
        </w:rPr>
        <w:t>            Ifosfamid              1,</w:t>
      </w:r>
      <w:r w:rsidRPr="00DD38C4">
        <w:rPr>
          <w:rFonts w:ascii="Calibri" w:hAnsi="Calibri"/>
          <w:color w:val="000000"/>
          <w:lang w:val="en-US"/>
        </w:rPr>
        <w:t>5</w:t>
      </w:r>
      <w:r w:rsidRPr="00DD38C4">
        <w:rPr>
          <w:rFonts w:ascii="Calibri" w:hAnsi="Calibri"/>
          <w:lang w:val="en-US"/>
        </w:rPr>
        <w:t xml:space="preserve">g/m2             i.v.         </w:t>
      </w:r>
      <w:r w:rsidRPr="00DD38C4">
        <w:rPr>
          <w:rFonts w:ascii="Calibri" w:hAnsi="Calibri"/>
          <w:lang w:val="de-DE"/>
        </w:rPr>
        <w:t xml:space="preserve">d </w:t>
      </w:r>
      <w:r w:rsidRPr="00DD38C4">
        <w:rPr>
          <w:rFonts w:ascii="Calibri" w:hAnsi="Calibri"/>
          <w:color w:val="000000"/>
          <w:lang w:val="de-DE"/>
        </w:rPr>
        <w:t>2</w:t>
      </w:r>
      <w:r w:rsidRPr="00DD38C4">
        <w:rPr>
          <w:rFonts w:ascii="Calibri" w:hAnsi="Calibri"/>
          <w:lang w:val="de-DE"/>
        </w:rPr>
        <w:t>-5   mit Uromethexan</w:t>
      </w:r>
    </w:p>
    <w:p w14:paraId="41F68C0C" w14:textId="77777777" w:rsidR="006262FA" w:rsidRPr="00DD38C4" w:rsidRDefault="006262FA" w:rsidP="006262FA">
      <w:pPr>
        <w:pStyle w:val="Textkrper-Einzug2"/>
        <w:spacing w:after="0" w:line="276" w:lineRule="auto"/>
        <w:ind w:left="0"/>
        <w:jc w:val="both"/>
      </w:pPr>
      <w:r w:rsidRPr="00DD38C4">
        <w:rPr>
          <w:rFonts w:ascii="Calibri" w:hAnsi="Calibri"/>
          <w:lang w:val="de-DE"/>
        </w:rPr>
        <w:t xml:space="preserve">            </w:t>
      </w:r>
      <w:r w:rsidRPr="00DD38C4">
        <w:rPr>
          <w:rFonts w:ascii="Calibri" w:hAnsi="Calibri"/>
        </w:rPr>
        <w:t xml:space="preserve">Paclitaxel              250mg/m2        i.v.         d1 Infusion über </w:t>
      </w:r>
      <w:r w:rsidRPr="00DD38C4">
        <w:rPr>
          <w:rFonts w:ascii="Calibri" w:hAnsi="Calibri"/>
          <w:color w:val="000000"/>
        </w:rPr>
        <w:t xml:space="preserve">180 </w:t>
      </w:r>
      <w:r w:rsidRPr="00DD38C4">
        <w:rPr>
          <w:rFonts w:ascii="Calibri" w:hAnsi="Calibri"/>
        </w:rPr>
        <w:t> min</w:t>
      </w:r>
    </w:p>
    <w:p w14:paraId="2A6773F7" w14:textId="77777777" w:rsidR="009C0448" w:rsidRPr="00DD38C4" w:rsidRDefault="009C0448" w:rsidP="009C0448">
      <w:pPr>
        <w:pStyle w:val="Textkrper-Einzug2"/>
        <w:spacing w:after="0" w:line="276" w:lineRule="auto"/>
        <w:ind w:left="0"/>
        <w:jc w:val="both"/>
        <w:rPr>
          <w:rFonts w:asciiTheme="minorHAnsi" w:hAnsiTheme="minorHAnsi" w:cstheme="minorHAnsi"/>
          <w:b/>
          <w:szCs w:val="22"/>
          <w:lang w:val="en-US"/>
        </w:rPr>
      </w:pPr>
      <w:r w:rsidRPr="00DD38C4">
        <w:rPr>
          <w:rFonts w:asciiTheme="minorHAnsi" w:hAnsiTheme="minorHAnsi" w:cstheme="minorHAnsi"/>
          <w:b/>
          <w:szCs w:val="22"/>
          <w:lang w:val="en-US"/>
        </w:rPr>
        <w:t>VeIP: q3wk</w:t>
      </w:r>
    </w:p>
    <w:p w14:paraId="5DD888C5" w14:textId="77777777" w:rsidR="009C0448" w:rsidRPr="00DD38C4" w:rsidRDefault="009C0448" w:rsidP="009C0448">
      <w:pPr>
        <w:pStyle w:val="Textkrper-Einzug2"/>
        <w:spacing w:after="0" w:line="276" w:lineRule="auto"/>
        <w:ind w:left="0"/>
        <w:jc w:val="both"/>
        <w:rPr>
          <w:rFonts w:asciiTheme="minorHAnsi" w:hAnsiTheme="minorHAnsi" w:cstheme="minorHAnsi"/>
          <w:szCs w:val="22"/>
          <w:lang w:val="en-GB"/>
        </w:rPr>
      </w:pPr>
      <w:r w:rsidRPr="00DD38C4">
        <w:rPr>
          <w:rFonts w:asciiTheme="minorHAnsi" w:hAnsiTheme="minorHAnsi" w:cstheme="minorHAnsi"/>
          <w:szCs w:val="22"/>
          <w:lang w:val="en-US"/>
        </w:rPr>
        <w:t xml:space="preserve">            Cisplatin</w:t>
      </w:r>
      <w:r w:rsidRPr="00DD38C4">
        <w:rPr>
          <w:rFonts w:asciiTheme="minorHAnsi" w:hAnsiTheme="minorHAnsi" w:cstheme="minorHAnsi"/>
          <w:szCs w:val="22"/>
          <w:lang w:val="en-US"/>
        </w:rPr>
        <w:tab/>
      </w:r>
      <w:r w:rsidRPr="00DD38C4">
        <w:rPr>
          <w:rFonts w:asciiTheme="minorHAnsi" w:hAnsiTheme="minorHAnsi" w:cstheme="minorHAnsi"/>
          <w:szCs w:val="22"/>
          <w:lang w:val="en-US"/>
        </w:rPr>
        <w:tab/>
        <w:t>20mg/m2</w:t>
      </w:r>
      <w:r w:rsidRPr="00DD38C4">
        <w:rPr>
          <w:rFonts w:asciiTheme="minorHAnsi" w:hAnsiTheme="minorHAnsi" w:cstheme="minorHAnsi"/>
          <w:szCs w:val="22"/>
          <w:lang w:val="en-US"/>
        </w:rPr>
        <w:tab/>
        <w:t>i.v.</w:t>
      </w:r>
      <w:r w:rsidRPr="00DD38C4">
        <w:rPr>
          <w:rFonts w:asciiTheme="minorHAnsi" w:hAnsiTheme="minorHAnsi" w:cstheme="minorHAnsi"/>
          <w:szCs w:val="22"/>
          <w:lang w:val="en-US"/>
        </w:rPr>
        <w:tab/>
        <w:t xml:space="preserve"> </w:t>
      </w:r>
      <w:r w:rsidRPr="00DD38C4">
        <w:rPr>
          <w:rFonts w:asciiTheme="minorHAnsi" w:hAnsiTheme="minorHAnsi" w:cstheme="minorHAnsi"/>
          <w:szCs w:val="22"/>
          <w:lang w:val="en-GB"/>
        </w:rPr>
        <w:t>d 1-5</w:t>
      </w:r>
    </w:p>
    <w:p w14:paraId="5703D6B1" w14:textId="77777777" w:rsidR="009C0448" w:rsidRPr="00DD38C4" w:rsidRDefault="009C0448" w:rsidP="009C0448">
      <w:pPr>
        <w:pStyle w:val="Textkrper-Einzug2"/>
        <w:spacing w:after="0" w:line="276" w:lineRule="auto"/>
        <w:ind w:left="0"/>
        <w:jc w:val="both"/>
        <w:rPr>
          <w:rFonts w:asciiTheme="minorHAnsi" w:hAnsiTheme="minorHAnsi" w:cstheme="minorHAnsi"/>
          <w:szCs w:val="22"/>
        </w:rPr>
      </w:pPr>
      <w:r w:rsidRPr="00DD38C4">
        <w:rPr>
          <w:rFonts w:asciiTheme="minorHAnsi" w:hAnsiTheme="minorHAnsi" w:cstheme="minorHAnsi"/>
          <w:szCs w:val="22"/>
          <w:lang w:val="en-GB"/>
        </w:rPr>
        <w:t xml:space="preserve">            Ifosfamid</w:t>
      </w:r>
      <w:r w:rsidRPr="00DD38C4">
        <w:rPr>
          <w:rFonts w:asciiTheme="minorHAnsi" w:hAnsiTheme="minorHAnsi" w:cstheme="minorHAnsi"/>
          <w:szCs w:val="22"/>
          <w:lang w:val="en-GB"/>
        </w:rPr>
        <w:tab/>
        <w:t>12,g/m2</w:t>
      </w:r>
      <w:r w:rsidRPr="00DD38C4">
        <w:rPr>
          <w:rFonts w:asciiTheme="minorHAnsi" w:hAnsiTheme="minorHAnsi" w:cstheme="minorHAnsi"/>
          <w:szCs w:val="22"/>
          <w:lang w:val="en-GB"/>
        </w:rPr>
        <w:tab/>
        <w:t>i.v.</w:t>
      </w:r>
      <w:r w:rsidRPr="00DD38C4">
        <w:rPr>
          <w:rFonts w:asciiTheme="minorHAnsi" w:hAnsiTheme="minorHAnsi" w:cstheme="minorHAnsi"/>
          <w:szCs w:val="22"/>
          <w:lang w:val="en-GB"/>
        </w:rPr>
        <w:tab/>
        <w:t xml:space="preserve"> </w:t>
      </w:r>
      <w:r w:rsidRPr="00DD38C4">
        <w:rPr>
          <w:rFonts w:asciiTheme="minorHAnsi" w:hAnsiTheme="minorHAnsi" w:cstheme="minorHAnsi"/>
          <w:szCs w:val="22"/>
        </w:rPr>
        <w:t>d 1-5    mit Uromethexan</w:t>
      </w:r>
    </w:p>
    <w:p w14:paraId="49501812" w14:textId="77777777" w:rsidR="009C0448" w:rsidRPr="00DD38C4" w:rsidRDefault="009C0448" w:rsidP="009C0448">
      <w:pPr>
        <w:pStyle w:val="Textkrper-Einzug2"/>
        <w:spacing w:after="0" w:line="276" w:lineRule="auto"/>
        <w:ind w:left="0"/>
        <w:jc w:val="both"/>
        <w:rPr>
          <w:rFonts w:asciiTheme="minorHAnsi" w:hAnsiTheme="minorHAnsi" w:cstheme="minorHAnsi"/>
          <w:szCs w:val="22"/>
        </w:rPr>
      </w:pPr>
      <w:r w:rsidRPr="00DD38C4">
        <w:rPr>
          <w:rFonts w:asciiTheme="minorHAnsi" w:hAnsiTheme="minorHAnsi" w:cstheme="minorHAnsi"/>
          <w:szCs w:val="22"/>
        </w:rPr>
        <w:t xml:space="preserve">            Vinblastin</w:t>
      </w:r>
      <w:r w:rsidRPr="00DD38C4">
        <w:rPr>
          <w:rFonts w:asciiTheme="minorHAnsi" w:hAnsiTheme="minorHAnsi" w:cstheme="minorHAnsi"/>
          <w:szCs w:val="22"/>
        </w:rPr>
        <w:tab/>
        <w:t>0,11mg/m2</w:t>
      </w:r>
      <w:r w:rsidRPr="00DD38C4">
        <w:rPr>
          <w:rFonts w:asciiTheme="minorHAnsi" w:hAnsiTheme="minorHAnsi" w:cstheme="minorHAnsi"/>
          <w:szCs w:val="22"/>
        </w:rPr>
        <w:tab/>
        <w:t>i.v.</w:t>
      </w:r>
      <w:r w:rsidRPr="00DD38C4">
        <w:rPr>
          <w:rFonts w:asciiTheme="minorHAnsi" w:hAnsiTheme="minorHAnsi" w:cstheme="minorHAnsi"/>
          <w:szCs w:val="22"/>
        </w:rPr>
        <w:tab/>
        <w:t xml:space="preserve"> d 1+2</w:t>
      </w:r>
    </w:p>
    <w:p w14:paraId="20B8473A" w14:textId="77777777" w:rsidR="009C0448" w:rsidRPr="00DD38C4" w:rsidRDefault="009C0448" w:rsidP="00351D0F">
      <w:pPr>
        <w:pStyle w:val="Textkrper-Einzug2"/>
        <w:spacing w:after="0" w:line="276" w:lineRule="auto"/>
        <w:ind w:left="0"/>
        <w:jc w:val="both"/>
        <w:rPr>
          <w:rFonts w:asciiTheme="minorHAnsi" w:hAnsiTheme="minorHAnsi" w:cstheme="minorHAnsi"/>
          <w:szCs w:val="22"/>
        </w:rPr>
      </w:pPr>
    </w:p>
    <w:p w14:paraId="589149FF" w14:textId="77777777" w:rsidR="00A6435E" w:rsidRPr="00DD38C4" w:rsidRDefault="00A6435E" w:rsidP="007F3064">
      <w:pPr>
        <w:pStyle w:val="berschrift1"/>
      </w:pPr>
      <w:bookmarkStart w:id="33" w:name="_Toc367183622"/>
      <w:bookmarkStart w:id="34" w:name="_Toc367183860"/>
      <w:bookmarkStart w:id="35" w:name="_Toc15372138"/>
      <w:r w:rsidRPr="00DD38C4">
        <w:t>Anhang</w:t>
      </w:r>
      <w:r w:rsidR="00B96F18" w:rsidRPr="00DD38C4">
        <w:t>:</w:t>
      </w:r>
      <w:r w:rsidRPr="00DD38C4">
        <w:t xml:space="preserve"> Studienblatt</w:t>
      </w:r>
      <w:r w:rsidR="00ED24ED" w:rsidRPr="00DD38C4">
        <w:t xml:space="preserve"> (optional)</w:t>
      </w:r>
      <w:bookmarkEnd w:id="33"/>
      <w:bookmarkEnd w:id="34"/>
      <w:bookmarkEnd w:id="35"/>
    </w:p>
    <w:p w14:paraId="58D091E1" w14:textId="77777777" w:rsidR="007F3064" w:rsidRPr="00DD38C4" w:rsidRDefault="007F3064" w:rsidP="007F3064">
      <w:pPr>
        <w:pStyle w:val="Textkrper-Einzug2"/>
        <w:spacing w:line="276" w:lineRule="auto"/>
        <w:ind w:left="0"/>
        <w:jc w:val="both"/>
        <w:rPr>
          <w:rFonts w:asciiTheme="minorHAnsi" w:hAnsiTheme="minorHAnsi" w:cstheme="minorHAnsi"/>
          <w:szCs w:val="22"/>
        </w:rPr>
      </w:pPr>
    </w:p>
    <w:p w14:paraId="54794133" w14:textId="77777777" w:rsidR="00A6435E" w:rsidRPr="00E344D4" w:rsidRDefault="00A6435E" w:rsidP="007F3064">
      <w:pPr>
        <w:pStyle w:val="berschrift1"/>
      </w:pPr>
      <w:bookmarkStart w:id="36" w:name="_Toc367183623"/>
      <w:bookmarkStart w:id="37" w:name="_Toc367183861"/>
      <w:bookmarkStart w:id="38" w:name="_Toc15372139"/>
      <w:r w:rsidRPr="00DD38C4">
        <w:t>Anhang: Wirtschaftliche Analyse</w:t>
      </w:r>
      <w:r w:rsidR="00ED24ED" w:rsidRPr="00DD38C4">
        <w:t xml:space="preserve"> (optional)</w:t>
      </w:r>
      <w:bookmarkEnd w:id="36"/>
      <w:bookmarkEnd w:id="37"/>
      <w:bookmarkEnd w:id="38"/>
    </w:p>
    <w:p w14:paraId="4AC720E9" w14:textId="77777777" w:rsidR="00CF0EFD" w:rsidRPr="007F3064" w:rsidRDefault="00CF0EFD" w:rsidP="007F3064">
      <w:pPr>
        <w:pStyle w:val="Textkrper-Einzug2"/>
        <w:spacing w:line="276" w:lineRule="auto"/>
        <w:ind w:left="0"/>
        <w:jc w:val="both"/>
        <w:rPr>
          <w:rFonts w:asciiTheme="minorHAnsi" w:hAnsiTheme="minorHAnsi" w:cstheme="minorHAnsi"/>
          <w:szCs w:val="22"/>
        </w:rPr>
      </w:pPr>
    </w:p>
    <w:sectPr w:rsidR="00CF0EFD" w:rsidRPr="007F3064" w:rsidSect="001D11C7">
      <w:headerReference w:type="even" r:id="rId31"/>
      <w:footerReference w:type="even" r:id="rId32"/>
      <w:headerReference w:type="first" r:id="rId33"/>
      <w:footerReference w:type="first" r:id="rId34"/>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42AC" w14:textId="77777777" w:rsidR="00AC637C" w:rsidRDefault="00AC637C">
      <w:r>
        <w:separator/>
      </w:r>
    </w:p>
    <w:p w14:paraId="5BD79E85" w14:textId="77777777" w:rsidR="00AC637C" w:rsidRDefault="00AC637C"/>
  </w:endnote>
  <w:endnote w:type="continuationSeparator" w:id="0">
    <w:p w14:paraId="016308CB" w14:textId="77777777" w:rsidR="00AC637C" w:rsidRDefault="00AC637C">
      <w:r>
        <w:continuationSeparator/>
      </w:r>
    </w:p>
    <w:p w14:paraId="4F550C9E" w14:textId="77777777" w:rsidR="00AC637C" w:rsidRDefault="00AC6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A5AA" w14:textId="73A23CB0" w:rsidR="009C0448" w:rsidRDefault="009C0448"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6D4CF9">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6D4CF9">
      <w:rPr>
        <w:noProof/>
        <w:sz w:val="18"/>
        <w:szCs w:val="18"/>
      </w:rPr>
      <w:t>12</w:t>
    </w:r>
    <w:r>
      <w:rPr>
        <w:sz w:val="18"/>
        <w:szCs w:val="18"/>
      </w:rPr>
      <w:fldChar w:fldCharType="end"/>
    </w:r>
  </w:p>
  <w:p w14:paraId="3AB15F32" w14:textId="77777777" w:rsidR="009C0448" w:rsidRPr="00B6342E" w:rsidRDefault="009C0448"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2702" w14:textId="77777777" w:rsidR="009C0448" w:rsidRDefault="009C0448">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sidR="001B20EC">
      <w:rPr>
        <w:noProof/>
        <w:snapToGrid w:val="0"/>
        <w:sz w:val="18"/>
      </w:rPr>
      <w:t>Dokument1</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04B9" w14:textId="77777777" w:rsidR="009C0448" w:rsidRDefault="009C044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B5BB" w14:textId="77777777" w:rsidR="009C0448" w:rsidRDefault="009C04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86839" w14:textId="77777777" w:rsidR="00AC637C" w:rsidRDefault="00AC637C">
      <w:r>
        <w:separator/>
      </w:r>
    </w:p>
    <w:p w14:paraId="61132AE5" w14:textId="77777777" w:rsidR="00AC637C" w:rsidRDefault="00AC637C"/>
  </w:footnote>
  <w:footnote w:type="continuationSeparator" w:id="0">
    <w:p w14:paraId="342CC934" w14:textId="77777777" w:rsidR="00AC637C" w:rsidRDefault="00AC637C">
      <w:r>
        <w:continuationSeparator/>
      </w:r>
    </w:p>
    <w:p w14:paraId="352F95E0" w14:textId="77777777" w:rsidR="00AC637C" w:rsidRDefault="00AC6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2138" w14:textId="77777777" w:rsidR="009C0448" w:rsidRDefault="009C044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FA44286" w14:textId="77777777" w:rsidR="009C0448" w:rsidRDefault="009C044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DD38C4" w14:paraId="5BFF0343" w14:textId="77777777" w:rsidTr="00D65EEB">
      <w:tc>
        <w:tcPr>
          <w:tcW w:w="3687" w:type="dxa"/>
        </w:tcPr>
        <w:p w14:paraId="173D6EE3" w14:textId="77777777" w:rsidR="00DD38C4" w:rsidRDefault="00DD38C4" w:rsidP="00DD38C4">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612CF6AE" wp14:editId="15006D25">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2AD3B788" w14:textId="77777777" w:rsidR="00DD38C4" w:rsidRDefault="00DD38C4" w:rsidP="00DD38C4">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1734B7AC" w14:textId="77777777" w:rsidR="00DD38C4" w:rsidRDefault="00DD38C4" w:rsidP="00DD38C4">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5C76FE1A" w14:textId="49514755" w:rsidR="00DD38C4" w:rsidRDefault="00DD38C4" w:rsidP="00DD38C4">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Maligne Hodentumore</w:t>
              </w:r>
            </w:sdtContent>
          </w:sdt>
        </w:p>
      </w:tc>
    </w:tr>
  </w:tbl>
  <w:p w14:paraId="2FE6C107" w14:textId="77777777" w:rsidR="009C0448" w:rsidRPr="00DA494C" w:rsidRDefault="009C0448" w:rsidP="00DA49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F4EE" w14:textId="77777777" w:rsidR="009C0448" w:rsidRDefault="009C0448">
    <w:pPr>
      <w:pStyle w:val="Kopfzeile"/>
      <w:jc w:val="right"/>
    </w:pPr>
    <w:r>
      <w:rPr>
        <w:noProof/>
        <w:sz w:val="20"/>
        <w:lang w:eastAsia="de-AT"/>
      </w:rPr>
      <w:drawing>
        <wp:anchor distT="0" distB="0" distL="114300" distR="114300" simplePos="0" relativeHeight="251657728" behindDoc="0" locked="0" layoutInCell="1" allowOverlap="1" wp14:anchorId="6B1B7EBF" wp14:editId="18DA54A8">
          <wp:simplePos x="0" y="0"/>
          <wp:positionH relativeFrom="column">
            <wp:posOffset>-48895</wp:posOffset>
          </wp:positionH>
          <wp:positionV relativeFrom="paragraph">
            <wp:posOffset>-14605</wp:posOffset>
          </wp:positionV>
          <wp:extent cx="1010920" cy="310515"/>
          <wp:effectExtent l="0" t="0" r="0" b="0"/>
          <wp:wrapSquare wrapText="bothSides"/>
          <wp:docPr id="21"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1B20EC">
      <w:rPr>
        <w:rStyle w:val="Seitenzahl"/>
        <w:noProof/>
        <w:sz w:val="18"/>
      </w:rPr>
      <w:t>3</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07D5" w14:textId="77777777" w:rsidR="009C0448" w:rsidRDefault="009C044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AEB8" w14:textId="77777777" w:rsidR="009C0448" w:rsidRDefault="009C04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2"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3C0FCA"/>
    <w:multiLevelType w:val="hybridMultilevel"/>
    <w:tmpl w:val="CE32E69C"/>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1A4762"/>
    <w:multiLevelType w:val="multilevel"/>
    <w:tmpl w:val="29AAC27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305D6"/>
    <w:multiLevelType w:val="hybridMultilevel"/>
    <w:tmpl w:val="B0D20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1690F"/>
    <w:multiLevelType w:val="hybridMultilevel"/>
    <w:tmpl w:val="DC66E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E9106F"/>
    <w:multiLevelType w:val="multilevel"/>
    <w:tmpl w:val="32E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D1FCC"/>
    <w:multiLevelType w:val="multilevel"/>
    <w:tmpl w:val="5A0AC008"/>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C931C61"/>
    <w:multiLevelType w:val="hybridMultilevel"/>
    <w:tmpl w:val="DC66E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82F6C8B"/>
    <w:multiLevelType w:val="hybridMultilevel"/>
    <w:tmpl w:val="7B5289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2"/>
  </w:num>
  <w:num w:numId="4">
    <w:abstractNumId w:val="11"/>
  </w:num>
  <w:num w:numId="5">
    <w:abstractNumId w:val="20"/>
  </w:num>
  <w:num w:numId="6">
    <w:abstractNumId w:val="7"/>
  </w:num>
  <w:num w:numId="7">
    <w:abstractNumId w:val="8"/>
  </w:num>
  <w:num w:numId="8">
    <w:abstractNumId w:val="0"/>
  </w:num>
  <w:num w:numId="9">
    <w:abstractNumId w:val="6"/>
  </w:num>
  <w:num w:numId="10">
    <w:abstractNumId w:val="14"/>
  </w:num>
  <w:num w:numId="11">
    <w:abstractNumId w:val="13"/>
  </w:num>
  <w:num w:numId="12">
    <w:abstractNumId w:val="15"/>
  </w:num>
  <w:num w:numId="13">
    <w:abstractNumId w:val="21"/>
  </w:num>
  <w:num w:numId="14">
    <w:abstractNumId w:val="5"/>
  </w:num>
  <w:num w:numId="15">
    <w:abstractNumId w:val="12"/>
  </w:num>
  <w:num w:numId="16">
    <w:abstractNumId w:val="19"/>
  </w:num>
  <w:num w:numId="17">
    <w:abstractNumId w:val="4"/>
  </w:num>
  <w:num w:numId="18">
    <w:abstractNumId w:val="18"/>
  </w:num>
  <w:num w:numId="19">
    <w:abstractNumId w:val="3"/>
  </w:num>
  <w:num w:numId="20">
    <w:abstractNumId w:val="16"/>
  </w:num>
  <w:num w:numId="21">
    <w:abstractNumId w:val="10"/>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C"/>
    <w:rsid w:val="000046F3"/>
    <w:rsid w:val="00007A0D"/>
    <w:rsid w:val="0002186C"/>
    <w:rsid w:val="000272D9"/>
    <w:rsid w:val="00030D42"/>
    <w:rsid w:val="00045ABC"/>
    <w:rsid w:val="000500E9"/>
    <w:rsid w:val="000660ED"/>
    <w:rsid w:val="00074CF6"/>
    <w:rsid w:val="00090105"/>
    <w:rsid w:val="0009476C"/>
    <w:rsid w:val="000A2694"/>
    <w:rsid w:val="000C1C85"/>
    <w:rsid w:val="000D2481"/>
    <w:rsid w:val="000D5C01"/>
    <w:rsid w:val="000E3EFA"/>
    <w:rsid w:val="00115BB4"/>
    <w:rsid w:val="0013356E"/>
    <w:rsid w:val="00137388"/>
    <w:rsid w:val="001448E2"/>
    <w:rsid w:val="00156BD6"/>
    <w:rsid w:val="00170FFF"/>
    <w:rsid w:val="00183CD1"/>
    <w:rsid w:val="001876E7"/>
    <w:rsid w:val="00190D48"/>
    <w:rsid w:val="00193DB1"/>
    <w:rsid w:val="00195521"/>
    <w:rsid w:val="001A25FC"/>
    <w:rsid w:val="001A336E"/>
    <w:rsid w:val="001B20EC"/>
    <w:rsid w:val="001B222A"/>
    <w:rsid w:val="001C1153"/>
    <w:rsid w:val="001D11C7"/>
    <w:rsid w:val="001D34A4"/>
    <w:rsid w:val="001E2BFC"/>
    <w:rsid w:val="001F2BEC"/>
    <w:rsid w:val="00217C51"/>
    <w:rsid w:val="002201ED"/>
    <w:rsid w:val="00250E53"/>
    <w:rsid w:val="002758C3"/>
    <w:rsid w:val="002A2023"/>
    <w:rsid w:val="002E4DD8"/>
    <w:rsid w:val="002E7743"/>
    <w:rsid w:val="002F296D"/>
    <w:rsid w:val="003050D6"/>
    <w:rsid w:val="003072B3"/>
    <w:rsid w:val="00313B47"/>
    <w:rsid w:val="00327D55"/>
    <w:rsid w:val="00330AFE"/>
    <w:rsid w:val="00332A40"/>
    <w:rsid w:val="00351D0F"/>
    <w:rsid w:val="00383B6B"/>
    <w:rsid w:val="003A133E"/>
    <w:rsid w:val="003A3308"/>
    <w:rsid w:val="003A70E3"/>
    <w:rsid w:val="003C182E"/>
    <w:rsid w:val="003C4308"/>
    <w:rsid w:val="003C6310"/>
    <w:rsid w:val="003D245A"/>
    <w:rsid w:val="003D65D0"/>
    <w:rsid w:val="003F4CC0"/>
    <w:rsid w:val="004252AA"/>
    <w:rsid w:val="0045594E"/>
    <w:rsid w:val="00470F84"/>
    <w:rsid w:val="00480033"/>
    <w:rsid w:val="00486C3A"/>
    <w:rsid w:val="00491093"/>
    <w:rsid w:val="0049768A"/>
    <w:rsid w:val="004D5CA7"/>
    <w:rsid w:val="004E11B2"/>
    <w:rsid w:val="004F0D6D"/>
    <w:rsid w:val="00514C14"/>
    <w:rsid w:val="005163F4"/>
    <w:rsid w:val="00516467"/>
    <w:rsid w:val="00522EE8"/>
    <w:rsid w:val="00522FFB"/>
    <w:rsid w:val="00524A45"/>
    <w:rsid w:val="00534643"/>
    <w:rsid w:val="00545067"/>
    <w:rsid w:val="005716B3"/>
    <w:rsid w:val="005847E4"/>
    <w:rsid w:val="005915C3"/>
    <w:rsid w:val="00592BA2"/>
    <w:rsid w:val="005973BD"/>
    <w:rsid w:val="005A3EDD"/>
    <w:rsid w:val="005B1AF3"/>
    <w:rsid w:val="005C2135"/>
    <w:rsid w:val="005C5568"/>
    <w:rsid w:val="005D23B9"/>
    <w:rsid w:val="005D5403"/>
    <w:rsid w:val="005E0058"/>
    <w:rsid w:val="005E02FB"/>
    <w:rsid w:val="00601C83"/>
    <w:rsid w:val="0062318C"/>
    <w:rsid w:val="006262FA"/>
    <w:rsid w:val="00632D4B"/>
    <w:rsid w:val="00670B44"/>
    <w:rsid w:val="0067150E"/>
    <w:rsid w:val="00671A8B"/>
    <w:rsid w:val="006A0570"/>
    <w:rsid w:val="006A5DF9"/>
    <w:rsid w:val="006B17F0"/>
    <w:rsid w:val="006C22A3"/>
    <w:rsid w:val="006C5EB4"/>
    <w:rsid w:val="006D4CF9"/>
    <w:rsid w:val="006D4DAC"/>
    <w:rsid w:val="006D6C87"/>
    <w:rsid w:val="006F62A1"/>
    <w:rsid w:val="00701184"/>
    <w:rsid w:val="007132F1"/>
    <w:rsid w:val="007153C6"/>
    <w:rsid w:val="007172A6"/>
    <w:rsid w:val="00733408"/>
    <w:rsid w:val="00734878"/>
    <w:rsid w:val="007473D9"/>
    <w:rsid w:val="00765930"/>
    <w:rsid w:val="00784585"/>
    <w:rsid w:val="00793157"/>
    <w:rsid w:val="00794700"/>
    <w:rsid w:val="0079635D"/>
    <w:rsid w:val="007C18C9"/>
    <w:rsid w:val="007C4371"/>
    <w:rsid w:val="007C6982"/>
    <w:rsid w:val="007F0A54"/>
    <w:rsid w:val="007F3064"/>
    <w:rsid w:val="00800B21"/>
    <w:rsid w:val="0082126B"/>
    <w:rsid w:val="00822E59"/>
    <w:rsid w:val="00836EC1"/>
    <w:rsid w:val="00837FDE"/>
    <w:rsid w:val="008456E6"/>
    <w:rsid w:val="00847054"/>
    <w:rsid w:val="008544D2"/>
    <w:rsid w:val="00864E4B"/>
    <w:rsid w:val="008772E0"/>
    <w:rsid w:val="008775DC"/>
    <w:rsid w:val="00880B3B"/>
    <w:rsid w:val="008A1090"/>
    <w:rsid w:val="008A1E23"/>
    <w:rsid w:val="008A3694"/>
    <w:rsid w:val="008A7324"/>
    <w:rsid w:val="008B2595"/>
    <w:rsid w:val="008B2917"/>
    <w:rsid w:val="008E2288"/>
    <w:rsid w:val="008E2521"/>
    <w:rsid w:val="008F3C62"/>
    <w:rsid w:val="008F4D5E"/>
    <w:rsid w:val="00900461"/>
    <w:rsid w:val="00913D1D"/>
    <w:rsid w:val="009229DF"/>
    <w:rsid w:val="00932ADE"/>
    <w:rsid w:val="00934CFE"/>
    <w:rsid w:val="00946522"/>
    <w:rsid w:val="0095092F"/>
    <w:rsid w:val="00951BE2"/>
    <w:rsid w:val="00953B1B"/>
    <w:rsid w:val="0096742E"/>
    <w:rsid w:val="0099254E"/>
    <w:rsid w:val="009952D0"/>
    <w:rsid w:val="00996D15"/>
    <w:rsid w:val="009A01D6"/>
    <w:rsid w:val="009A4ED1"/>
    <w:rsid w:val="009C0448"/>
    <w:rsid w:val="009C1F85"/>
    <w:rsid w:val="009C39DC"/>
    <w:rsid w:val="00A24E96"/>
    <w:rsid w:val="00A34AB1"/>
    <w:rsid w:val="00A6435E"/>
    <w:rsid w:val="00A76551"/>
    <w:rsid w:val="00A9383A"/>
    <w:rsid w:val="00AA0D47"/>
    <w:rsid w:val="00AA5041"/>
    <w:rsid w:val="00AA7B86"/>
    <w:rsid w:val="00AB010D"/>
    <w:rsid w:val="00AB20C4"/>
    <w:rsid w:val="00AB364D"/>
    <w:rsid w:val="00AB50DA"/>
    <w:rsid w:val="00AC637C"/>
    <w:rsid w:val="00AC7335"/>
    <w:rsid w:val="00AD1B8D"/>
    <w:rsid w:val="00B00C98"/>
    <w:rsid w:val="00B51DC0"/>
    <w:rsid w:val="00B558AF"/>
    <w:rsid w:val="00B63247"/>
    <w:rsid w:val="00B6342E"/>
    <w:rsid w:val="00B76073"/>
    <w:rsid w:val="00B76C7B"/>
    <w:rsid w:val="00B80CD1"/>
    <w:rsid w:val="00B96F18"/>
    <w:rsid w:val="00BA6342"/>
    <w:rsid w:val="00BA6854"/>
    <w:rsid w:val="00BB0871"/>
    <w:rsid w:val="00BB2D1D"/>
    <w:rsid w:val="00BD259B"/>
    <w:rsid w:val="00BD2FE2"/>
    <w:rsid w:val="00BD615F"/>
    <w:rsid w:val="00C02676"/>
    <w:rsid w:val="00C12E87"/>
    <w:rsid w:val="00C206CC"/>
    <w:rsid w:val="00C26EC0"/>
    <w:rsid w:val="00C26F7E"/>
    <w:rsid w:val="00C43598"/>
    <w:rsid w:val="00C46AF6"/>
    <w:rsid w:val="00C47A83"/>
    <w:rsid w:val="00C529CA"/>
    <w:rsid w:val="00C64FA9"/>
    <w:rsid w:val="00C67550"/>
    <w:rsid w:val="00C709F4"/>
    <w:rsid w:val="00C758E7"/>
    <w:rsid w:val="00C80423"/>
    <w:rsid w:val="00C81BA8"/>
    <w:rsid w:val="00C86F05"/>
    <w:rsid w:val="00C90FB9"/>
    <w:rsid w:val="00CA5AAA"/>
    <w:rsid w:val="00CA703D"/>
    <w:rsid w:val="00CA75DF"/>
    <w:rsid w:val="00CD6389"/>
    <w:rsid w:val="00CE09EE"/>
    <w:rsid w:val="00CE59DE"/>
    <w:rsid w:val="00CF0EFD"/>
    <w:rsid w:val="00CF3031"/>
    <w:rsid w:val="00D02334"/>
    <w:rsid w:val="00D03B7B"/>
    <w:rsid w:val="00D570ED"/>
    <w:rsid w:val="00D57F20"/>
    <w:rsid w:val="00D60E5E"/>
    <w:rsid w:val="00D777C4"/>
    <w:rsid w:val="00D923DA"/>
    <w:rsid w:val="00D960A9"/>
    <w:rsid w:val="00DA494C"/>
    <w:rsid w:val="00DA784B"/>
    <w:rsid w:val="00DB3EB6"/>
    <w:rsid w:val="00DB67BC"/>
    <w:rsid w:val="00DC65EB"/>
    <w:rsid w:val="00DD38C4"/>
    <w:rsid w:val="00DD7B03"/>
    <w:rsid w:val="00DE66B6"/>
    <w:rsid w:val="00DF62C6"/>
    <w:rsid w:val="00E036CC"/>
    <w:rsid w:val="00E12F9B"/>
    <w:rsid w:val="00E344D4"/>
    <w:rsid w:val="00E434B5"/>
    <w:rsid w:val="00E475D2"/>
    <w:rsid w:val="00E55456"/>
    <w:rsid w:val="00E62655"/>
    <w:rsid w:val="00E63272"/>
    <w:rsid w:val="00E64C5A"/>
    <w:rsid w:val="00E67988"/>
    <w:rsid w:val="00EA5BFB"/>
    <w:rsid w:val="00ED0033"/>
    <w:rsid w:val="00ED24ED"/>
    <w:rsid w:val="00EF0F48"/>
    <w:rsid w:val="00EF46F8"/>
    <w:rsid w:val="00EF7015"/>
    <w:rsid w:val="00F31FAD"/>
    <w:rsid w:val="00F443D5"/>
    <w:rsid w:val="00F54D35"/>
    <w:rsid w:val="00F55814"/>
    <w:rsid w:val="00F55B3C"/>
    <w:rsid w:val="00F70285"/>
    <w:rsid w:val="00F72AC8"/>
    <w:rsid w:val="00F73C57"/>
    <w:rsid w:val="00F74762"/>
    <w:rsid w:val="00F74E28"/>
    <w:rsid w:val="00F942CB"/>
    <w:rsid w:val="00FA0941"/>
    <w:rsid w:val="00FA508C"/>
    <w:rsid w:val="00FA5241"/>
    <w:rsid w:val="00FD6D58"/>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D13003"/>
  <w15:docId w15:val="{DF92190C-BBC8-48E3-B30C-6DF09E75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351D0F"/>
    <w:pPr>
      <w:keepNext/>
      <w:spacing w:before="240" w:after="60"/>
      <w:jc w:val="left"/>
      <w:outlineLvl w:val="1"/>
    </w:pPr>
    <w:rPr>
      <w:rFonts w:cs="Arial"/>
      <w:b/>
      <w:bCs/>
      <w:i/>
      <w:iCs/>
      <w:sz w:val="24"/>
      <w:szCs w:val="24"/>
    </w:rPr>
  </w:style>
  <w:style w:type="paragraph" w:styleId="berschrift3">
    <w:name w:val="heading 3"/>
    <w:basedOn w:val="Standard"/>
    <w:next w:val="Standard"/>
    <w:qFormat/>
    <w:rsid w:val="00BB2D1D"/>
    <w:pPr>
      <w:keepNext/>
      <w:numPr>
        <w:ilvl w:val="2"/>
        <w:numId w:val="2"/>
      </w:numPr>
      <w:tabs>
        <w:tab w:val="clear" w:pos="1004"/>
        <w:tab w:val="num" w:pos="720"/>
      </w:tabs>
      <w:ind w:left="720"/>
      <w:jc w:val="left"/>
      <w:outlineLvl w:val="2"/>
    </w:pPr>
    <w:rPr>
      <w:b/>
      <w:bCs/>
    </w:rPr>
  </w:style>
  <w:style w:type="paragraph" w:styleId="berschrift4">
    <w:name w:val="heading 4"/>
    <w:basedOn w:val="Standard"/>
    <w:next w:val="Standard"/>
    <w:qFormat/>
    <w:rsid w:val="003C182E"/>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5B1AF3"/>
    <w:pPr>
      <w:tabs>
        <w:tab w:val="left" w:pos="880"/>
        <w:tab w:val="right" w:leader="dot" w:pos="9372"/>
      </w:tabs>
      <w:spacing w:after="100"/>
      <w:ind w:left="851" w:hanging="567"/>
      <w:jc w:val="both"/>
    </w:pPr>
  </w:style>
  <w:style w:type="paragraph" w:styleId="Verzeichnis3">
    <w:name w:val="toc 3"/>
    <w:basedOn w:val="Standard"/>
    <w:next w:val="Standard"/>
    <w:autoRedefine/>
    <w:uiPriority w:val="39"/>
    <w:rsid w:val="00D777C4"/>
    <w:pPr>
      <w:spacing w:after="100"/>
      <w:ind w:left="440"/>
    </w:pPr>
  </w:style>
  <w:style w:type="paragraph" w:customStyle="1" w:styleId="bodytekstitalicondertabel">
    <w:name w:val="bodytekst_italic_onder_tabel"/>
    <w:basedOn w:val="Standard"/>
    <w:rsid w:val="00C26EC0"/>
    <w:pPr>
      <w:spacing w:before="100" w:beforeAutospacing="1" w:after="100" w:afterAutospacing="1" w:line="240" w:lineRule="auto"/>
      <w:jc w:val="left"/>
    </w:pPr>
    <w:rPr>
      <w:rFonts w:ascii="Times New Roman" w:hAnsi="Times New Roman"/>
      <w:sz w:val="24"/>
      <w:szCs w:val="24"/>
      <w:lang w:eastAsia="de-AT"/>
    </w:rPr>
  </w:style>
  <w:style w:type="paragraph" w:customStyle="1" w:styleId="bodytekstitalic">
    <w:name w:val="bodytekst_italic"/>
    <w:basedOn w:val="Standard"/>
    <w:rsid w:val="00C26EC0"/>
    <w:pPr>
      <w:spacing w:before="100" w:beforeAutospacing="1" w:after="100" w:afterAutospacing="1" w:line="240" w:lineRule="auto"/>
      <w:jc w:val="left"/>
    </w:pPr>
    <w:rPr>
      <w:rFonts w:ascii="Times New Roman" w:hAnsi="Times New Roman"/>
      <w:sz w:val="24"/>
      <w:szCs w:val="24"/>
      <w:lang w:eastAsia="de-AT"/>
    </w:rPr>
  </w:style>
  <w:style w:type="character" w:customStyle="1" w:styleId="superscript">
    <w:name w:val="superscript"/>
    <w:basedOn w:val="Absatz-Standardschriftart"/>
    <w:rsid w:val="00C26EC0"/>
  </w:style>
  <w:style w:type="paragraph" w:customStyle="1" w:styleId="bodytekstbold">
    <w:name w:val="bodytekst_bold"/>
    <w:basedOn w:val="Standard"/>
    <w:rsid w:val="00C26EC0"/>
    <w:pPr>
      <w:spacing w:before="100" w:beforeAutospacing="1" w:after="100" w:afterAutospacing="1" w:line="240" w:lineRule="auto"/>
      <w:jc w:val="left"/>
    </w:pPr>
    <w:rPr>
      <w:rFonts w:ascii="Times New Roman" w:hAnsi="Times New Roman"/>
      <w:sz w:val="24"/>
      <w:szCs w:val="24"/>
      <w:lang w:eastAsia="de-AT"/>
    </w:rPr>
  </w:style>
  <w:style w:type="character" w:customStyle="1" w:styleId="bodytekst">
    <w:name w:val="bodytekst"/>
    <w:basedOn w:val="Absatz-Standardschriftart"/>
    <w:rsid w:val="00C26EC0"/>
  </w:style>
  <w:style w:type="character" w:customStyle="1" w:styleId="jrnl">
    <w:name w:val="jrnl"/>
    <w:basedOn w:val="Absatz-Standardschriftart"/>
    <w:rsid w:val="003A133E"/>
  </w:style>
  <w:style w:type="character" w:customStyle="1" w:styleId="KopfzeileZchn">
    <w:name w:val="Kopfzeile Zchn"/>
    <w:basedOn w:val="Absatz-Standardschriftart"/>
    <w:link w:val="Kopfzeile"/>
    <w:rsid w:val="00DD38C4"/>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2620">
      <w:bodyDiv w:val="1"/>
      <w:marLeft w:val="0"/>
      <w:marRight w:val="0"/>
      <w:marTop w:val="0"/>
      <w:marBottom w:val="0"/>
      <w:divBdr>
        <w:top w:val="none" w:sz="0" w:space="0" w:color="auto"/>
        <w:left w:val="none" w:sz="0" w:space="0" w:color="auto"/>
        <w:bottom w:val="none" w:sz="0" w:space="0" w:color="auto"/>
        <w:right w:val="none" w:sz="0" w:space="0" w:color="auto"/>
      </w:divBdr>
    </w:div>
    <w:div w:id="302471418">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703746435">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09849180">
      <w:bodyDiv w:val="1"/>
      <w:marLeft w:val="0"/>
      <w:marRight w:val="0"/>
      <w:marTop w:val="0"/>
      <w:marBottom w:val="0"/>
      <w:divBdr>
        <w:top w:val="none" w:sz="0" w:space="0" w:color="auto"/>
        <w:left w:val="none" w:sz="0" w:space="0" w:color="auto"/>
        <w:bottom w:val="none" w:sz="0" w:space="0" w:color="auto"/>
        <w:right w:val="none" w:sz="0" w:space="0" w:color="auto"/>
      </w:divBdr>
    </w:div>
    <w:div w:id="962534854">
      <w:bodyDiv w:val="1"/>
      <w:marLeft w:val="0"/>
      <w:marRight w:val="0"/>
      <w:marTop w:val="0"/>
      <w:marBottom w:val="0"/>
      <w:divBdr>
        <w:top w:val="none" w:sz="0" w:space="0" w:color="auto"/>
        <w:left w:val="none" w:sz="0" w:space="0" w:color="auto"/>
        <w:bottom w:val="none" w:sz="0" w:space="0" w:color="auto"/>
        <w:right w:val="none" w:sz="0" w:space="0" w:color="auto"/>
      </w:divBdr>
    </w:div>
    <w:div w:id="1010334511">
      <w:bodyDiv w:val="1"/>
      <w:marLeft w:val="0"/>
      <w:marRight w:val="0"/>
      <w:marTop w:val="0"/>
      <w:marBottom w:val="0"/>
      <w:divBdr>
        <w:top w:val="none" w:sz="0" w:space="0" w:color="auto"/>
        <w:left w:val="none" w:sz="0" w:space="0" w:color="auto"/>
        <w:bottom w:val="none" w:sz="0" w:space="0" w:color="auto"/>
        <w:right w:val="none" w:sz="0" w:space="0" w:color="auto"/>
      </w:divBdr>
    </w:div>
    <w:div w:id="1013141825">
      <w:bodyDiv w:val="1"/>
      <w:marLeft w:val="0"/>
      <w:marRight w:val="0"/>
      <w:marTop w:val="0"/>
      <w:marBottom w:val="0"/>
      <w:divBdr>
        <w:top w:val="none" w:sz="0" w:space="0" w:color="auto"/>
        <w:left w:val="none" w:sz="0" w:space="0" w:color="auto"/>
        <w:bottom w:val="none" w:sz="0" w:space="0" w:color="auto"/>
        <w:right w:val="none" w:sz="0" w:space="0" w:color="auto"/>
      </w:divBdr>
    </w:div>
    <w:div w:id="1442261395">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2544">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gi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uroweb.org/guideline/testicular-cancer/"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ustaveroussy.fr/calculation-tumor/NSGCT.html" TargetMode="External"/><Relationship Id="rId29" Type="http://schemas.openxmlformats.org/officeDocument/2006/relationships/hyperlink" Target="https://www.gustaveroussy.fr/calculation-tumor/NSGC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ortc.be/services/forms/1407/1407%20Tiger-Outline%2020140919.pdf"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gif"/><Relationship Id="rId28" Type="http://schemas.openxmlformats.org/officeDocument/2006/relationships/image" Target="media/image12.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8.gif"/><Relationship Id="rId27" Type="http://schemas.openxmlformats.org/officeDocument/2006/relationships/image" Target="media/image11.png"/><Relationship Id="rId30" Type="http://schemas.openxmlformats.org/officeDocument/2006/relationships/hyperlink" Target="http://www.eortc.be/services/forms/1407/1407%20Tiger-Outline%2020140919.pdf"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60.Tumorzentrum\Leitlinien\Leitlinien%20des%20Tumorzentrums\Hoden-Ca\2014-03-28%20Entwurf%20Leitlinie%20Hoden-C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770F9A47D4DCDABF0C7E522123F90"/>
        <w:category>
          <w:name w:val="Allgemein"/>
          <w:gallery w:val="placeholder"/>
        </w:category>
        <w:types>
          <w:type w:val="bbPlcHdr"/>
        </w:types>
        <w:behaviors>
          <w:behavior w:val="content"/>
        </w:behaviors>
        <w:guid w:val="{AA0278E8-724C-43E8-B78D-07BB08EFBAE2}"/>
      </w:docPartPr>
      <w:docPartBody>
        <w:p w:rsidR="00FD4923" w:rsidRDefault="00FD4923">
          <w:pPr>
            <w:pStyle w:val="6CD770F9A47D4DCDABF0C7E522123F90"/>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23"/>
    <w:rsid w:val="0034452E"/>
    <w:rsid w:val="00806005"/>
    <w:rsid w:val="00843F4B"/>
    <w:rsid w:val="00C142A5"/>
    <w:rsid w:val="00FD49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20F82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CD770F9A47D4DCDABF0C7E522123F90">
    <w:name w:val="6CD770F9A47D4DCDABF0C7E522123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finishedorgapprovers xmlns="http://schemas.microsoft.com/sharepoint/v3">
      <UserInfo>
        <DisplayName/>
        <AccountId xsi:nil="true"/>
        <AccountType/>
      </UserInfo>
    </dfr_finishedorgapprovers>
    <dfr_pendingorgapprovers xmlns="http://schemas.microsoft.com/sharepoint/v3">
      <UserInfo>
        <DisplayName/>
        <AccountId xsi:nil="true"/>
        <AccountType/>
      </UserInfo>
    </dfr_pendingorgapprovers>
    <dfr_comments xmlns="http://schemas.microsoft.com/sharepoint/v3">11.11.2020 11:08:24 Pichler, Thomas (Initiator) : Anpassung PET-CT S. 8, Freigabe Doz. Weltermann per Mail am 11.11.2020
11.11.2020 11:08:48 Pichler, Thomas (Freigeber) : .
</dfr_comments>
    <dfr_orgscope xmlns="http://schemas.microsoft.com/sharepoint/v3">
      <Value>Tumorzentrum</Value>
    </dfr_orgscope>
    <dfr_creator xmlns="http://schemas.microsoft.com/sharepoint/v3">
      <UserInfo>
        <DisplayName>Girschikofsky, Michael</DisplayName>
        <AccountId>26809</AccountId>
        <AccountType/>
      </UserInfo>
    </dfr_creator>
    <dfr_department xmlns="http://schemas.microsoft.com/sharepoint/v3">Leitlinien solide Tumore</dfr_department>
    <dfr_headernote xmlns="http://schemas.microsoft.com/sharepoint/v3">Kein Vermerk</dfr_headernote>
    <dfr_finishedcheckers xmlns="http://schemas.microsoft.com/sharepoint/v3">
      <UserInfo>
        <DisplayName/>
        <AccountId xsi:nil="true"/>
        <AccountType/>
      </UserInfo>
    </dfr_finishedcheckers>
    <dfr_pendingtecapprovers xmlns="http://schemas.microsoft.com/sharepoint/v3">
      <UserInfo>
        <DisplayName/>
        <AccountId xsi:nil="true"/>
        <AccountType/>
      </UserInfo>
    </dfr_pendingtecapprovers>
    <dfr_taskowner xmlns="http://schemas.microsoft.com/sharepoint/v3">
      <UserInfo>
        <DisplayName/>
        <AccountId xsi:nil="true"/>
        <AccountType/>
      </UserInfo>
    </dfr_taskowner>
    <dfr_pendingcheckers xmlns="http://schemas.microsoft.com/sharepoint/v3">
      <UserInfo>
        <DisplayName/>
        <AccountId xsi:nil="true"/>
        <AccountType/>
      </UserInfo>
    </dfr_pendingcheckers>
    <dfr_taskinitializer xmlns="http://schemas.microsoft.com/sharepoint/v3">
      <UserInfo>
        <DisplayName/>
        <AccountId xsi:nil="true"/>
        <AccountType/>
      </UserInfo>
    </dfr_taskinitializer>
    <dfr_approvalid xmlns="http://schemas.microsoft.com/sharepoint/v3">00000000-0000-0000-0000-000000000000</dfr_approvalid>
    <dfr_contenttype xmlns="http://schemas.microsoft.com/sharepoint/v3">Leitlinie</dfr_contenttype>
    <dfr_prevdepartment xmlns="http://schemas.microsoft.com/sharepoint/v3" xsi:nil="true"/>
    <dfr_archived xmlns="http://schemas.microsoft.com/sharepoint/v3" xsi:nil="true"/>
    <dfr_nextrevision xmlns="http://schemas.microsoft.com/sharepoint/v3">2021-11-11T10:08:51+00:00</dfr_nextrevision>
    <dfr_actionlink xmlns="http://schemas.microsoft.com/sharepoint/v3">https://ooeg.info/dokumente/_layouts/gespag.dfr/newTask.aspx?IsDlg=1&amp;listID=18c45198-6fc7-4da6-aad9-951c94b71f4f&amp;itemID=341, freigeben</dfr_actionlink>
    <dfr_lastrevision xmlns="http://schemas.microsoft.com/sharepoint/v3" xsi:nil="true"/>
    <dfr_lastnotification xmlns="http://schemas.microsoft.com/sharepoint/v3">2021-09-11T23:23:05+00:00</dfr_lastnotification>
    <dfr_taskid xmlns="http://schemas.microsoft.com/sharepoint/v3" xsi:nil="true"/>
    <dfr_orgunit xmlns="http://schemas.microsoft.com/sharepoint/v3">Tumorzentrum</dfr_orgunit>
    <dfr_revision xmlns="http://schemas.microsoft.com/sharepoint/v3">0</dfr_revision>
    <dfr_taskownerresponsibility xmlns="http://schemas.microsoft.com/sharepoint/v3" xsi:nil="true"/>
    <dfr_publisheddate xmlns="http://schemas.microsoft.com/sharepoint/v3" xsi:nil="true"/>
    <dfr_location xmlns="http://schemas.microsoft.com/sharepoint/v3">KH</dfr_location>
    <customfield_majorversion xmlns="http://schemas.microsoft.com/sharepoint/v3" xsi:nil="true"/>
    <dfr_majorversion xmlns="18c45198-6fc7-4da6-aad9-951c94b71f4f">3.0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Props1.xml><?xml version="1.0" encoding="utf-8"?>
<ds:datastoreItem xmlns:ds="http://schemas.openxmlformats.org/officeDocument/2006/customXml" ds:itemID="{B1D4CC5F-7EDA-48F4-B427-BC0B39D6FC98}"/>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5944982B-83A3-44BA-9019-546387B86975}"/>
</file>

<file path=customXml/itemProps4.xml><?xml version="1.0" encoding="utf-8"?>
<ds:datastoreItem xmlns:ds="http://schemas.openxmlformats.org/officeDocument/2006/customXml" ds:itemID="{E20FE06A-E31F-40A7-8894-4B5B42C79A73}"/>
</file>

<file path=docProps/app.xml><?xml version="1.0" encoding="utf-8"?>
<Properties xmlns="http://schemas.openxmlformats.org/officeDocument/2006/extended-properties" xmlns:vt="http://schemas.openxmlformats.org/officeDocument/2006/docPropsVTypes">
  <Template>2014-03-28 Entwurf Leitlinie Hoden-Ca</Template>
  <TotalTime>0</TotalTime>
  <Pages>12</Pages>
  <Words>1754</Words>
  <Characters>11051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Maligne Hodentumore</vt:lpstr>
    </vt:vector>
  </TitlesOfParts>
  <Company>gespag</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Maligne Hodentumore</dc:title>
  <dc:creator>Mag. Pichler (KI), (71)20090, kipichth</dc:creator>
  <cp:keywords/>
  <cp:lastModifiedBy>Pichler, Thomas</cp:lastModifiedBy>
  <cp:revision>6</cp:revision>
  <dcterms:created xsi:type="dcterms:W3CDTF">2019-12-17T12:05:00Z</dcterms:created>
  <dcterms:modified xsi:type="dcterms:W3CDTF">2021-12-02T11:49:00Z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eich">
    <vt:lpwstr>Vorlagen</vt:lpwstr>
  </property>
  <property fmtid="{D5CDD505-2E9C-101B-9397-08002B2CF9AE}" pid="23" name="Archivieren">
    <vt:lpwstr>Nein</vt:lpwstr>
  </property>
  <property fmtid="{D5CDD505-2E9C-101B-9397-08002B2CF9AE}" pid="24" name="läuft ab am">
    <vt:lpwstr>2098-12-31T23:00:00+00:00</vt:lpwstr>
  </property>
  <property fmtid="{D5CDD505-2E9C-101B-9397-08002B2CF9AE}" pid="25" name="Berufsgruppe">
    <vt:lpwstr>2;#</vt:lpwstr>
  </property>
  <property fmtid="{D5CDD505-2E9C-101B-9397-08002B2CF9AE}" pid="26" name="source_item_id">
    <vt:lpwstr>16</vt:lpwstr>
  </property>
  <property fmtid="{D5CDD505-2E9C-101B-9397-08002B2CF9AE}" pid="27" name="TaxKeyword">
    <vt:lpwstr/>
  </property>
</Properties>
</file>