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ink/ink1.xml" ContentType="application/inkml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15D43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7F839220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7589DE11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45192989" w14:textId="77777777" w:rsidR="00B6342E" w:rsidRPr="00B6342E" w:rsidRDefault="00B6342E" w:rsidP="00B6342E">
      <w:pPr>
        <w:pStyle w:val="Titel"/>
        <w:jc w:val="left"/>
        <w:rPr>
          <w:b/>
          <w:sz w:val="20"/>
        </w:rPr>
      </w:pPr>
    </w:p>
    <w:p w14:paraId="715B543E" w14:textId="77777777" w:rsidR="00B6342E" w:rsidRDefault="00B6342E" w:rsidP="00B6342E">
      <w:pPr>
        <w:pStyle w:val="Titel"/>
        <w:jc w:val="left"/>
        <w:rPr>
          <w:b/>
          <w:sz w:val="48"/>
          <w:szCs w:val="48"/>
        </w:rPr>
      </w:pPr>
    </w:p>
    <w:p w14:paraId="57BBC8CE" w14:textId="77777777" w:rsidR="00E67988" w:rsidRDefault="00E67988" w:rsidP="00B6342E">
      <w:pPr>
        <w:pStyle w:val="Titel"/>
        <w:jc w:val="left"/>
        <w:rPr>
          <w:b/>
          <w:sz w:val="48"/>
          <w:szCs w:val="48"/>
        </w:rPr>
      </w:pPr>
    </w:p>
    <w:p w14:paraId="5A137175" w14:textId="77777777" w:rsidR="00250E53" w:rsidRDefault="00250E53" w:rsidP="00B6342E">
      <w:pPr>
        <w:pStyle w:val="Titel"/>
        <w:jc w:val="left"/>
        <w:rPr>
          <w:b/>
          <w:sz w:val="48"/>
          <w:szCs w:val="48"/>
        </w:rPr>
      </w:pPr>
    </w:p>
    <w:p w14:paraId="36F4818D" w14:textId="77777777" w:rsidR="008A7324" w:rsidRPr="006676BC" w:rsidRDefault="00384979" w:rsidP="00B6342E">
      <w:pPr>
        <w:pStyle w:val="Titel"/>
        <w:jc w:val="left"/>
        <w:rPr>
          <w:b/>
          <w:sz w:val="48"/>
          <w:szCs w:val="48"/>
        </w:rPr>
      </w:pPr>
      <w:sdt>
        <w:sdtPr>
          <w:rPr>
            <w:b/>
            <w:sz w:val="48"/>
            <w:szCs w:val="48"/>
          </w:rPr>
          <w:alias w:val="Titel"/>
          <w:tag w:val=""/>
          <w:id w:val="710549034"/>
          <w:placeholder>
            <w:docPart w:val="2051CD9AAA8D4651B2F1E88EC3F3725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75503" w:rsidRPr="006676BC">
            <w:rPr>
              <w:b/>
              <w:sz w:val="48"/>
              <w:szCs w:val="48"/>
              <w:lang w:val="de-AT"/>
            </w:rPr>
            <w:t>Urothelkarzinome</w:t>
          </w:r>
        </w:sdtContent>
      </w:sdt>
    </w:p>
    <w:p w14:paraId="5D1AD537" w14:textId="77777777" w:rsidR="008A7324" w:rsidRPr="006676BC" w:rsidRDefault="008A7324" w:rsidP="005E0058">
      <w:pPr>
        <w:pStyle w:val="Titel"/>
        <w:ind w:left="-56"/>
        <w:jc w:val="left"/>
        <w:rPr>
          <w:sz w:val="28"/>
          <w:szCs w:val="28"/>
        </w:rPr>
      </w:pPr>
    </w:p>
    <w:p w14:paraId="69727466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66E84997" w14:textId="77777777" w:rsidR="00B6342E" w:rsidRPr="006676BC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785C0C34" w14:textId="77777777" w:rsidR="00B6342E" w:rsidRPr="006676BC" w:rsidRDefault="00A6435E" w:rsidP="00B6342E">
      <w:pPr>
        <w:spacing w:line="276" w:lineRule="auto"/>
        <w:jc w:val="both"/>
        <w:rPr>
          <w:rFonts w:cs="Arial"/>
          <w:b/>
          <w:sz w:val="40"/>
          <w:szCs w:val="40"/>
        </w:rPr>
      </w:pPr>
      <w:r w:rsidRPr="006676BC">
        <w:rPr>
          <w:rFonts w:cs="Arial"/>
          <w:b/>
          <w:sz w:val="40"/>
          <w:szCs w:val="40"/>
        </w:rPr>
        <w:t xml:space="preserve">Medizinische </w:t>
      </w:r>
      <w:r w:rsidR="00B6342E" w:rsidRPr="006676BC">
        <w:rPr>
          <w:rFonts w:cs="Arial"/>
          <w:b/>
          <w:sz w:val="40"/>
          <w:szCs w:val="40"/>
        </w:rPr>
        <w:t>Leitlinie</w:t>
      </w:r>
    </w:p>
    <w:p w14:paraId="7E4D2BBC" w14:textId="77777777" w:rsidR="00B6342E" w:rsidRPr="006676BC" w:rsidRDefault="00155D10" w:rsidP="00155D10">
      <w:pPr>
        <w:tabs>
          <w:tab w:val="left" w:pos="1418"/>
        </w:tabs>
        <w:spacing w:line="276" w:lineRule="auto"/>
        <w:ind w:left="426"/>
        <w:jc w:val="both"/>
        <w:rPr>
          <w:rFonts w:cs="Arial"/>
          <w:sz w:val="28"/>
          <w:szCs w:val="28"/>
        </w:rPr>
      </w:pPr>
      <w:r w:rsidRPr="006676BC">
        <w:rPr>
          <w:rFonts w:cs="Arial"/>
          <w:b/>
          <w:szCs w:val="22"/>
        </w:rPr>
        <w:t>Tumorzentrum Oberösterreich</w:t>
      </w:r>
    </w:p>
    <w:p w14:paraId="7193CD72" w14:textId="77777777" w:rsidR="00B6342E" w:rsidRPr="006676BC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4E3D7BE2" w14:textId="77777777" w:rsidR="00B6342E" w:rsidRPr="006676BC" w:rsidRDefault="00B6342E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27C6757A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0395A423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1EC68BE3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41F14DA5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p w14:paraId="613C8609" w14:textId="77777777" w:rsidR="005163F4" w:rsidRPr="006676BC" w:rsidRDefault="005163F4" w:rsidP="00B6342E">
      <w:pPr>
        <w:tabs>
          <w:tab w:val="left" w:pos="1418"/>
        </w:tabs>
        <w:spacing w:line="276" w:lineRule="auto"/>
        <w:jc w:val="both"/>
        <w:rPr>
          <w:rFonts w:cs="Arial"/>
          <w:sz w:val="28"/>
          <w:szCs w:val="28"/>
        </w:rPr>
      </w:pPr>
    </w:p>
    <w:tbl>
      <w:tblPr>
        <w:tblStyle w:val="Tabellenraster1"/>
        <w:tblW w:w="9690" w:type="dxa"/>
        <w:tblInd w:w="-84" w:type="dxa"/>
        <w:tblLook w:val="04A0" w:firstRow="1" w:lastRow="0" w:firstColumn="1" w:lastColumn="0" w:noHBand="0" w:noVBand="1"/>
      </w:tblPr>
      <w:tblGrid>
        <w:gridCol w:w="2744"/>
        <w:gridCol w:w="6946"/>
      </w:tblGrid>
      <w:tr w:rsidR="002E7743" w:rsidRPr="00384979" w14:paraId="47DBFEC5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69EEF1F7" w14:textId="77777777" w:rsidR="00ED24ED" w:rsidRPr="006676BC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>Leitlinie erstellt von:</w:t>
            </w:r>
          </w:p>
        </w:tc>
        <w:tc>
          <w:tcPr>
            <w:tcW w:w="6946" w:type="dxa"/>
            <w:vAlign w:val="center"/>
          </w:tcPr>
          <w:p w14:paraId="0EC583C0" w14:textId="77777777" w:rsidR="00CD5D8C" w:rsidRPr="006676BC" w:rsidRDefault="00875503" w:rsidP="00CD5D8C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 xml:space="preserve">OA Dr. Franz Stoiber (SK); </w:t>
            </w:r>
            <w:r w:rsidR="00CD5D8C" w:rsidRPr="006676BC">
              <w:rPr>
                <w:rFonts w:asciiTheme="minorHAnsi" w:hAnsiTheme="minorHAnsi" w:cstheme="minorHAnsi"/>
              </w:rPr>
              <w:t xml:space="preserve">OA Dr. Johannes Buchegger (OKL); </w:t>
            </w:r>
          </w:p>
          <w:p w14:paraId="4A5C0942" w14:textId="77777777" w:rsidR="00875503" w:rsidRPr="00372B4A" w:rsidRDefault="00CD5D8C" w:rsidP="007B1972">
            <w:pPr>
              <w:spacing w:line="276" w:lineRule="auto"/>
              <w:jc w:val="left"/>
              <w:rPr>
                <w:rFonts w:asciiTheme="minorHAnsi" w:hAnsiTheme="minorHAnsi" w:cstheme="minorHAnsi"/>
                <w:lang w:val="en-GB"/>
              </w:rPr>
            </w:pPr>
            <w:r w:rsidRPr="006676BC">
              <w:rPr>
                <w:rFonts w:asciiTheme="minorHAnsi" w:hAnsiTheme="minorHAnsi" w:cstheme="minorHAnsi"/>
                <w:lang w:val="en-GB"/>
              </w:rPr>
              <w:t>OA Dr. Michael Girschikofsky (OKL), OA Dr. Christian Peither (</w:t>
            </w:r>
            <w:r w:rsidR="007B1972">
              <w:rPr>
                <w:rFonts w:asciiTheme="minorHAnsi" w:hAnsiTheme="minorHAnsi" w:cstheme="minorHAnsi"/>
                <w:lang w:val="en-GB"/>
              </w:rPr>
              <w:t>PEK</w:t>
            </w:r>
            <w:r w:rsidR="00D001DC">
              <w:rPr>
                <w:rFonts w:asciiTheme="minorHAnsi" w:hAnsiTheme="minorHAnsi" w:cstheme="minorHAnsi"/>
                <w:lang w:val="en-GB"/>
              </w:rPr>
              <w:t>)</w:t>
            </w:r>
          </w:p>
        </w:tc>
      </w:tr>
      <w:tr w:rsidR="002E7743" w:rsidRPr="006676BC" w14:paraId="2B97EF8C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5DC9A494" w14:textId="77777777" w:rsidR="00ED24ED" w:rsidRPr="006676BC" w:rsidRDefault="002E7743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>Leitlinie geprüft von:</w:t>
            </w:r>
          </w:p>
        </w:tc>
        <w:tc>
          <w:tcPr>
            <w:tcW w:w="6946" w:type="dxa"/>
            <w:vAlign w:val="center"/>
          </w:tcPr>
          <w:p w14:paraId="1BBBB9E1" w14:textId="77777777" w:rsidR="007B73D8" w:rsidRPr="006676BC" w:rsidRDefault="00CD5D8C" w:rsidP="0095092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  <w:lang w:val="en-GB"/>
              </w:rPr>
              <w:t xml:space="preserve">Prim. Univ. Prof. Dr. Farid Moinfar (OKL); </w:t>
            </w:r>
            <w:r w:rsidR="00875503" w:rsidRPr="006676BC">
              <w:rPr>
                <w:rFonts w:asciiTheme="minorHAnsi" w:hAnsiTheme="minorHAnsi" w:cstheme="minorHAnsi"/>
                <w:lang w:val="en-GB"/>
              </w:rPr>
              <w:t xml:space="preserve">Prim. </w:t>
            </w:r>
            <w:r w:rsidR="00875503" w:rsidRPr="006676BC">
              <w:rPr>
                <w:rFonts w:asciiTheme="minorHAnsi" w:hAnsiTheme="minorHAnsi" w:cstheme="minorHAnsi"/>
              </w:rPr>
              <w:t xml:space="preserve">Dr. </w:t>
            </w:r>
            <w:r w:rsidRPr="006676BC">
              <w:rPr>
                <w:rFonts w:asciiTheme="minorHAnsi" w:hAnsiTheme="minorHAnsi" w:cstheme="minorHAnsi"/>
              </w:rPr>
              <w:t>Wolfgang Loidl (OKL)</w:t>
            </w:r>
            <w:r w:rsidR="00875503" w:rsidRPr="006676BC">
              <w:rPr>
                <w:rFonts w:asciiTheme="minorHAnsi" w:hAnsiTheme="minorHAnsi" w:cstheme="minorHAnsi"/>
              </w:rPr>
              <w:t xml:space="preserve">; </w:t>
            </w:r>
            <w:r w:rsidR="007B73D8" w:rsidRPr="006676BC">
              <w:rPr>
                <w:rFonts w:asciiTheme="minorHAnsi" w:hAnsiTheme="minorHAnsi" w:cstheme="minorHAnsi"/>
              </w:rPr>
              <w:t xml:space="preserve">Prim. Doz. Dr. Claus Kölblinger (RI); </w:t>
            </w:r>
            <w:r w:rsidR="00875503" w:rsidRPr="006676BC">
              <w:rPr>
                <w:rFonts w:asciiTheme="minorHAnsi" w:hAnsiTheme="minorHAnsi" w:cstheme="minorHAnsi"/>
              </w:rPr>
              <w:t>OA Dr. Josef König (</w:t>
            </w:r>
            <w:r w:rsidRPr="006676BC">
              <w:rPr>
                <w:rFonts w:asciiTheme="minorHAnsi" w:hAnsiTheme="minorHAnsi" w:cstheme="minorHAnsi"/>
              </w:rPr>
              <w:t>OKL</w:t>
            </w:r>
            <w:r w:rsidR="00875503" w:rsidRPr="006676BC">
              <w:rPr>
                <w:rFonts w:asciiTheme="minorHAnsi" w:hAnsiTheme="minorHAnsi" w:cstheme="minorHAnsi"/>
              </w:rPr>
              <w:t xml:space="preserve">); </w:t>
            </w:r>
          </w:p>
          <w:p w14:paraId="0BD6A6BC" w14:textId="77777777" w:rsidR="00CD5D8C" w:rsidRDefault="00875503" w:rsidP="007B73D8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>Prim. Dr. Peter Panholzer (SK)</w:t>
            </w:r>
            <w:r w:rsidR="00CD5D8C" w:rsidRPr="006676BC">
              <w:rPr>
                <w:rFonts w:asciiTheme="minorHAnsi" w:hAnsiTheme="minorHAnsi" w:cstheme="minorHAnsi"/>
              </w:rPr>
              <w:t>; Prim. Univ. Prof. Dr. Hans Geinitz (OKL)</w:t>
            </w:r>
            <w:r w:rsidR="007B1972">
              <w:rPr>
                <w:rFonts w:asciiTheme="minorHAnsi" w:hAnsiTheme="minorHAnsi" w:cstheme="minorHAnsi"/>
              </w:rPr>
              <w:t>;</w:t>
            </w:r>
          </w:p>
          <w:p w14:paraId="44C74467" w14:textId="77777777" w:rsidR="007B1972" w:rsidRPr="006676BC" w:rsidRDefault="00D001DC" w:rsidP="007B73D8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Prim. Dr. Rene Silye (SK)</w:t>
            </w:r>
          </w:p>
        </w:tc>
      </w:tr>
      <w:tr w:rsidR="002E7743" w:rsidRPr="006676BC" w14:paraId="1A9B6ACC" w14:textId="77777777" w:rsidTr="0095092F">
        <w:trPr>
          <w:trHeight w:val="567"/>
        </w:trPr>
        <w:tc>
          <w:tcPr>
            <w:tcW w:w="2744" w:type="dxa"/>
            <w:vAlign w:val="center"/>
          </w:tcPr>
          <w:p w14:paraId="7ECD9650" w14:textId="77777777" w:rsidR="002E7743" w:rsidRPr="006676BC" w:rsidRDefault="00ED24ED" w:rsidP="00C80423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>Fachliche Freigabe:</w:t>
            </w:r>
          </w:p>
        </w:tc>
        <w:tc>
          <w:tcPr>
            <w:tcW w:w="6946" w:type="dxa"/>
            <w:vAlign w:val="center"/>
          </w:tcPr>
          <w:p w14:paraId="300C6DB4" w14:textId="77777777" w:rsidR="00875503" w:rsidRPr="006676BC" w:rsidRDefault="00875503" w:rsidP="001F2BEC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 xml:space="preserve">OA Dr. Franz Stoiber </w:t>
            </w:r>
          </w:p>
          <w:p w14:paraId="67D968EE" w14:textId="0221AB7D" w:rsidR="00CD5D8C" w:rsidRPr="006676BC" w:rsidRDefault="00CD5D8C" w:rsidP="008F3AEF">
            <w:pPr>
              <w:spacing w:line="276" w:lineRule="auto"/>
              <w:jc w:val="left"/>
              <w:rPr>
                <w:rFonts w:asciiTheme="minorHAnsi" w:hAnsiTheme="minorHAnsi" w:cstheme="minorHAnsi"/>
              </w:rPr>
            </w:pPr>
            <w:r w:rsidRPr="006676BC">
              <w:rPr>
                <w:rFonts w:asciiTheme="minorHAnsi" w:hAnsiTheme="minorHAnsi" w:cstheme="minorHAnsi"/>
              </w:rPr>
              <w:t xml:space="preserve">Revision v. </w:t>
            </w:r>
            <w:r w:rsidR="008F3AEF">
              <w:rPr>
                <w:rFonts w:asciiTheme="minorHAnsi" w:hAnsiTheme="minorHAnsi" w:cstheme="minorHAnsi"/>
              </w:rPr>
              <w:t>06.02</w:t>
            </w:r>
            <w:r w:rsidR="000728B1">
              <w:rPr>
                <w:rFonts w:asciiTheme="minorHAnsi" w:hAnsiTheme="minorHAnsi" w:cstheme="minorHAnsi"/>
              </w:rPr>
              <w:t>.2022</w:t>
            </w:r>
          </w:p>
        </w:tc>
      </w:tr>
    </w:tbl>
    <w:p w14:paraId="575CE302" w14:textId="77777777" w:rsidR="008B2595" w:rsidRPr="006676BC" w:rsidRDefault="008B2595">
      <w:pPr>
        <w:spacing w:line="240" w:lineRule="auto"/>
        <w:jc w:val="left"/>
      </w:pPr>
    </w:p>
    <w:p w14:paraId="217DA7D5" w14:textId="77777777" w:rsidR="008B2595" w:rsidRPr="006676BC" w:rsidRDefault="008B2595">
      <w:pPr>
        <w:spacing w:line="240" w:lineRule="auto"/>
        <w:jc w:val="left"/>
      </w:pPr>
    </w:p>
    <w:p w14:paraId="6C9C63A1" w14:textId="77777777" w:rsidR="00D02334" w:rsidRPr="006676BC" w:rsidRDefault="00D02334">
      <w:pPr>
        <w:spacing w:line="240" w:lineRule="auto"/>
        <w:jc w:val="left"/>
      </w:pPr>
    </w:p>
    <w:p w14:paraId="46A6FBBE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0F14835D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1004A5F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2331F235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4E25B0F9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17031282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676BC">
        <w:rPr>
          <w:rFonts w:asciiTheme="minorHAnsi" w:hAnsiTheme="minorHAnsi" w:cstheme="minorHAnsi"/>
          <w:sz w:val="18"/>
          <w:szCs w:val="18"/>
        </w:rPr>
        <w:t xml:space="preserve">Diese Leitlinie ist eine Grundlage für die Diagnostik und Therapie innerhalb </w:t>
      </w:r>
      <w:r w:rsidR="00155D10" w:rsidRPr="006676BC">
        <w:rPr>
          <w:rFonts w:asciiTheme="minorHAnsi" w:hAnsiTheme="minorHAnsi" w:cstheme="minorHAnsi"/>
          <w:sz w:val="18"/>
          <w:szCs w:val="18"/>
        </w:rPr>
        <w:t>des Tumorzentrums Oberösterreich</w:t>
      </w:r>
      <w:r w:rsidRPr="006676BC">
        <w:rPr>
          <w:rFonts w:asciiTheme="minorHAnsi" w:hAnsiTheme="minorHAnsi" w:cstheme="minorHAnsi"/>
          <w:sz w:val="18"/>
          <w:szCs w:val="18"/>
        </w:rPr>
        <w:t xml:space="preserve"> und erhebt nicht den Anspruch auf Vollständigkeit.</w:t>
      </w:r>
    </w:p>
    <w:p w14:paraId="6BE9B4BB" w14:textId="77777777" w:rsidR="00D02334" w:rsidRPr="006676BC" w:rsidRDefault="00D02334" w:rsidP="00D02334">
      <w:pPr>
        <w:spacing w:line="240" w:lineRule="auto"/>
        <w:jc w:val="both"/>
      </w:pPr>
      <w:r w:rsidRPr="006676BC">
        <w:rPr>
          <w:rFonts w:asciiTheme="minorHAnsi" w:hAnsiTheme="minorHAnsi" w:cstheme="minorHAnsi"/>
          <w:sz w:val="18"/>
          <w:szCs w:val="18"/>
        </w:rPr>
        <w:t>Darüberhinaus von den jeweiligen Fachgesellschaften festgelegte Qualitätsstandards sind dem Stand der Wissenschaft entsprechend enzubeziehen.</w:t>
      </w:r>
    </w:p>
    <w:p w14:paraId="7FC749EA" w14:textId="77777777" w:rsidR="00D02334" w:rsidRPr="006676BC" w:rsidRDefault="00D02334">
      <w:pPr>
        <w:spacing w:line="240" w:lineRule="auto"/>
        <w:jc w:val="left"/>
      </w:pPr>
    </w:p>
    <w:p w14:paraId="1B6B8A13" w14:textId="77777777" w:rsidR="00D02334" w:rsidRPr="006676BC" w:rsidRDefault="00D02334" w:rsidP="00D02334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  <w:sectPr w:rsidR="00D02334" w:rsidRPr="006676BC" w:rsidSect="001D11C7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871" w:right="1106" w:bottom="1134" w:left="1418" w:header="567" w:footer="403" w:gutter="0"/>
          <w:cols w:space="720"/>
        </w:sectPr>
      </w:pPr>
    </w:p>
    <w:sdt>
      <w:sdtPr>
        <w:rPr>
          <w:rFonts w:asciiTheme="minorHAnsi" w:eastAsia="Times New Roman" w:hAnsiTheme="minorHAnsi" w:cs="Times New Roman"/>
          <w:b w:val="0"/>
          <w:bCs w:val="0"/>
          <w:color w:val="auto"/>
          <w:szCs w:val="20"/>
          <w:lang w:val="de-DE" w:eastAsia="de-DE"/>
        </w:rPr>
        <w:id w:val="-1099178055"/>
        <w:docPartObj>
          <w:docPartGallery w:val="Table of Contents"/>
          <w:docPartUnique/>
        </w:docPartObj>
      </w:sdtPr>
      <w:sdtEndPr>
        <w:rPr>
          <w:rFonts w:ascii="Arial" w:hAnsi="Arial"/>
        </w:rPr>
      </w:sdtEndPr>
      <w:sdtContent>
        <w:p w14:paraId="079CBC52" w14:textId="77777777" w:rsidR="007F3064" w:rsidRPr="00BA5D35" w:rsidRDefault="007F3064" w:rsidP="007F3064">
          <w:pPr>
            <w:pStyle w:val="Inhaltsverzeichnisberschrift"/>
            <w:shd w:val="clear" w:color="auto" w:fill="FFFFFF" w:themeFill="background1"/>
            <w:rPr>
              <w:rFonts w:asciiTheme="minorHAnsi" w:hAnsiTheme="minorHAnsi" w:cstheme="minorHAnsi"/>
              <w:color w:val="auto"/>
              <w:sz w:val="28"/>
              <w:lang w:val="de-DE"/>
            </w:rPr>
          </w:pPr>
          <w:r w:rsidRPr="00BA5D35">
            <w:rPr>
              <w:rFonts w:asciiTheme="minorHAnsi" w:hAnsiTheme="minorHAnsi" w:cstheme="minorHAnsi"/>
              <w:color w:val="auto"/>
              <w:sz w:val="28"/>
              <w:lang w:val="de-DE"/>
            </w:rPr>
            <w:t>Inhaltsverzeichnis</w:t>
          </w:r>
        </w:p>
        <w:p w14:paraId="22F138DC" w14:textId="77777777" w:rsidR="007F3064" w:rsidRPr="00BA5D35" w:rsidRDefault="007F3064" w:rsidP="007F3064">
          <w:pPr>
            <w:rPr>
              <w:rFonts w:asciiTheme="minorHAnsi" w:hAnsiTheme="minorHAnsi" w:cstheme="minorHAnsi"/>
              <w:szCs w:val="22"/>
              <w:lang w:val="de-DE" w:eastAsia="de-AT"/>
            </w:rPr>
          </w:pPr>
        </w:p>
        <w:p w14:paraId="1B1F03B3" w14:textId="0E35049A" w:rsidR="00BA5D35" w:rsidRPr="00DB5B38" w:rsidRDefault="00822E5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r w:rsidRPr="00DB5B38">
            <w:rPr>
              <w:szCs w:val="22"/>
            </w:rPr>
            <w:fldChar w:fldCharType="begin"/>
          </w:r>
          <w:r w:rsidR="007F3064" w:rsidRPr="00DB5B38">
            <w:rPr>
              <w:szCs w:val="22"/>
            </w:rPr>
            <w:instrText xml:space="preserve"> TOC \o "1-3" \h \z \u </w:instrText>
          </w:r>
          <w:r w:rsidRPr="00DB5B38">
            <w:rPr>
              <w:szCs w:val="22"/>
            </w:rPr>
            <w:fldChar w:fldCharType="separate"/>
          </w:r>
          <w:hyperlink w:anchor="_Toc92971133" w:history="1">
            <w:r w:rsidR="00BA5D35" w:rsidRPr="00DB5B38">
              <w:rPr>
                <w:rStyle w:val="Hyperlink"/>
              </w:rPr>
              <w:t>1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Allgemeines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_Toc92971133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3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0FDDB136" w14:textId="337A0B62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34" w:history="1">
            <w:r w:rsidR="00BA5D35" w:rsidRPr="00DB5B38">
              <w:rPr>
                <w:rStyle w:val="Hyperlink"/>
              </w:rPr>
              <w:t>2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Diagnostik und Scoring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_Toc92971134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3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46E42D86" w14:textId="02D9F311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35" w:history="1">
            <w:r w:rsidR="00BA5D35" w:rsidRPr="00DB5B38">
              <w:rPr>
                <w:rStyle w:val="Hyperlink"/>
              </w:rPr>
              <w:t>2.1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Diagnostik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_Toc92971135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3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3AB33D67" w14:textId="73E88D49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36" w:history="1">
            <w:r w:rsidR="00BA5D35" w:rsidRPr="00DB5B38">
              <w:rPr>
                <w:rStyle w:val="Hyperlink"/>
              </w:rPr>
              <w:t>2.2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TNM Klassifikation des Urothelkarzinoms des oberen Harntrakts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_Toc92971136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5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09477C73" w14:textId="1AE78488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37" w:history="1">
            <w:r w:rsidR="00BA5D35" w:rsidRPr="00DB5B38">
              <w:rPr>
                <w:rStyle w:val="Hyperlink"/>
              </w:rPr>
              <w:t>2.3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WHO Grading 1973 sowie 2004/16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_Toc92971137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5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167E0E10" w14:textId="09F246AD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38" w:history="1">
            <w:r w:rsidR="00BA5D35" w:rsidRPr="00DB5B38">
              <w:rPr>
                <w:rStyle w:val="Hyperlink"/>
              </w:rPr>
              <w:t>3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Behandlungsplan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_Toc92971138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6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7CEE3DD2" w14:textId="28E1E5B5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39" w:history="1">
            <w:r w:rsidR="00BA5D35" w:rsidRPr="00DB5B38">
              <w:rPr>
                <w:rStyle w:val="Hyperlink"/>
              </w:rPr>
              <w:t>3.1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Transurethrale Resektion des Tumors (TURB)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_Toc92971139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6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5AC6A277" w14:textId="254EC6AE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40" w:history="1">
            <w:r w:rsidR="00BA5D35" w:rsidRPr="00DB5B38">
              <w:rPr>
                <w:rStyle w:val="Hyperlink"/>
              </w:rPr>
              <w:t>3.2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Nicht Muskel-Invasives Blasenkarzinom (NMIBC)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_Toc92971140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7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11538EC4" w14:textId="2355C73E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1" w:history="1">
            <w:r w:rsidR="00BA5D35" w:rsidRPr="00DB5B38">
              <w:rPr>
                <w:rStyle w:val="Hyperlink"/>
                <w:rFonts w:asciiTheme="minorHAnsi" w:hAnsiTheme="minorHAnsi"/>
                <w:noProof/>
                <w:lang w:val="en-GB"/>
              </w:rPr>
              <w:t>3.1.5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  <w:lang w:val="en-GB"/>
              </w:rPr>
              <w:t>International Bladder Cancer Group algorithm for the management of intermediate-risk non–muscle-invasive bladder cancer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_Toc92971141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11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D98BF62" w14:textId="527915B1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2" w:history="1">
            <w:r w:rsidR="00BA5D35" w:rsidRPr="00DB5B38">
              <w:rPr>
                <w:rStyle w:val="Hyperlink"/>
                <w:rFonts w:asciiTheme="minorHAnsi" w:hAnsiTheme="minorHAnsi"/>
                <w:noProof/>
              </w:rPr>
              <w:t>3.1.6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</w:rPr>
              <w:t>Definition des „BCG unresponsive Tumors“ (BCG Versager)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_Toc92971142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11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7F2E5B2" w14:textId="1E6F3829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3" w:history="1">
            <w:r w:rsidR="00BA5D35" w:rsidRPr="00DB5B38">
              <w:rPr>
                <w:rStyle w:val="Hyperlink"/>
                <w:rFonts w:asciiTheme="minorHAnsi" w:hAnsiTheme="minorHAnsi"/>
                <w:noProof/>
              </w:rPr>
              <w:t>3.1.7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</w:rPr>
              <w:t xml:space="preserve"> Therapieoptionen für BCG – unresponsive NMIBC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_Toc92971143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12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C62C85D" w14:textId="64EE8780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4" w:history="1">
            <w:r w:rsidR="00BA5D35" w:rsidRPr="00DB5B38">
              <w:rPr>
                <w:rStyle w:val="Hyperlink"/>
                <w:rFonts w:asciiTheme="minorHAnsi" w:hAnsiTheme="minorHAnsi"/>
                <w:noProof/>
              </w:rPr>
              <w:t>3.1.8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</w:rPr>
              <w:t xml:space="preserve"> BCG Shortage (EAU/AUA Empfehlungen)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_Toc92971144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13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34AD6470" w14:textId="4685634E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5" w:history="1">
            <w:r w:rsidR="00BA5D35" w:rsidRPr="00DB5B38">
              <w:rPr>
                <w:rStyle w:val="Hyperlink"/>
                <w:rFonts w:asciiTheme="minorHAnsi" w:hAnsiTheme="minorHAnsi"/>
                <w:noProof/>
              </w:rPr>
              <w:t xml:space="preserve">3.1.9 </w:t>
            </w:r>
            <w:r w:rsidR="00BA5D35" w:rsidRPr="00DB5B38">
              <w:rPr>
                <w:rStyle w:val="Hyperlink"/>
                <w:rFonts w:asciiTheme="minorHAnsi" w:hAnsiTheme="minorHAnsi"/>
                <w:noProof/>
              </w:rPr>
              <w:tab/>
              <w:t>Therapieoptionen für BCG-assoziierte lokale und systemische Nebenwirkungen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_Toc92971145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13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7AF2EF8E" w14:textId="5F3ED9B6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46" w:history="1">
            <w:r w:rsidR="00BA5D35" w:rsidRPr="00DB5B38">
              <w:rPr>
                <w:rStyle w:val="Hyperlink"/>
              </w:rPr>
              <w:t>3.2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Muskelinvasives Urothelkarzinom der Harnblase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_Toc92971146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15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54DD16BE" w14:textId="5C1422B5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7" w:history="1">
            <w:r w:rsidR="00BA5D35" w:rsidRPr="00DB5B38">
              <w:rPr>
                <w:rStyle w:val="Hyperlink"/>
                <w:rFonts w:asciiTheme="minorHAnsi" w:hAnsiTheme="minorHAnsi"/>
                <w:noProof/>
              </w:rPr>
              <w:t>3.2.1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</w:rPr>
              <w:t xml:space="preserve"> Management des cT2-4a cN0M0 Blasenkarzinoms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_Toc92971147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15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40BE501D" w14:textId="1DE70C71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48" w:history="1"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3.2.3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Blasenerhaltende Therapie des muskelinvasiven Urothelkarzinoms der Harnblase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_Toc92971148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16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60144140" w14:textId="149B96D1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49" w:history="1">
            <w:r w:rsidR="00BA5D35" w:rsidRPr="00DB5B38">
              <w:rPr>
                <w:rStyle w:val="Hyperlink"/>
              </w:rPr>
              <w:t>3.3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Urothelkarzinom des oberen Harntraktes - UTUC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_Toc92971149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17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0418107E" w14:textId="79898163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50" w:history="1"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3.3.1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Behandlungsalgorithmus UTUC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_Toc92971150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17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2A3D55E4" w14:textId="58DB7B70" w:rsidR="00BA5D35" w:rsidRPr="00DB5B38" w:rsidRDefault="00384979">
          <w:pPr>
            <w:pStyle w:val="Verzeichnis3"/>
            <w:rPr>
              <w:rFonts w:asciiTheme="minorHAnsi" w:eastAsiaTheme="minorEastAsia" w:hAnsiTheme="minorHAnsi" w:cstheme="minorBidi"/>
              <w:noProof/>
              <w:szCs w:val="22"/>
              <w:lang w:eastAsia="de-AT"/>
            </w:rPr>
          </w:pPr>
          <w:hyperlink w:anchor="_Toc92971151" w:history="1"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3.3.2</w:t>
            </w:r>
            <w:r w:rsidR="00BA5D35" w:rsidRPr="00DB5B38">
              <w:rPr>
                <w:rFonts w:asciiTheme="minorHAnsi" w:eastAsiaTheme="minorEastAsia" w:hAnsiTheme="minorHAnsi" w:cstheme="minorBidi"/>
                <w:noProof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rFonts w:asciiTheme="minorHAnsi" w:hAnsiTheme="minorHAnsi"/>
                <w:noProof/>
                <w:lang w:val="de-DE"/>
              </w:rPr>
              <w:t>Follow Up UTUC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tab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begin"/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instrText xml:space="preserve"> PAGEREF _Toc92971151 \h </w:instrText>
            </w:r>
            <w:r w:rsidR="00BA5D35" w:rsidRPr="00DB5B38">
              <w:rPr>
                <w:rFonts w:asciiTheme="minorHAnsi" w:hAnsiTheme="minorHAnsi"/>
                <w:noProof/>
                <w:webHidden/>
              </w:rPr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separate"/>
            </w:r>
            <w:r w:rsidR="00E506C7">
              <w:rPr>
                <w:rFonts w:asciiTheme="minorHAnsi" w:hAnsiTheme="minorHAnsi"/>
                <w:noProof/>
                <w:webHidden/>
              </w:rPr>
              <w:t>18</w:t>
            </w:r>
            <w:r w:rsidR="00BA5D35" w:rsidRPr="00DB5B38">
              <w:rPr>
                <w:rFonts w:asciiTheme="minorHAnsi" w:hAnsiTheme="minorHAnsi"/>
                <w:noProof/>
                <w:webHidden/>
              </w:rPr>
              <w:fldChar w:fldCharType="end"/>
            </w:r>
          </w:hyperlink>
        </w:p>
        <w:p w14:paraId="0E14D470" w14:textId="3E8F1C8A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52" w:history="1">
            <w:r w:rsidR="00BA5D35" w:rsidRPr="00DB5B38">
              <w:rPr>
                <w:rStyle w:val="Hyperlink"/>
              </w:rPr>
              <w:t>3.4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Metastasierte Urothelkarzinome der Harnblase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_Toc92971152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18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5026808A" w14:textId="1DFC0D80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53" w:history="1">
            <w:r w:rsidR="00BA5D35" w:rsidRPr="00DB5B38">
              <w:rPr>
                <w:rStyle w:val="Hyperlink"/>
              </w:rPr>
              <w:t>4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Besondere klinische Situationen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_Toc92971153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19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701DFC48" w14:textId="3E4A11C0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54" w:history="1">
            <w:r w:rsidR="00BA5D35" w:rsidRPr="00DB5B38">
              <w:rPr>
                <w:rStyle w:val="Hyperlink"/>
              </w:rPr>
              <w:t>5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Verlaufskontrolle und Nachsorge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_Toc92971154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19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4964414E" w14:textId="02615449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55" w:history="1">
            <w:r w:rsidR="00BA5D35" w:rsidRPr="00DB5B38">
              <w:rPr>
                <w:rStyle w:val="Hyperlink"/>
              </w:rPr>
              <w:t>5.1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Verlaufskontrolle und Nachsorge (mit schwacher EAU Empfehlung)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_Toc92971155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19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262A1D96" w14:textId="5C5B243C" w:rsidR="00BA5D35" w:rsidRPr="00DB5B38" w:rsidRDefault="00384979">
          <w:pPr>
            <w:pStyle w:val="Verzeichnis2"/>
            <w:rPr>
              <w:rFonts w:eastAsiaTheme="minorEastAsia" w:cstheme="minorBidi"/>
              <w:lang w:eastAsia="de-AT"/>
            </w:rPr>
          </w:pPr>
          <w:hyperlink w:anchor="_Toc92971156" w:history="1">
            <w:r w:rsidR="00BA5D35" w:rsidRPr="00DB5B38">
              <w:rPr>
                <w:rStyle w:val="Hyperlink"/>
                <w:lang w:val="en-GB"/>
              </w:rPr>
              <w:t>5.2</w:t>
            </w:r>
            <w:r w:rsidR="00BA5D35" w:rsidRPr="00DB5B38">
              <w:rPr>
                <w:rFonts w:eastAsiaTheme="minorEastAsia" w:cstheme="minorBidi"/>
                <w:lang w:eastAsia="de-AT"/>
              </w:rPr>
              <w:tab/>
            </w:r>
            <w:r w:rsidR="00BA5D35" w:rsidRPr="00DB5B38">
              <w:rPr>
                <w:rStyle w:val="Hyperlink"/>
                <w:lang w:val="en-GB"/>
              </w:rPr>
              <w:t>Follow up nach Zystectomie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_Toc92971156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20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38BDCB93" w14:textId="52149B30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57" w:history="1">
            <w:r w:rsidR="00BA5D35" w:rsidRPr="00DB5B38">
              <w:rPr>
                <w:rStyle w:val="Hyperlink"/>
                <w:lang w:val="en-GB"/>
              </w:rPr>
              <w:t>6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  <w:lang w:val="en-GB"/>
              </w:rPr>
              <w:t>Dokumentation und Qualitätsparameter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_Toc92971157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20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64379633" w14:textId="0ECF7A37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58" w:history="1">
            <w:r w:rsidR="00BA5D35" w:rsidRPr="00DB5B38">
              <w:rPr>
                <w:rStyle w:val="Hyperlink"/>
              </w:rPr>
              <w:t>7</w:t>
            </w:r>
            <w:r w:rsidR="00BA5D35" w:rsidRPr="00DB5B38">
              <w:rPr>
                <w:rFonts w:eastAsiaTheme="minorEastAsia" w:cstheme="minorBidi"/>
                <w:b w:val="0"/>
                <w:szCs w:val="22"/>
                <w:lang w:eastAsia="de-AT"/>
              </w:rPr>
              <w:tab/>
            </w:r>
            <w:r w:rsidR="00BA5D35" w:rsidRPr="00DB5B38">
              <w:rPr>
                <w:rStyle w:val="Hyperlink"/>
              </w:rPr>
              <w:t>Literatur/Quellenangaben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_Toc92971158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21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438A0D86" w14:textId="40A0B2AA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59" w:history="1">
            <w:r w:rsidR="00BA5D35" w:rsidRPr="00DB5B38">
              <w:rPr>
                <w:rStyle w:val="Hyperlink"/>
              </w:rPr>
              <w:t>Anhang: Therapieprotokolle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_Toc92971159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22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2235B635" w14:textId="1DB2BFB8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60" w:history="1">
            <w:r w:rsidR="00BA5D35" w:rsidRPr="00DB5B38">
              <w:rPr>
                <w:rStyle w:val="Hyperlink"/>
              </w:rPr>
              <w:t>Anhang: Studienblatt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_Toc92971160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23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019BD1A5" w14:textId="6C4D7DC4" w:rsidR="00BA5D35" w:rsidRPr="00DB5B38" w:rsidRDefault="00384979">
          <w:pPr>
            <w:pStyle w:val="Verzeichnis1"/>
            <w:rPr>
              <w:rFonts w:eastAsiaTheme="minorEastAsia" w:cstheme="minorBidi"/>
              <w:b w:val="0"/>
              <w:szCs w:val="22"/>
              <w:lang w:eastAsia="de-AT"/>
            </w:rPr>
          </w:pPr>
          <w:hyperlink w:anchor="_Toc92971161" w:history="1">
            <w:r w:rsidR="00BA5D35" w:rsidRPr="00DB5B38">
              <w:rPr>
                <w:rStyle w:val="Hyperlink"/>
              </w:rPr>
              <w:t>Anhang: Wirtschaftliche Analyse (optional)</w:t>
            </w:r>
            <w:r w:rsidR="00BA5D35" w:rsidRPr="00DB5B38">
              <w:rPr>
                <w:webHidden/>
              </w:rPr>
              <w:tab/>
            </w:r>
            <w:r w:rsidR="00BA5D35" w:rsidRPr="00DB5B38">
              <w:rPr>
                <w:webHidden/>
              </w:rPr>
              <w:fldChar w:fldCharType="begin"/>
            </w:r>
            <w:r w:rsidR="00BA5D35" w:rsidRPr="00DB5B38">
              <w:rPr>
                <w:webHidden/>
              </w:rPr>
              <w:instrText xml:space="preserve"> PAGEREF _Toc92971161 \h </w:instrText>
            </w:r>
            <w:r w:rsidR="00BA5D35" w:rsidRPr="00DB5B38">
              <w:rPr>
                <w:webHidden/>
              </w:rPr>
            </w:r>
            <w:r w:rsidR="00BA5D35" w:rsidRPr="00DB5B38">
              <w:rPr>
                <w:webHidden/>
              </w:rPr>
              <w:fldChar w:fldCharType="separate"/>
            </w:r>
            <w:r w:rsidR="00E506C7">
              <w:rPr>
                <w:webHidden/>
              </w:rPr>
              <w:t>23</w:t>
            </w:r>
            <w:r w:rsidR="00BA5D35" w:rsidRPr="00DB5B38">
              <w:rPr>
                <w:webHidden/>
              </w:rPr>
              <w:fldChar w:fldCharType="end"/>
            </w:r>
          </w:hyperlink>
        </w:p>
        <w:p w14:paraId="51C657DE" w14:textId="77777777" w:rsidR="007F3064" w:rsidRPr="006676BC" w:rsidRDefault="00822E59">
          <w:r w:rsidRPr="00DB5B38">
            <w:rPr>
              <w:rFonts w:asciiTheme="minorHAnsi" w:hAnsiTheme="minorHAnsi" w:cstheme="minorHAnsi"/>
              <w:b/>
              <w:bCs/>
              <w:szCs w:val="22"/>
              <w:lang w:val="de-DE"/>
            </w:rPr>
            <w:fldChar w:fldCharType="end"/>
          </w:r>
        </w:p>
      </w:sdtContent>
    </w:sdt>
    <w:p w14:paraId="4125D0F1" w14:textId="77777777" w:rsidR="007F3064" w:rsidRPr="006676BC" w:rsidRDefault="007F3064" w:rsidP="007F3064">
      <w:pPr>
        <w:jc w:val="left"/>
      </w:pPr>
    </w:p>
    <w:p w14:paraId="62CD8511" w14:textId="77777777" w:rsidR="006D4DAC" w:rsidRPr="00D40055" w:rsidRDefault="0049768A" w:rsidP="00F87B38">
      <w:pPr>
        <w:pStyle w:val="berschrift1"/>
        <w:numPr>
          <w:ilvl w:val="0"/>
          <w:numId w:val="12"/>
        </w:numPr>
      </w:pPr>
      <w:bookmarkStart w:id="0" w:name="_Toc92971133"/>
      <w:r w:rsidRPr="00D40055">
        <w:lastRenderedPageBreak/>
        <w:t>Allgemeines</w:t>
      </w:r>
      <w:bookmarkEnd w:id="0"/>
    </w:p>
    <w:p w14:paraId="0176BD03" w14:textId="77777777" w:rsidR="007B1972" w:rsidRPr="00D40055" w:rsidRDefault="007B1972" w:rsidP="007B197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 w:val="8"/>
          <w:szCs w:val="8"/>
        </w:rPr>
      </w:pPr>
    </w:p>
    <w:p w14:paraId="433DDBC7" w14:textId="77777777" w:rsidR="00F87B38" w:rsidRPr="00DB5B38" w:rsidRDefault="00F87B38" w:rsidP="00C25D5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DB5B38">
        <w:rPr>
          <w:rFonts w:asciiTheme="minorHAnsi" w:hAnsiTheme="minorHAnsi" w:cstheme="minorHAnsi"/>
          <w:b/>
          <w:szCs w:val="22"/>
        </w:rPr>
        <w:t>Epidemiologie</w:t>
      </w:r>
    </w:p>
    <w:p w14:paraId="37254A45" w14:textId="77777777" w:rsidR="00F87B38" w:rsidRPr="00DB5B38" w:rsidRDefault="00F87B38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 xml:space="preserve">90-95% Blasenkarzinome, 6. häufigstes Malignom, höchste Inzidenzen in Süd- und Westeuropa, Nordamerika </w:t>
      </w:r>
    </w:p>
    <w:p w14:paraId="2C9F0A5D" w14:textId="77777777" w:rsidR="00F87B38" w:rsidRPr="00DB5B38" w:rsidRDefault="00F87B38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 xml:space="preserve">Verteilung: 75% NMIBC; 15% der MIBC entwickeln sich von high risk NMIBC </w:t>
      </w:r>
    </w:p>
    <w:p w14:paraId="6C5D6EB2" w14:textId="77777777" w:rsidR="00F87B38" w:rsidRPr="00DB5B38" w:rsidRDefault="00F87B38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5-10% als UTUC (upper tract urothelial cancer); Nierenbecken doppelt so häufig wie Harnleiter; 17% mit synchronem Blasenkarzinom; 9% mit Lynch Syndrom assoziiert</w:t>
      </w:r>
    </w:p>
    <w:p w14:paraId="576C857E" w14:textId="77777777" w:rsidR="00F87B38" w:rsidRPr="00DB5B38" w:rsidRDefault="00F87B38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Risikofaktoren: Tabak (50% der Fälle), ionisierende Strahlen und aromatische Amine, Aristolochische Säure für UTUC (landwirtschaftl. Produkt), Alkohol</w:t>
      </w:r>
    </w:p>
    <w:p w14:paraId="794A2316" w14:textId="77777777" w:rsidR="00C25D53" w:rsidRPr="00DB5B38" w:rsidRDefault="00B865E1" w:rsidP="00B865E1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Signifikante Unterschiede in der Prävalenz genetischer Alterationen zwischen Primum der Blase und des oberen Harntraktes</w:t>
      </w:r>
    </w:p>
    <w:p w14:paraId="2C310DE9" w14:textId="77777777" w:rsidR="00B865E1" w:rsidRPr="00F87B38" w:rsidRDefault="00B865E1" w:rsidP="00B865E1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70EF747D" w14:textId="77777777" w:rsidR="006D4DAC" w:rsidRPr="006676BC" w:rsidRDefault="0049768A" w:rsidP="00C25D53">
      <w:pPr>
        <w:pStyle w:val="berschrift1"/>
        <w:numPr>
          <w:ilvl w:val="0"/>
          <w:numId w:val="12"/>
        </w:numPr>
      </w:pPr>
      <w:bookmarkStart w:id="1" w:name="_Toc92971134"/>
      <w:r w:rsidRPr="006676BC">
        <w:t>Diagnostik und Scoring</w:t>
      </w:r>
      <w:bookmarkEnd w:id="1"/>
    </w:p>
    <w:p w14:paraId="2D54DF3D" w14:textId="77777777" w:rsidR="00C25D53" w:rsidRPr="00C25D53" w:rsidRDefault="00C25D53" w:rsidP="00C25D53">
      <w:pPr>
        <w:pStyle w:val="berschrift2"/>
        <w:numPr>
          <w:ilvl w:val="1"/>
          <w:numId w:val="12"/>
        </w:numPr>
        <w:ind w:left="567" w:hanging="567"/>
      </w:pPr>
      <w:bookmarkStart w:id="2" w:name="_Toc92971135"/>
      <w:r w:rsidRPr="00C25D53">
        <w:t>Diagnostik</w:t>
      </w:r>
      <w:bookmarkEnd w:id="2"/>
    </w:p>
    <w:p w14:paraId="2C04FC81" w14:textId="77777777" w:rsidR="007B1972" w:rsidRPr="007B1972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szCs w:val="22"/>
        </w:rPr>
        <w:t>Anamnese</w:t>
      </w:r>
    </w:p>
    <w:p w14:paraId="5657B66E" w14:textId="77777777" w:rsidR="007B1972" w:rsidRPr="00DB5B38" w:rsidRDefault="00F87B38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Symptome: Hämaturie, Dysurie</w:t>
      </w:r>
    </w:p>
    <w:p w14:paraId="7DFE846E" w14:textId="77777777" w:rsidR="00F87B38" w:rsidRPr="00DB5B38" w:rsidRDefault="00F87B38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Endoskopie Blase: hohe Sensitivität bei papillären Tumoren, niedrige bei CIS; retrograde Pyelographie und/oder Uretherorenoskopie zur UTUC Diagnose (ggf. Biopsie)</w:t>
      </w:r>
    </w:p>
    <w:p w14:paraId="282B7470" w14:textId="77777777" w:rsidR="00F87B38" w:rsidRPr="00DB5B38" w:rsidRDefault="007B1972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Zytologie:</w:t>
      </w:r>
      <w:r w:rsidR="00F87B38" w:rsidRPr="00DB5B38">
        <w:rPr>
          <w:rFonts w:asciiTheme="minorHAnsi" w:hAnsiTheme="minorHAnsi" w:cstheme="minorHAnsi"/>
          <w:szCs w:val="22"/>
        </w:rPr>
        <w:t xml:space="preserve"> Spülzytologie mit hoher Sensitivität bei high grade Tumoren und CIS (84%), niedrige bei low grade (16%); hohe Rate an inkonklusiven Befunden</w:t>
      </w:r>
    </w:p>
    <w:p w14:paraId="261EA58F" w14:textId="77777777" w:rsidR="00F87B38" w:rsidRPr="00DB5B38" w:rsidRDefault="00F87B38" w:rsidP="00F87B38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Spülzytologie per URS sensitiver als Spontanharnzytologie bei UTUC (allerdings erhöhte Blasentumorinzidenz nach diagnostischer URS)</w:t>
      </w:r>
    </w:p>
    <w:p w14:paraId="00C2339F" w14:textId="77777777" w:rsidR="00F87B38" w:rsidRPr="007B1972" w:rsidRDefault="00F87B38" w:rsidP="00F87B3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szCs w:val="22"/>
        </w:rPr>
        <w:t>Bildgebung</w:t>
      </w:r>
      <w:r>
        <w:rPr>
          <w:rFonts w:asciiTheme="minorHAnsi" w:hAnsiTheme="minorHAnsi" w:cstheme="minorHAnsi"/>
          <w:szCs w:val="22"/>
        </w:rPr>
        <w:t>:</w:t>
      </w:r>
    </w:p>
    <w:p w14:paraId="354317FB" w14:textId="77777777" w:rsidR="00F87B38" w:rsidRPr="00566E32" w:rsidRDefault="00F87B38" w:rsidP="00F87B38">
      <w:pPr>
        <w:pStyle w:val="Textkrper-Einzug2"/>
        <w:numPr>
          <w:ilvl w:val="1"/>
          <w:numId w:val="3"/>
        </w:numPr>
        <w:spacing w:after="0" w:line="276" w:lineRule="auto"/>
        <w:ind w:left="993"/>
        <w:jc w:val="both"/>
        <w:rPr>
          <w:rFonts w:asciiTheme="minorHAnsi" w:hAnsiTheme="minorHAnsi" w:cstheme="minorHAnsi"/>
          <w:szCs w:val="22"/>
        </w:rPr>
      </w:pPr>
      <w:r w:rsidRPr="00566E32">
        <w:rPr>
          <w:rFonts w:asciiTheme="minorHAnsi" w:hAnsiTheme="minorHAnsi" w:cstheme="minorHAnsi"/>
          <w:szCs w:val="22"/>
        </w:rPr>
        <w:t>Lokale Sonograhie</w:t>
      </w:r>
    </w:p>
    <w:p w14:paraId="69FBBB05" w14:textId="7119A5DD" w:rsidR="00F87B38" w:rsidRPr="00566E32" w:rsidRDefault="00F87B38" w:rsidP="00F87B38">
      <w:pPr>
        <w:pStyle w:val="Textkrper-Einzug2"/>
        <w:numPr>
          <w:ilvl w:val="1"/>
          <w:numId w:val="3"/>
        </w:numPr>
        <w:spacing w:after="0" w:line="276" w:lineRule="auto"/>
        <w:ind w:left="993"/>
        <w:jc w:val="both"/>
        <w:rPr>
          <w:rFonts w:asciiTheme="minorHAnsi" w:hAnsiTheme="minorHAnsi" w:cstheme="minorHAnsi"/>
          <w:szCs w:val="22"/>
        </w:rPr>
      </w:pPr>
      <w:r w:rsidRPr="00566E32">
        <w:rPr>
          <w:rFonts w:asciiTheme="minorHAnsi" w:hAnsiTheme="minorHAnsi" w:cstheme="minorHAnsi"/>
          <w:szCs w:val="22"/>
        </w:rPr>
        <w:t>Staging CT (Thorax, Abdomen mit Exkretionsphase, Abklärung oberer Harntrakt bei HG UC und CIS der Blase</w:t>
      </w:r>
    </w:p>
    <w:p w14:paraId="7942950E" w14:textId="77777777" w:rsidR="00F87B38" w:rsidRPr="00566E32" w:rsidRDefault="00F87B38" w:rsidP="00F87B38">
      <w:pPr>
        <w:pStyle w:val="Textkrper-Einzug2"/>
        <w:numPr>
          <w:ilvl w:val="1"/>
          <w:numId w:val="3"/>
        </w:numPr>
        <w:spacing w:after="0" w:line="276" w:lineRule="auto"/>
        <w:ind w:left="993"/>
        <w:jc w:val="both"/>
        <w:rPr>
          <w:rFonts w:asciiTheme="minorHAnsi" w:hAnsiTheme="minorHAnsi" w:cstheme="minorHAnsi"/>
          <w:szCs w:val="22"/>
        </w:rPr>
      </w:pPr>
      <w:r w:rsidRPr="00566E32">
        <w:rPr>
          <w:rFonts w:asciiTheme="minorHAnsi" w:hAnsiTheme="minorHAnsi" w:cstheme="minorHAnsi"/>
          <w:szCs w:val="22"/>
        </w:rPr>
        <w:t>MRT (RT, OP-Planung)</w:t>
      </w:r>
    </w:p>
    <w:p w14:paraId="0A5D2157" w14:textId="11D8A371" w:rsidR="00F87B38" w:rsidRPr="00566E32" w:rsidRDefault="00F87B38" w:rsidP="00F87B38">
      <w:pPr>
        <w:pStyle w:val="Textkrper-Einzug2"/>
        <w:numPr>
          <w:ilvl w:val="1"/>
          <w:numId w:val="3"/>
        </w:numPr>
        <w:spacing w:after="0" w:line="276" w:lineRule="auto"/>
        <w:ind w:left="993"/>
        <w:jc w:val="both"/>
        <w:rPr>
          <w:rFonts w:asciiTheme="minorHAnsi" w:hAnsiTheme="minorHAnsi" w:cstheme="minorHAnsi"/>
          <w:szCs w:val="22"/>
        </w:rPr>
      </w:pPr>
      <w:r w:rsidRPr="00566E32">
        <w:rPr>
          <w:rFonts w:asciiTheme="minorHAnsi" w:hAnsiTheme="minorHAnsi" w:cstheme="minorHAnsi"/>
          <w:szCs w:val="22"/>
        </w:rPr>
        <w:t xml:space="preserve">FDG-PET-CT </w:t>
      </w:r>
      <w:r w:rsidR="00DB5B38" w:rsidRPr="00566E32">
        <w:rPr>
          <w:rFonts w:asciiTheme="minorHAnsi" w:hAnsiTheme="minorHAnsi" w:cstheme="minorHAnsi"/>
          <w:szCs w:val="22"/>
        </w:rPr>
        <w:t xml:space="preserve">im Restaging nach NAC vor Zystektomie mit </w:t>
      </w:r>
      <w:r w:rsidRPr="00566E32">
        <w:rPr>
          <w:rFonts w:asciiTheme="minorHAnsi" w:hAnsiTheme="minorHAnsi" w:cstheme="minorHAnsi"/>
          <w:szCs w:val="22"/>
        </w:rPr>
        <w:t>hohe</w:t>
      </w:r>
      <w:r w:rsidR="00DB5B38" w:rsidRPr="00566E32">
        <w:rPr>
          <w:rFonts w:asciiTheme="minorHAnsi" w:hAnsiTheme="minorHAnsi" w:cstheme="minorHAnsi"/>
          <w:szCs w:val="22"/>
        </w:rPr>
        <w:t>r</w:t>
      </w:r>
      <w:r w:rsidRPr="00566E32">
        <w:rPr>
          <w:rFonts w:asciiTheme="minorHAnsi" w:hAnsiTheme="minorHAnsi" w:cstheme="minorHAnsi"/>
          <w:szCs w:val="22"/>
        </w:rPr>
        <w:t xml:space="preserve"> Spezifität für Detektion von LK-/Fernmetastasen</w:t>
      </w:r>
    </w:p>
    <w:p w14:paraId="31D4C5C5" w14:textId="7C491957" w:rsidR="007B1972" w:rsidRPr="007B1972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szCs w:val="22"/>
        </w:rPr>
        <w:t xml:space="preserve">Molekulare Urin-Marker: </w:t>
      </w:r>
      <w:r w:rsidR="00DB5B38">
        <w:rPr>
          <w:rFonts w:asciiTheme="minorHAnsi" w:hAnsiTheme="minorHAnsi" w:cstheme="minorHAnsi"/>
          <w:szCs w:val="22"/>
        </w:rPr>
        <w:t xml:space="preserve"> </w:t>
      </w:r>
    </w:p>
    <w:p w14:paraId="4AB3F520" w14:textId="5F6B959E" w:rsidR="00F87B38" w:rsidRPr="00DB5B38" w:rsidRDefault="00292692" w:rsidP="00292692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               </w:t>
      </w:r>
      <w:r w:rsidR="00F87B38" w:rsidRPr="00DB5B38">
        <w:rPr>
          <w:rFonts w:asciiTheme="minorHAnsi" w:hAnsiTheme="minorHAnsi" w:cstheme="minorHAnsi"/>
          <w:szCs w:val="22"/>
        </w:rPr>
        <w:t>Keine Leitlinienempfehlung</w:t>
      </w:r>
    </w:p>
    <w:p w14:paraId="74CFAF4D" w14:textId="77777777" w:rsidR="007B1972" w:rsidRPr="00DB5B38" w:rsidRDefault="00F87B38" w:rsidP="00E07CDE">
      <w:pPr>
        <w:pStyle w:val="Textkrper-Einzug2"/>
        <w:numPr>
          <w:ilvl w:val="1"/>
          <w:numId w:val="3"/>
        </w:numPr>
        <w:spacing w:after="0" w:line="276" w:lineRule="auto"/>
        <w:ind w:left="993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</w:rPr>
        <w:t>Hohe Sensitivität und NPV für EpiCheck, ADX Bladder und Xpertbladder monitor als Follow-Up-Tool nebst Zystoskopie</w:t>
      </w:r>
    </w:p>
    <w:p w14:paraId="5E8525A4" w14:textId="77777777" w:rsidR="007B1972" w:rsidRDefault="007B1972" w:rsidP="007B1972"/>
    <w:p w14:paraId="3501EA68" w14:textId="77777777" w:rsidR="007B1972" w:rsidRPr="007B1972" w:rsidRDefault="007B1972" w:rsidP="007B197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b/>
          <w:szCs w:val="22"/>
        </w:rPr>
        <w:t>Standardisierte Befundung der Zytologie nach dem Pariser Working Group System 2016</w:t>
      </w:r>
      <w:r w:rsidRPr="007B1972">
        <w:rPr>
          <w:rFonts w:asciiTheme="minorHAnsi" w:hAnsiTheme="minorHAnsi" w:cstheme="minorHAnsi"/>
          <w:szCs w:val="22"/>
        </w:rPr>
        <w:t>:</w:t>
      </w:r>
    </w:p>
    <w:p w14:paraId="258A6BDA" w14:textId="77777777" w:rsidR="007B1972" w:rsidRPr="007B1972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GB"/>
        </w:rPr>
      </w:pPr>
      <w:r w:rsidRPr="007B1972">
        <w:rPr>
          <w:rFonts w:asciiTheme="minorHAnsi" w:hAnsiTheme="minorHAnsi" w:cstheme="minorHAnsi"/>
          <w:szCs w:val="22"/>
          <w:lang w:val="en-GB"/>
        </w:rPr>
        <w:t>adequacy of urine specimens (Adequacy);</w:t>
      </w:r>
    </w:p>
    <w:p w14:paraId="4A585C64" w14:textId="77777777" w:rsidR="007B1972" w:rsidRPr="00D40055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GB"/>
        </w:rPr>
      </w:pPr>
      <w:r w:rsidRPr="00D40055">
        <w:rPr>
          <w:rFonts w:asciiTheme="minorHAnsi" w:hAnsiTheme="minorHAnsi" w:cstheme="minorHAnsi"/>
          <w:szCs w:val="22"/>
          <w:lang w:val="en-GB"/>
        </w:rPr>
        <w:t>negative for high-grade urothelial carcinoma (Negative);</w:t>
      </w:r>
    </w:p>
    <w:p w14:paraId="3ADD4C22" w14:textId="77777777" w:rsidR="007B1972" w:rsidRPr="007B1972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szCs w:val="22"/>
        </w:rPr>
        <w:t>atypical urothelial cells (AUC);</w:t>
      </w:r>
    </w:p>
    <w:p w14:paraId="56BE8C17" w14:textId="77777777" w:rsidR="007B1972" w:rsidRPr="00D40055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GB"/>
        </w:rPr>
      </w:pPr>
      <w:r w:rsidRPr="00D40055">
        <w:rPr>
          <w:rFonts w:asciiTheme="minorHAnsi" w:hAnsiTheme="minorHAnsi" w:cstheme="minorHAnsi"/>
          <w:szCs w:val="22"/>
          <w:lang w:val="en-GB"/>
        </w:rPr>
        <w:t>suspicious for high-grade urothelial carcinoma (Suspicious);</w:t>
      </w:r>
    </w:p>
    <w:p w14:paraId="67114317" w14:textId="77777777" w:rsidR="007B1972" w:rsidRPr="00D40055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GB"/>
        </w:rPr>
      </w:pPr>
      <w:r w:rsidRPr="00D40055">
        <w:rPr>
          <w:rFonts w:asciiTheme="minorHAnsi" w:hAnsiTheme="minorHAnsi" w:cstheme="minorHAnsi"/>
          <w:szCs w:val="22"/>
          <w:lang w:val="en-GB"/>
        </w:rPr>
        <w:t xml:space="preserve">high-grade urothelial carcinoma (HGUC); </w:t>
      </w:r>
    </w:p>
    <w:p w14:paraId="1C47C969" w14:textId="77777777" w:rsidR="007B1972" w:rsidRPr="007B1972" w:rsidRDefault="007B1972" w:rsidP="00E07CDE">
      <w:pPr>
        <w:pStyle w:val="Textkrper-Einzug2"/>
        <w:numPr>
          <w:ilvl w:val="0"/>
          <w:numId w:val="3"/>
        </w:numPr>
        <w:spacing w:line="276" w:lineRule="auto"/>
        <w:ind w:left="284" w:hanging="284"/>
        <w:jc w:val="both"/>
        <w:rPr>
          <w:rFonts w:asciiTheme="minorHAnsi" w:hAnsiTheme="minorHAnsi" w:cstheme="minorHAnsi"/>
          <w:szCs w:val="22"/>
          <w:lang w:val="en-GB"/>
        </w:rPr>
      </w:pPr>
      <w:r w:rsidRPr="007B1972">
        <w:rPr>
          <w:rFonts w:asciiTheme="minorHAnsi" w:hAnsiTheme="minorHAnsi" w:cstheme="minorHAnsi"/>
          <w:szCs w:val="22"/>
          <w:lang w:val="en-GB"/>
        </w:rPr>
        <w:t>low-grade urothelial neoplasia (LGUN).</w:t>
      </w:r>
    </w:p>
    <w:p w14:paraId="090684E2" w14:textId="77777777" w:rsidR="007B1972" w:rsidRPr="007B1972" w:rsidRDefault="007B1972" w:rsidP="007B197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7B1972">
        <w:rPr>
          <w:rFonts w:asciiTheme="minorHAnsi" w:hAnsiTheme="minorHAnsi" w:cstheme="minorHAnsi"/>
          <w:szCs w:val="22"/>
        </w:rPr>
        <w:t>Verdächtige Probe erfordert Wiederholung der Untersuchung</w:t>
      </w:r>
      <w:r w:rsidR="00971105">
        <w:rPr>
          <w:rFonts w:asciiTheme="minorHAnsi" w:hAnsiTheme="minorHAnsi" w:cstheme="minorHAnsi"/>
          <w:szCs w:val="22"/>
        </w:rPr>
        <w:t>.</w:t>
      </w:r>
    </w:p>
    <w:p w14:paraId="5A248D5E" w14:textId="77777777" w:rsidR="007B1972" w:rsidRDefault="007B1972" w:rsidP="007B1972"/>
    <w:p w14:paraId="6D26B6B4" w14:textId="77777777" w:rsidR="00C25D53" w:rsidRPr="00C25D53" w:rsidRDefault="00C25D53" w:rsidP="00C25D5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highlight w:val="yellow"/>
        </w:rPr>
      </w:pPr>
      <w:r w:rsidRPr="00292692">
        <w:rPr>
          <w:rFonts w:asciiTheme="minorHAnsi" w:hAnsiTheme="minorHAnsi" w:cstheme="minorHAnsi"/>
          <w:b/>
          <w:szCs w:val="22"/>
        </w:rPr>
        <w:lastRenderedPageBreak/>
        <w:t xml:space="preserve">Häufigste </w:t>
      </w:r>
      <w:r w:rsidRPr="00C25D53">
        <w:rPr>
          <w:rFonts w:asciiTheme="minorHAnsi" w:hAnsiTheme="minorHAnsi" w:cstheme="minorHAnsi"/>
          <w:b/>
          <w:szCs w:val="22"/>
        </w:rPr>
        <w:t>Varianten des Urothelkarzinoms der Blase</w:t>
      </w:r>
    </w:p>
    <w:p w14:paraId="013C0C95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  <w:lang w:val="en-US"/>
        </w:rPr>
      </w:pPr>
      <w:r w:rsidRPr="007B1972">
        <w:rPr>
          <w:rFonts w:asciiTheme="minorHAnsi" w:hAnsiTheme="minorHAnsi" w:cstheme="minorHAnsi"/>
          <w:color w:val="2C2B2B"/>
          <w:szCs w:val="22"/>
          <w:lang w:val="en-US"/>
        </w:rPr>
        <w:t>urothelial carcinoma (more than 90% of all cases);</w:t>
      </w:r>
    </w:p>
    <w:p w14:paraId="77BB66E6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  <w:lang w:val="en-US"/>
        </w:rPr>
      </w:pPr>
      <w:r w:rsidRPr="007B1972">
        <w:rPr>
          <w:rFonts w:asciiTheme="minorHAnsi" w:hAnsiTheme="minorHAnsi" w:cstheme="minorHAnsi"/>
          <w:color w:val="2C2B2B"/>
          <w:szCs w:val="22"/>
          <w:lang w:val="en-US"/>
        </w:rPr>
        <w:t>urothelial carcinomas with partial squamous and/or glandular or trophoblastic differentiation;</w:t>
      </w:r>
    </w:p>
    <w:p w14:paraId="6B677D4A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</w:rPr>
      </w:pPr>
      <w:r w:rsidRPr="007B1972">
        <w:rPr>
          <w:rFonts w:asciiTheme="minorHAnsi" w:hAnsiTheme="minorHAnsi" w:cstheme="minorHAnsi"/>
          <w:color w:val="2C2B2B"/>
          <w:szCs w:val="22"/>
        </w:rPr>
        <w:t>micropapillary urothelial carcinoma;</w:t>
      </w:r>
    </w:p>
    <w:p w14:paraId="7C3E6F4C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  <w:lang w:val="en-US"/>
        </w:rPr>
      </w:pPr>
      <w:r w:rsidRPr="007B1972">
        <w:rPr>
          <w:rFonts w:asciiTheme="minorHAnsi" w:hAnsiTheme="minorHAnsi" w:cstheme="minorHAnsi"/>
          <w:color w:val="2C2B2B"/>
          <w:szCs w:val="22"/>
          <w:lang w:val="en-US"/>
        </w:rPr>
        <w:t>nested variant (including large nested variant) and microcystic urothelial carcinoma;</w:t>
      </w:r>
    </w:p>
    <w:p w14:paraId="0240BAB6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  <w:lang w:val="en-US"/>
        </w:rPr>
      </w:pPr>
      <w:r w:rsidRPr="007B1972">
        <w:rPr>
          <w:rFonts w:asciiTheme="minorHAnsi" w:hAnsiTheme="minorHAnsi" w:cstheme="minorHAnsi"/>
          <w:color w:val="2C2B2B"/>
          <w:szCs w:val="22"/>
          <w:lang w:val="en-US"/>
        </w:rPr>
        <w:t>plasmocytoid, giant cell, signet ring, diffuse, undifferentiated;</w:t>
      </w:r>
    </w:p>
    <w:p w14:paraId="08479497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</w:rPr>
      </w:pPr>
      <w:r w:rsidRPr="007B1972">
        <w:rPr>
          <w:rFonts w:asciiTheme="minorHAnsi" w:hAnsiTheme="minorHAnsi" w:cstheme="minorHAnsi"/>
          <w:color w:val="2C2B2B"/>
          <w:szCs w:val="22"/>
        </w:rPr>
        <w:t>lymphoepithelioma-like;</w:t>
      </w:r>
    </w:p>
    <w:p w14:paraId="3D1C0860" w14:textId="7777777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  <w:lang w:val="en-US"/>
        </w:rPr>
      </w:pPr>
      <w:r w:rsidRPr="007B1972">
        <w:rPr>
          <w:rFonts w:asciiTheme="minorHAnsi" w:hAnsiTheme="minorHAnsi" w:cstheme="minorHAnsi"/>
          <w:color w:val="2C2B2B"/>
          <w:szCs w:val="22"/>
          <w:lang w:val="en-US"/>
        </w:rPr>
        <w:t>some urothelial carcinomas with other rare differentiation;</w:t>
      </w:r>
    </w:p>
    <w:p w14:paraId="777A1916" w14:textId="6CD28B17" w:rsidR="00C25D53" w:rsidRPr="007B1972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</w:rPr>
      </w:pPr>
      <w:r w:rsidRPr="007B1972">
        <w:rPr>
          <w:rFonts w:asciiTheme="minorHAnsi" w:hAnsiTheme="minorHAnsi" w:cstheme="minorHAnsi"/>
          <w:color w:val="2C2B2B"/>
          <w:szCs w:val="22"/>
        </w:rPr>
        <w:t>small-cell carcinomas;</w:t>
      </w:r>
    </w:p>
    <w:p w14:paraId="22216A30" w14:textId="77777777" w:rsidR="00C25D53" w:rsidRDefault="00C25D53" w:rsidP="004D2BA0">
      <w:pPr>
        <w:numPr>
          <w:ilvl w:val="0"/>
          <w:numId w:val="11"/>
        </w:numPr>
        <w:spacing w:line="276" w:lineRule="auto"/>
        <w:ind w:left="714" w:hanging="357"/>
        <w:jc w:val="left"/>
        <w:textAlignment w:val="baseline"/>
        <w:rPr>
          <w:rFonts w:asciiTheme="minorHAnsi" w:hAnsiTheme="minorHAnsi" w:cstheme="minorHAnsi"/>
          <w:color w:val="2C2B2B"/>
          <w:szCs w:val="22"/>
        </w:rPr>
      </w:pPr>
      <w:r w:rsidRPr="007B1972">
        <w:rPr>
          <w:rFonts w:asciiTheme="minorHAnsi" w:hAnsiTheme="minorHAnsi" w:cstheme="minorHAnsi"/>
          <w:color w:val="2C2B2B"/>
          <w:szCs w:val="22"/>
        </w:rPr>
        <w:t>sarcomatoid urothelial carcinoma</w:t>
      </w:r>
    </w:p>
    <w:p w14:paraId="76F37D64" w14:textId="77777777" w:rsidR="00B865E1" w:rsidRDefault="00B865E1" w:rsidP="00B865E1">
      <w:pPr>
        <w:spacing w:line="276" w:lineRule="auto"/>
        <w:jc w:val="left"/>
        <w:textAlignment w:val="baseline"/>
        <w:rPr>
          <w:rFonts w:asciiTheme="minorHAnsi" w:hAnsiTheme="minorHAnsi" w:cstheme="minorHAnsi"/>
          <w:color w:val="2C2B2B"/>
          <w:szCs w:val="22"/>
        </w:rPr>
      </w:pPr>
    </w:p>
    <w:p w14:paraId="761E49E1" w14:textId="77777777" w:rsidR="00B865E1" w:rsidRPr="00B865E1" w:rsidRDefault="00B865E1" w:rsidP="00B865E1">
      <w:pPr>
        <w:pStyle w:val="berschrift2"/>
        <w:numPr>
          <w:ilvl w:val="1"/>
          <w:numId w:val="12"/>
        </w:numPr>
        <w:ind w:left="567" w:hanging="567"/>
      </w:pPr>
      <w:r>
        <w:t>TNM Klassifikation des Urothelkarzinoms der Blase</w:t>
      </w:r>
    </w:p>
    <w:tbl>
      <w:tblPr>
        <w:tblW w:w="999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710"/>
        <w:gridCol w:w="8646"/>
      </w:tblGrid>
      <w:tr w:rsidR="00B865E1" w14:paraId="79A6CAD0" w14:textId="77777777" w:rsidTr="00B865E1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0533F4" w14:textId="77777777" w:rsidR="00B865E1" w:rsidRPr="00B865E1" w:rsidRDefault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</w:pPr>
            <w:r w:rsidRPr="00B865E1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T - Primary Tumour</w:t>
            </w:r>
          </w:p>
        </w:tc>
      </w:tr>
      <w:tr w:rsidR="00B865E1" w:rsidRPr="00384979" w14:paraId="4D1CBA8B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BF9018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Tx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079CF1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Primary tumour cannot be assessed</w:t>
            </w:r>
          </w:p>
        </w:tc>
      </w:tr>
      <w:tr w:rsidR="00B865E1" w:rsidRPr="00384979" w14:paraId="0DEB5B36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22D3D09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T0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8B7A9A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No evidence of primary tumour</w:t>
            </w:r>
          </w:p>
        </w:tc>
      </w:tr>
      <w:tr w:rsidR="00B865E1" w14:paraId="09A696A2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16E470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Ta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464A8C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Non-invasive papillary carcinoma</w:t>
            </w:r>
          </w:p>
        </w:tc>
      </w:tr>
      <w:tr w:rsidR="00B865E1" w:rsidRPr="00384979" w14:paraId="3B1D8E50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ED7A0D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Tis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701D36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Carcinoma </w:t>
            </w:r>
            <w:r w:rsidRPr="00B865E1">
              <w:rPr>
                <w:rStyle w:val="bodytekstitalic"/>
                <w:rFonts w:asciiTheme="minorHAnsi" w:hAnsiTheme="minorHAnsi" w:cstheme="minorHAnsi"/>
                <w:i/>
                <w:iCs/>
                <w:color w:val="2C2B2B"/>
                <w:sz w:val="20"/>
                <w:bdr w:val="none" w:sz="0" w:space="0" w:color="auto" w:frame="1"/>
                <w:lang w:val="en-GB"/>
              </w:rPr>
              <w:t>in situ</w:t>
            </w: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: “flat tumour”</w:t>
            </w:r>
          </w:p>
        </w:tc>
      </w:tr>
      <w:tr w:rsidR="00B865E1" w:rsidRPr="00384979" w14:paraId="59DA0DC4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E969E7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T1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90B0C3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subepithelial connective tissue</w:t>
            </w:r>
          </w:p>
        </w:tc>
      </w:tr>
      <w:tr w:rsidR="00B865E1" w14:paraId="2F0F9702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4F0BBF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T2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82554E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Tumour invades muscle</w:t>
            </w:r>
          </w:p>
        </w:tc>
      </w:tr>
      <w:tr w:rsidR="00B865E1" w:rsidRPr="00384979" w14:paraId="19B6104D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21035E" w14:textId="77777777" w:rsid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8AE63F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T2a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AFC219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superficial muscle (inner half)</w:t>
            </w:r>
          </w:p>
        </w:tc>
      </w:tr>
      <w:tr w:rsidR="00B865E1" w:rsidRPr="00384979" w14:paraId="63B81259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9C2965" w14:textId="77777777" w:rsidR="00B865E1" w:rsidRP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  <w:lang w:val="en-GB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9ECF637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T2b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AE4C76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deep muscle (outer half)</w:t>
            </w:r>
          </w:p>
        </w:tc>
      </w:tr>
      <w:tr w:rsidR="00B865E1" w14:paraId="3A999975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A4C51D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T3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2AA8C6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Tumour invades perivesical tissue:</w:t>
            </w:r>
          </w:p>
        </w:tc>
      </w:tr>
      <w:tr w:rsidR="00B865E1" w14:paraId="602ADD4B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A0FC24" w14:textId="77777777" w:rsid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7F5B45E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T3a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1531F8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microscopically</w:t>
            </w:r>
          </w:p>
        </w:tc>
      </w:tr>
      <w:tr w:rsidR="00B865E1" w14:paraId="2063DAB5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787D28" w14:textId="77777777" w:rsid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664B7D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T3b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6AB9BA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macroscopically (extravesical mass)</w:t>
            </w:r>
          </w:p>
        </w:tc>
      </w:tr>
      <w:tr w:rsidR="00B865E1" w:rsidRPr="00384979" w14:paraId="13878654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1CA05D5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T4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4E7912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any of the following: prostate stroma, seminal vesicles, uterus, vagina, pelvic wall, abdominal wall</w:t>
            </w:r>
          </w:p>
        </w:tc>
      </w:tr>
      <w:tr w:rsidR="00B865E1" w:rsidRPr="00384979" w14:paraId="411A7C3E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38EF60" w14:textId="77777777" w:rsidR="00B865E1" w:rsidRP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  <w:lang w:val="en-GB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0440BD2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T4a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8637E1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prostate stroma, seminal vesicles, uterus, or vagina</w:t>
            </w:r>
          </w:p>
        </w:tc>
      </w:tr>
      <w:tr w:rsidR="00B865E1" w:rsidRPr="00384979" w14:paraId="0D19393D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01D37A2" w14:textId="77777777" w:rsidR="00B865E1" w:rsidRP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  <w:lang w:val="en-GB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EC04E9" w14:textId="77777777" w:rsidR="00B865E1" w:rsidRPr="00B865E1" w:rsidRDefault="00B865E1" w:rsidP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T4b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854E49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pelvic wall or abdominal wall</w:t>
            </w:r>
          </w:p>
        </w:tc>
      </w:tr>
      <w:tr w:rsidR="00B865E1" w14:paraId="1F6834D0" w14:textId="77777777" w:rsidTr="00B865E1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B59029" w14:textId="77777777" w:rsidR="00B865E1" w:rsidRPr="00B865E1" w:rsidRDefault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N - Regional Lymph Nodes</w:t>
            </w:r>
          </w:p>
        </w:tc>
      </w:tr>
      <w:tr w:rsidR="00B865E1" w:rsidRPr="00384979" w14:paraId="30893F31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BEC0B6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Nx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F40C50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Regional lymph nodes cannot be assessed</w:t>
            </w:r>
          </w:p>
        </w:tc>
      </w:tr>
      <w:tr w:rsidR="00B865E1" w:rsidRPr="00384979" w14:paraId="5DE8135D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4A0462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N0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96E550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No regional lymph node metastasis</w:t>
            </w:r>
          </w:p>
        </w:tc>
      </w:tr>
      <w:tr w:rsidR="00B865E1" w:rsidRPr="00384979" w14:paraId="41E2CA23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3BC6CE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N1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469585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Metastasis in a single lymph node in the true pelvis (hypogastric, obturator, external iliac, or presacral)</w:t>
            </w:r>
          </w:p>
        </w:tc>
      </w:tr>
      <w:tr w:rsidR="00B865E1" w:rsidRPr="00384979" w14:paraId="1C515570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716ABF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N2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18E68B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Metastasis in multiple regional lymph nodes in the true pelvis (hypogastric, obturator, external iliac, or presacral)</w:t>
            </w:r>
          </w:p>
        </w:tc>
      </w:tr>
      <w:tr w:rsidR="00B865E1" w:rsidRPr="00384979" w14:paraId="4B326123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4775BD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N3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7CBB84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Metastasis in a common iliac lymph node(s)</w:t>
            </w:r>
          </w:p>
        </w:tc>
      </w:tr>
      <w:tr w:rsidR="00B865E1" w14:paraId="3CF408CD" w14:textId="77777777" w:rsidTr="00B865E1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C55FAB" w14:textId="77777777" w:rsidR="00B865E1" w:rsidRPr="00B865E1" w:rsidRDefault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</w:pPr>
            <w:r w:rsidRPr="00B865E1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M - Distant Metastasis</w:t>
            </w:r>
          </w:p>
        </w:tc>
      </w:tr>
      <w:tr w:rsidR="00B865E1" w14:paraId="346CDC85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02669A" w14:textId="77777777" w:rsidR="00B865E1" w:rsidRDefault="00B865E1">
            <w:pPr>
              <w:spacing w:line="270" w:lineRule="atLeast"/>
              <w:textAlignment w:val="baseline"/>
              <w:rPr>
                <w:rFonts w:ascii="Helvetica" w:hAnsi="Helvetica" w:cs="Helvetica"/>
                <w:color w:val="2C2B2B"/>
                <w:sz w:val="17"/>
                <w:szCs w:val="17"/>
              </w:rPr>
            </w:pPr>
            <w:r>
              <w:rPr>
                <w:rFonts w:ascii="Helvetica" w:hAnsi="Helvetica" w:cs="Helvetica"/>
                <w:color w:val="2C2B2B"/>
                <w:sz w:val="17"/>
                <w:szCs w:val="17"/>
              </w:rPr>
              <w:t>M0</w:t>
            </w:r>
          </w:p>
        </w:tc>
        <w:tc>
          <w:tcPr>
            <w:tcW w:w="4679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C2722BF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No distant metastasis</w:t>
            </w:r>
          </w:p>
        </w:tc>
      </w:tr>
      <w:tr w:rsidR="00B865E1" w14:paraId="639DB915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5499C8" w14:textId="77777777" w:rsid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9C61B9" w14:textId="77777777" w:rsidR="00B865E1" w:rsidRPr="00B865E1" w:rsidRDefault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M1a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5DEEC4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Non-regional lymph nodes</w:t>
            </w:r>
          </w:p>
        </w:tc>
      </w:tr>
      <w:tr w:rsidR="00B865E1" w14:paraId="4C8E5F46" w14:textId="77777777" w:rsidTr="00B865E1">
        <w:tc>
          <w:tcPr>
            <w:tcW w:w="32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D23957" w14:textId="77777777" w:rsidR="00B865E1" w:rsidRDefault="00B865E1">
            <w:pPr>
              <w:rPr>
                <w:rFonts w:ascii="Helvetica" w:hAnsi="Helvetica" w:cs="Helvetica"/>
                <w:color w:val="2C2B2B"/>
                <w:sz w:val="17"/>
                <w:szCs w:val="17"/>
              </w:rPr>
            </w:pPr>
          </w:p>
        </w:tc>
        <w:tc>
          <w:tcPr>
            <w:tcW w:w="35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EE88DB" w14:textId="77777777" w:rsidR="00B865E1" w:rsidRPr="00B865E1" w:rsidRDefault="00B865E1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M1b</w:t>
            </w:r>
          </w:p>
        </w:tc>
        <w:tc>
          <w:tcPr>
            <w:tcW w:w="432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539FB" w14:textId="77777777" w:rsidR="00B865E1" w:rsidRPr="00B865E1" w:rsidRDefault="00B865E1" w:rsidP="00B865E1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B865E1">
              <w:rPr>
                <w:rFonts w:asciiTheme="minorHAnsi" w:hAnsiTheme="minorHAnsi" w:cstheme="minorHAnsi"/>
                <w:color w:val="2C2B2B"/>
                <w:sz w:val="20"/>
              </w:rPr>
              <w:t>Other distant metastasis</w:t>
            </w:r>
          </w:p>
        </w:tc>
      </w:tr>
    </w:tbl>
    <w:p w14:paraId="0CE9DB79" w14:textId="77777777" w:rsidR="007B1972" w:rsidRPr="00292692" w:rsidRDefault="007B1972" w:rsidP="00E07CDE">
      <w:pPr>
        <w:pStyle w:val="berschrift2"/>
        <w:numPr>
          <w:ilvl w:val="1"/>
          <w:numId w:val="12"/>
        </w:numPr>
        <w:ind w:left="567" w:hanging="567"/>
      </w:pPr>
      <w:bookmarkStart w:id="3" w:name="_Toc92971136"/>
      <w:r w:rsidRPr="00292692">
        <w:lastRenderedPageBreak/>
        <w:t xml:space="preserve">TNM Klassifikation des Urothelkarzinoms </w:t>
      </w:r>
      <w:r w:rsidR="00D55214" w:rsidRPr="00292692">
        <w:t>des oberen Harntrakts</w:t>
      </w:r>
      <w:bookmarkEnd w:id="3"/>
    </w:p>
    <w:p w14:paraId="029558AC" w14:textId="77777777" w:rsidR="007B1972" w:rsidRPr="00292692" w:rsidRDefault="007B1972" w:rsidP="007B1972">
      <w:pPr>
        <w:rPr>
          <w:sz w:val="8"/>
          <w:szCs w:val="8"/>
        </w:rPr>
      </w:pPr>
    </w:p>
    <w:tbl>
      <w:tblPr>
        <w:tblW w:w="100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3"/>
        <w:gridCol w:w="707"/>
        <w:gridCol w:w="8728"/>
      </w:tblGrid>
      <w:tr w:rsidR="007B1972" w:rsidRPr="00292692" w14:paraId="20E86A32" w14:textId="77777777" w:rsidTr="00D55214">
        <w:tc>
          <w:tcPr>
            <w:tcW w:w="5000" w:type="pct"/>
            <w:gridSpan w:val="3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777C4D" w14:textId="77777777" w:rsidR="007B1972" w:rsidRPr="00292692" w:rsidRDefault="007B1972" w:rsidP="00342146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T - Primary tumour</w:t>
            </w:r>
          </w:p>
        </w:tc>
      </w:tr>
      <w:tr w:rsidR="007B1972" w:rsidRPr="00384979" w14:paraId="419767E4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3ED0F1" w14:textId="77777777" w:rsidR="007B1972" w:rsidRPr="00292692" w:rsidRDefault="007B1972" w:rsidP="00342146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TX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E259AE" w14:textId="77777777" w:rsidR="007B1972" w:rsidRPr="00292692" w:rsidRDefault="007B1972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Primary tumour cannot be assessed</w:t>
            </w:r>
          </w:p>
        </w:tc>
      </w:tr>
      <w:tr w:rsidR="007B1972" w:rsidRPr="00384979" w14:paraId="57FCE440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795D15" w14:textId="77777777" w:rsidR="007B1972" w:rsidRPr="00292692" w:rsidRDefault="007B1972" w:rsidP="00342146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T0</w:t>
            </w:r>
          </w:p>
        </w:tc>
        <w:tc>
          <w:tcPr>
            <w:tcW w:w="4681" w:type="pct"/>
            <w:gridSpan w:val="2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F4E4DE" w14:textId="77777777" w:rsidR="007B1972" w:rsidRPr="00292692" w:rsidRDefault="007B1972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No evidence of primary tumour</w:t>
            </w:r>
          </w:p>
        </w:tc>
      </w:tr>
      <w:tr w:rsidR="00D55214" w:rsidRPr="00292692" w14:paraId="1626B9A4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CD4FA8" w14:textId="77777777" w:rsidR="00D55214" w:rsidRPr="00292692" w:rsidRDefault="00D55214" w:rsidP="00342146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</w:p>
        </w:tc>
        <w:tc>
          <w:tcPr>
            <w:tcW w:w="351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E75A2CB" w14:textId="77777777" w:rsidR="00D55214" w:rsidRPr="00292692" w:rsidRDefault="00D55214" w:rsidP="00342146">
            <w:pPr>
              <w:spacing w:line="270" w:lineRule="atLeast"/>
              <w:ind w:left="285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Ta</w:t>
            </w:r>
          </w:p>
        </w:tc>
        <w:tc>
          <w:tcPr>
            <w:tcW w:w="4330" w:type="pct"/>
            <w:shd w:val="clear" w:color="auto" w:fill="F2F2F2" w:themeFill="background1" w:themeFillShade="F2"/>
          </w:tcPr>
          <w:p w14:paraId="71F31983" w14:textId="77777777" w:rsidR="00D55214" w:rsidRPr="00292692" w:rsidRDefault="00D55214" w:rsidP="00D55214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 xml:space="preserve">     Non-invasive papillary carcinoma</w:t>
            </w:r>
          </w:p>
        </w:tc>
      </w:tr>
      <w:tr w:rsidR="00D55214" w:rsidRPr="00292692" w14:paraId="0F877FA8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AC9694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</w:p>
        </w:tc>
        <w:tc>
          <w:tcPr>
            <w:tcW w:w="351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1988FB" w14:textId="77777777" w:rsidR="00D55214" w:rsidRPr="00292692" w:rsidRDefault="00D55214" w:rsidP="00D55214">
            <w:pPr>
              <w:spacing w:line="270" w:lineRule="atLeast"/>
              <w:ind w:left="285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Tis</w:t>
            </w:r>
          </w:p>
        </w:tc>
        <w:tc>
          <w:tcPr>
            <w:tcW w:w="4330" w:type="pct"/>
            <w:shd w:val="clear" w:color="auto" w:fill="FFFFFF"/>
          </w:tcPr>
          <w:p w14:paraId="1CA8B72A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 xml:space="preserve">     Carcinoma </w:t>
            </w:r>
            <w:r w:rsidRPr="00292692">
              <w:rPr>
                <w:rFonts w:asciiTheme="minorHAnsi" w:hAnsiTheme="minorHAnsi" w:cstheme="minorHAnsi"/>
                <w:iCs/>
                <w:color w:val="2C2B2B"/>
                <w:sz w:val="20"/>
                <w:bdr w:val="none" w:sz="0" w:space="0" w:color="auto" w:frame="1"/>
                <w:lang w:val="en-GB"/>
              </w:rPr>
              <w:t>in situ</w:t>
            </w:r>
          </w:p>
        </w:tc>
      </w:tr>
      <w:tr w:rsidR="00D55214" w:rsidRPr="00384979" w14:paraId="256E3C4B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3908C0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T1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119AD9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GB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GB"/>
              </w:rPr>
              <w:t>Tumour invades subepithelial connective tissue</w:t>
            </w:r>
          </w:p>
        </w:tc>
      </w:tr>
      <w:tr w:rsidR="00D55214" w:rsidRPr="00292692" w14:paraId="4D09F7CE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0BCB56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T2</w:t>
            </w:r>
          </w:p>
        </w:tc>
        <w:tc>
          <w:tcPr>
            <w:tcW w:w="4681" w:type="pct"/>
            <w:gridSpan w:val="2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845DAA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Tumour invades muscularis</w:t>
            </w:r>
          </w:p>
        </w:tc>
      </w:tr>
      <w:tr w:rsidR="00D55214" w:rsidRPr="00384979" w14:paraId="28747F08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748AC2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T3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FBDDB1" w14:textId="77777777" w:rsidR="00D55214" w:rsidRPr="00292692" w:rsidRDefault="00D55214" w:rsidP="00D55214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(Renal pelvis) Tumour invades beyond muscularis into peripelvic fat or renal parenchyma </w:t>
            </w: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br/>
              <w:t>(Ureter) Tumour invades beyond muscularis into periureteric fat</w:t>
            </w:r>
          </w:p>
        </w:tc>
      </w:tr>
      <w:tr w:rsidR="00D55214" w:rsidRPr="00384979" w14:paraId="1FBC975A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3A246F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T4</w:t>
            </w:r>
          </w:p>
        </w:tc>
        <w:tc>
          <w:tcPr>
            <w:tcW w:w="4681" w:type="pct"/>
            <w:gridSpan w:val="2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947797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Tumour invades adjacent organs or through the kidney into perinephric fat</w:t>
            </w:r>
          </w:p>
        </w:tc>
      </w:tr>
      <w:tr w:rsidR="00D55214" w:rsidRPr="00292692" w14:paraId="278C19EA" w14:textId="77777777" w:rsidTr="00D55214">
        <w:tc>
          <w:tcPr>
            <w:tcW w:w="5000" w:type="pct"/>
            <w:gridSpan w:val="3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0713B7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N – Regional lymph nodes</w:t>
            </w:r>
          </w:p>
        </w:tc>
      </w:tr>
      <w:tr w:rsidR="00D55214" w:rsidRPr="00384979" w14:paraId="7BB309AF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CAF5F5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NX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4A8A93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Regional lymph nodes cannot be assessed</w:t>
            </w:r>
          </w:p>
        </w:tc>
      </w:tr>
      <w:tr w:rsidR="00D55214" w:rsidRPr="00384979" w14:paraId="4AF1AD40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876813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N0</w:t>
            </w:r>
          </w:p>
        </w:tc>
        <w:tc>
          <w:tcPr>
            <w:tcW w:w="4681" w:type="pct"/>
            <w:gridSpan w:val="2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BB07126" w14:textId="77777777" w:rsidR="00D55214" w:rsidRPr="00292692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No regional lymph node metastasis</w:t>
            </w:r>
          </w:p>
        </w:tc>
      </w:tr>
      <w:tr w:rsidR="00D55214" w:rsidRPr="00384979" w14:paraId="231F4696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490400D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N1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CF5F75C" w14:textId="77777777" w:rsidR="00D55214" w:rsidRPr="00292692" w:rsidRDefault="00D55214" w:rsidP="00D55214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Metastasis in a single lymph node 2cm or less in the greatest dimension</w:t>
            </w:r>
          </w:p>
        </w:tc>
      </w:tr>
      <w:tr w:rsidR="00D55214" w:rsidRPr="00384979" w14:paraId="4A746AD6" w14:textId="77777777" w:rsidTr="00B865E1">
        <w:tc>
          <w:tcPr>
            <w:tcW w:w="319" w:type="pct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E3AAE2" w14:textId="77777777" w:rsidR="00D55214" w:rsidRPr="00292692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</w:rPr>
              <w:t>N2</w:t>
            </w:r>
          </w:p>
        </w:tc>
        <w:tc>
          <w:tcPr>
            <w:tcW w:w="4681" w:type="pct"/>
            <w:gridSpan w:val="2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61F5108" w14:textId="77777777" w:rsidR="00D55214" w:rsidRPr="00292692" w:rsidRDefault="00D55214" w:rsidP="00D55214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Metastasis in a single lymph node more than 2cm, or multiple lymph nodes</w:t>
            </w:r>
          </w:p>
        </w:tc>
      </w:tr>
      <w:tr w:rsidR="00D55214" w:rsidRPr="00971105" w14:paraId="24614EE5" w14:textId="77777777" w:rsidTr="00D55214">
        <w:tc>
          <w:tcPr>
            <w:tcW w:w="5000" w:type="pct"/>
            <w:gridSpan w:val="3"/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3376CB" w14:textId="77777777" w:rsidR="00D55214" w:rsidRPr="00971105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4"/>
                <w:szCs w:val="24"/>
              </w:rPr>
              <w:t>M - Distant metastasis</w:t>
            </w:r>
          </w:p>
        </w:tc>
      </w:tr>
      <w:tr w:rsidR="00D55214" w:rsidRPr="00971105" w14:paraId="2D159C9F" w14:textId="77777777" w:rsidTr="00B865E1">
        <w:tc>
          <w:tcPr>
            <w:tcW w:w="319" w:type="pct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1C787D" w14:textId="77777777" w:rsidR="00D55214" w:rsidRPr="00971105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971105">
              <w:rPr>
                <w:rFonts w:asciiTheme="minorHAnsi" w:hAnsiTheme="minorHAnsi" w:cstheme="minorHAnsi"/>
                <w:color w:val="2C2B2B"/>
                <w:sz w:val="20"/>
              </w:rPr>
              <w:t>M0</w:t>
            </w:r>
          </w:p>
        </w:tc>
        <w:tc>
          <w:tcPr>
            <w:tcW w:w="4681" w:type="pct"/>
            <w:gridSpan w:val="2"/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473053" w14:textId="77777777" w:rsidR="00D55214" w:rsidRPr="00971105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971105">
              <w:rPr>
                <w:rFonts w:asciiTheme="minorHAnsi" w:hAnsiTheme="minorHAnsi" w:cstheme="minorHAnsi"/>
                <w:color w:val="2C2B2B"/>
                <w:sz w:val="20"/>
              </w:rPr>
              <w:t>No distant metastasis</w:t>
            </w:r>
          </w:p>
        </w:tc>
      </w:tr>
      <w:tr w:rsidR="00D55214" w:rsidRPr="00971105" w14:paraId="58677E13" w14:textId="77777777" w:rsidTr="00B865E1">
        <w:tc>
          <w:tcPr>
            <w:tcW w:w="319" w:type="pct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2649A4" w14:textId="77777777" w:rsidR="00D55214" w:rsidRDefault="00D55214" w:rsidP="00D55214">
            <w:pPr>
              <w:spacing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>
              <w:rPr>
                <w:rFonts w:asciiTheme="minorHAnsi" w:hAnsiTheme="minorHAnsi" w:cstheme="minorHAnsi"/>
                <w:color w:val="2C2B2B"/>
                <w:sz w:val="20"/>
              </w:rPr>
              <w:t>M1</w:t>
            </w:r>
          </w:p>
        </w:tc>
        <w:tc>
          <w:tcPr>
            <w:tcW w:w="4681" w:type="pct"/>
            <w:gridSpan w:val="2"/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3F62A" w14:textId="77777777" w:rsidR="00D55214" w:rsidRPr="00971105" w:rsidRDefault="00D55214" w:rsidP="00D55214">
            <w:pPr>
              <w:spacing w:line="270" w:lineRule="atLeast"/>
              <w:jc w:val="both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>
              <w:rPr>
                <w:rFonts w:asciiTheme="minorHAnsi" w:hAnsiTheme="minorHAnsi" w:cstheme="minorHAnsi"/>
                <w:color w:val="2C2B2B"/>
                <w:sz w:val="20"/>
              </w:rPr>
              <w:t>Distant metastasis</w:t>
            </w:r>
          </w:p>
        </w:tc>
      </w:tr>
    </w:tbl>
    <w:p w14:paraId="155C906C" w14:textId="77777777" w:rsidR="007B1972" w:rsidRPr="004D2BA0" w:rsidRDefault="007B1972" w:rsidP="007B1972">
      <w:pPr>
        <w:rPr>
          <w:sz w:val="8"/>
          <w:szCs w:val="8"/>
        </w:rPr>
      </w:pPr>
    </w:p>
    <w:p w14:paraId="1B1D39D5" w14:textId="77777777" w:rsidR="007B1972" w:rsidRDefault="009A56A9" w:rsidP="00E07CDE">
      <w:pPr>
        <w:pStyle w:val="berschrift2"/>
        <w:numPr>
          <w:ilvl w:val="1"/>
          <w:numId w:val="12"/>
        </w:numPr>
        <w:ind w:left="567" w:hanging="567"/>
      </w:pPr>
      <w:bookmarkStart w:id="4" w:name="_Toc92971137"/>
      <w:r>
        <w:t>WHO Grading 1973 sowie 2004/16</w:t>
      </w:r>
      <w:bookmarkEnd w:id="4"/>
    </w:p>
    <w:p w14:paraId="4B405581" w14:textId="77777777" w:rsidR="007B1972" w:rsidRPr="00342146" w:rsidRDefault="007B1972" w:rsidP="009A56A9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342146">
        <w:rPr>
          <w:rFonts w:asciiTheme="minorHAnsi" w:hAnsiTheme="minorHAnsi" w:cstheme="minorHAnsi"/>
          <w:b/>
          <w:szCs w:val="22"/>
        </w:rPr>
        <w:t>1973 WHO grading</w:t>
      </w:r>
    </w:p>
    <w:p w14:paraId="7E1D0762" w14:textId="77777777" w:rsidR="007B1972" w:rsidRPr="009A56A9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9A56A9">
        <w:rPr>
          <w:rFonts w:asciiTheme="minorHAnsi" w:hAnsiTheme="minorHAnsi" w:cstheme="minorHAnsi"/>
          <w:szCs w:val="22"/>
        </w:rPr>
        <w:t>Grade 1: well differentiated</w:t>
      </w:r>
    </w:p>
    <w:p w14:paraId="3AB12C6B" w14:textId="77777777" w:rsidR="007B1972" w:rsidRPr="009A56A9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9A56A9">
        <w:rPr>
          <w:rFonts w:asciiTheme="minorHAnsi" w:hAnsiTheme="minorHAnsi" w:cstheme="minorHAnsi"/>
          <w:szCs w:val="22"/>
        </w:rPr>
        <w:t>Grade 2: moderately differentiated</w:t>
      </w:r>
    </w:p>
    <w:p w14:paraId="3A01DB6A" w14:textId="77777777" w:rsidR="007B1972" w:rsidRPr="009A56A9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9A56A9">
        <w:rPr>
          <w:rFonts w:asciiTheme="minorHAnsi" w:hAnsiTheme="minorHAnsi" w:cstheme="minorHAnsi"/>
          <w:szCs w:val="22"/>
        </w:rPr>
        <w:t>Grade 3: poorly differentiated</w:t>
      </w:r>
    </w:p>
    <w:p w14:paraId="744B437A" w14:textId="77777777" w:rsidR="007B1972" w:rsidRPr="00342146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 w:val="8"/>
          <w:szCs w:val="8"/>
        </w:rPr>
      </w:pPr>
    </w:p>
    <w:p w14:paraId="06689496" w14:textId="77777777" w:rsidR="007B1972" w:rsidRPr="009A56A9" w:rsidRDefault="007B1972" w:rsidP="009A56A9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342146">
        <w:rPr>
          <w:rFonts w:asciiTheme="minorHAnsi" w:hAnsiTheme="minorHAnsi" w:cstheme="minorHAnsi"/>
          <w:b/>
          <w:szCs w:val="22"/>
          <w:lang w:val="en-GB"/>
        </w:rPr>
        <w:t>2004/2016 WHO grading system</w:t>
      </w:r>
      <w:r w:rsidRPr="009A56A9">
        <w:rPr>
          <w:rFonts w:asciiTheme="minorHAnsi" w:hAnsiTheme="minorHAnsi" w:cstheme="minorHAnsi"/>
          <w:szCs w:val="22"/>
          <w:lang w:val="en-GB"/>
        </w:rPr>
        <w:t> (papillary lesions)</w:t>
      </w:r>
    </w:p>
    <w:p w14:paraId="7518FC4E" w14:textId="77777777" w:rsidR="007B1972" w:rsidRPr="009A56A9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  <w:r w:rsidRPr="009A56A9">
        <w:rPr>
          <w:rFonts w:asciiTheme="minorHAnsi" w:hAnsiTheme="minorHAnsi" w:cstheme="minorHAnsi"/>
          <w:szCs w:val="22"/>
          <w:lang w:val="en-GB"/>
        </w:rPr>
        <w:t>Papillary urothelial neoplasm of low malignant potential (PUNLMP)</w:t>
      </w:r>
    </w:p>
    <w:p w14:paraId="5A9436EB" w14:textId="77777777" w:rsidR="007B1972" w:rsidRPr="009A56A9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  <w:r w:rsidRPr="009A56A9">
        <w:rPr>
          <w:rFonts w:asciiTheme="minorHAnsi" w:hAnsiTheme="minorHAnsi" w:cstheme="minorHAnsi"/>
          <w:szCs w:val="22"/>
          <w:lang w:val="en-GB"/>
        </w:rPr>
        <w:t>Low-grade (LG) papillary urothelial carcinoma</w:t>
      </w:r>
    </w:p>
    <w:p w14:paraId="030BB582" w14:textId="77777777" w:rsidR="007B1972" w:rsidRDefault="007B1972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  <w:r w:rsidRPr="009A56A9">
        <w:rPr>
          <w:rFonts w:asciiTheme="minorHAnsi" w:hAnsiTheme="minorHAnsi" w:cstheme="minorHAnsi"/>
          <w:szCs w:val="22"/>
          <w:lang w:val="en-GB"/>
        </w:rPr>
        <w:t>High-grade (HG) papillary urothelial carcinoma</w:t>
      </w:r>
    </w:p>
    <w:p w14:paraId="733EF16C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50C0BB17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0CD63FB2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12563714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108BC293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5CB43FBE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09FE3AA9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791D28AD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6EAE7965" w14:textId="77777777" w:rsidR="007D30DE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3673FDF8" w14:textId="77777777" w:rsidR="007D30DE" w:rsidRPr="009A56A9" w:rsidRDefault="007D30DE" w:rsidP="009A56A9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</w:p>
    <w:p w14:paraId="1AE2EAB0" w14:textId="77777777" w:rsidR="006D4DAC" w:rsidRPr="006676BC" w:rsidRDefault="00F443D5" w:rsidP="00F443D5">
      <w:pPr>
        <w:pStyle w:val="berschrift1"/>
      </w:pPr>
      <w:bookmarkStart w:id="5" w:name="_Toc92971138"/>
      <w:bookmarkStart w:id="6" w:name="_Toc367183617"/>
      <w:bookmarkStart w:id="7" w:name="_Toc367183855"/>
      <w:r w:rsidRPr="006676BC">
        <w:lastRenderedPageBreak/>
        <w:t>3</w:t>
      </w:r>
      <w:r w:rsidRPr="006676BC">
        <w:tab/>
      </w:r>
      <w:r w:rsidR="006D4DAC" w:rsidRPr="006676BC">
        <w:t>Behandlungsplan</w:t>
      </w:r>
      <w:bookmarkEnd w:id="5"/>
      <w:r w:rsidR="006D4DAC" w:rsidRPr="006676BC">
        <w:t xml:space="preserve"> </w:t>
      </w:r>
      <w:bookmarkEnd w:id="6"/>
      <w:bookmarkEnd w:id="7"/>
    </w:p>
    <w:p w14:paraId="0E522261" w14:textId="77777777" w:rsidR="00342146" w:rsidRDefault="00342146" w:rsidP="00152F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bCs/>
          <w:sz w:val="8"/>
          <w:szCs w:val="8"/>
          <w:u w:val="single"/>
        </w:rPr>
      </w:pPr>
    </w:p>
    <w:p w14:paraId="7FFD9ECD" w14:textId="77777777" w:rsidR="00152F3E" w:rsidRPr="004D2BA0" w:rsidRDefault="004D2BA0" w:rsidP="004D2BA0">
      <w:pPr>
        <w:pStyle w:val="berschrift2"/>
        <w:numPr>
          <w:ilvl w:val="0"/>
          <w:numId w:val="0"/>
        </w:numPr>
        <w:ind w:left="576" w:hanging="576"/>
      </w:pPr>
      <w:bookmarkStart w:id="8" w:name="_Toc92971139"/>
      <w:r>
        <w:t>3.1</w:t>
      </w:r>
      <w:r>
        <w:tab/>
      </w:r>
      <w:r w:rsidR="003B5DF6" w:rsidRPr="004D2BA0">
        <w:t>Transurethrale Resektion des Tumors</w:t>
      </w:r>
      <w:r w:rsidR="00FE2DE2" w:rsidRPr="004D2BA0">
        <w:t xml:space="preserve"> (TURB)</w:t>
      </w:r>
      <w:bookmarkEnd w:id="8"/>
    </w:p>
    <w:p w14:paraId="3FC22E2F" w14:textId="4A0B6978" w:rsidR="00152F3E" w:rsidRPr="006676BC" w:rsidRDefault="00152F3E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Der O</w:t>
      </w:r>
      <w:r w:rsidR="00EE1ADB" w:rsidRPr="006676BC">
        <w:rPr>
          <w:rFonts w:asciiTheme="minorHAnsi" w:hAnsiTheme="minorHAnsi" w:cstheme="minorHAnsi"/>
          <w:szCs w:val="22"/>
        </w:rPr>
        <w:t>P</w:t>
      </w:r>
      <w:r w:rsidRPr="006676BC">
        <w:rPr>
          <w:rFonts w:asciiTheme="minorHAnsi" w:hAnsiTheme="minorHAnsi" w:cstheme="minorHAnsi"/>
          <w:szCs w:val="22"/>
        </w:rPr>
        <w:t xml:space="preserve">-Bericht sollte </w:t>
      </w:r>
      <w:r w:rsidRPr="00566E32">
        <w:rPr>
          <w:rFonts w:asciiTheme="minorHAnsi" w:hAnsiTheme="minorHAnsi" w:cstheme="minorHAnsi"/>
          <w:szCs w:val="22"/>
        </w:rPr>
        <w:t xml:space="preserve">Tumorlokalisation, Aussehen, </w:t>
      </w:r>
      <w:r w:rsidR="00292692" w:rsidRPr="00566E32">
        <w:rPr>
          <w:rFonts w:asciiTheme="minorHAnsi" w:hAnsiTheme="minorHAnsi" w:cstheme="minorHAnsi"/>
          <w:szCs w:val="22"/>
        </w:rPr>
        <w:t xml:space="preserve">klinischen Eindruck einer Muskelinvasivität, </w:t>
      </w:r>
      <w:r w:rsidRPr="00566E32">
        <w:rPr>
          <w:rFonts w:asciiTheme="minorHAnsi" w:hAnsiTheme="minorHAnsi" w:cstheme="minorHAnsi"/>
          <w:szCs w:val="22"/>
        </w:rPr>
        <w:t xml:space="preserve">Größe und Multifokalität, </w:t>
      </w:r>
      <w:r w:rsidR="00292692" w:rsidRPr="00566E32">
        <w:rPr>
          <w:rFonts w:asciiTheme="minorHAnsi" w:hAnsiTheme="minorHAnsi" w:cstheme="minorHAnsi"/>
          <w:szCs w:val="22"/>
        </w:rPr>
        <w:t xml:space="preserve">die klinisch bimanuelle Untersuchung sowie </w:t>
      </w:r>
      <w:r w:rsidRPr="00566E32">
        <w:rPr>
          <w:rFonts w:asciiTheme="minorHAnsi" w:hAnsiTheme="minorHAnsi" w:cstheme="minorHAnsi"/>
          <w:szCs w:val="22"/>
        </w:rPr>
        <w:t>alle Schritte der OP und das Ausmaß und Komplettheit der Resektion beeinhalten</w:t>
      </w:r>
      <w:r w:rsidRPr="006676BC">
        <w:rPr>
          <w:rFonts w:asciiTheme="minorHAnsi" w:hAnsiTheme="minorHAnsi" w:cstheme="minorHAnsi"/>
          <w:szCs w:val="22"/>
        </w:rPr>
        <w:t>.</w:t>
      </w:r>
    </w:p>
    <w:p w14:paraId="1772A9E7" w14:textId="77777777" w:rsidR="00152F3E" w:rsidRPr="006676BC" w:rsidRDefault="00152F3E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Biopsie der prostat</w:t>
      </w:r>
      <w:r w:rsidR="00EE1ADB" w:rsidRPr="006676BC">
        <w:rPr>
          <w:rFonts w:asciiTheme="minorHAnsi" w:hAnsiTheme="minorHAnsi" w:cstheme="minorHAnsi"/>
          <w:szCs w:val="22"/>
        </w:rPr>
        <w:t>ischen Harnröhre bei blasenhals</w:t>
      </w:r>
      <w:r w:rsidRPr="006676BC">
        <w:rPr>
          <w:rFonts w:asciiTheme="minorHAnsi" w:hAnsiTheme="minorHAnsi" w:cstheme="minorHAnsi"/>
          <w:szCs w:val="22"/>
        </w:rPr>
        <w:t xml:space="preserve">nahen Tumoren, suspizierten CIS, positiver Spülzytologie ohne sichtbaren Tumor und </w:t>
      </w:r>
      <w:r w:rsidR="00EE1ADB" w:rsidRPr="006676BC">
        <w:rPr>
          <w:rFonts w:asciiTheme="minorHAnsi" w:hAnsiTheme="minorHAnsi" w:cstheme="minorHAnsi"/>
          <w:szCs w:val="22"/>
        </w:rPr>
        <w:t>b</w:t>
      </w:r>
      <w:r w:rsidRPr="006676BC">
        <w:rPr>
          <w:rFonts w:asciiTheme="minorHAnsi" w:hAnsiTheme="minorHAnsi" w:cstheme="minorHAnsi"/>
          <w:szCs w:val="22"/>
        </w:rPr>
        <w:t>ei Veränderungen der prostatischen Harnröhre.</w:t>
      </w:r>
    </w:p>
    <w:p w14:paraId="24ECBAD1" w14:textId="77777777" w:rsidR="00152F3E" w:rsidRPr="006676BC" w:rsidRDefault="00152F3E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Verwendung von Methoden zur Verbesserung der Visualisierung (Fluoreszenz-Zystoskopie, Narrow band imaging)</w:t>
      </w:r>
      <w:r w:rsidR="00EE1ADB" w:rsidRPr="006676BC">
        <w:rPr>
          <w:rFonts w:asciiTheme="minorHAnsi" w:hAnsiTheme="minorHAnsi" w:cstheme="minorHAnsi"/>
          <w:szCs w:val="22"/>
        </w:rPr>
        <w:t>.</w:t>
      </w:r>
    </w:p>
    <w:p w14:paraId="28C7AABC" w14:textId="77777777" w:rsidR="00152F3E" w:rsidRDefault="00152F3E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Nachresektion</w:t>
      </w:r>
      <w:r w:rsidR="00FE2DE2" w:rsidRPr="006676BC">
        <w:rPr>
          <w:rFonts w:asciiTheme="minorHAnsi" w:hAnsiTheme="minorHAnsi" w:cstheme="minorHAnsi"/>
          <w:szCs w:val="22"/>
        </w:rPr>
        <w:t xml:space="preserve"> der Tumorlokalisation </w:t>
      </w:r>
      <w:r w:rsidRPr="006676BC">
        <w:rPr>
          <w:rFonts w:asciiTheme="minorHAnsi" w:hAnsiTheme="minorHAnsi" w:cstheme="minorHAnsi"/>
          <w:szCs w:val="22"/>
        </w:rPr>
        <w:t xml:space="preserve"> innerhalb von </w:t>
      </w:r>
      <w:r w:rsidR="00FE2DE2" w:rsidRPr="006676BC">
        <w:rPr>
          <w:rFonts w:asciiTheme="minorHAnsi" w:hAnsiTheme="minorHAnsi" w:cstheme="minorHAnsi"/>
          <w:szCs w:val="22"/>
        </w:rPr>
        <w:t>2-6 Wochen</w:t>
      </w:r>
      <w:r w:rsidRPr="006676BC">
        <w:rPr>
          <w:rFonts w:asciiTheme="minorHAnsi" w:hAnsiTheme="minorHAnsi" w:cstheme="minorHAnsi"/>
          <w:szCs w:val="22"/>
        </w:rPr>
        <w:t>, wenn Erstresektion inkomplett war oder schien, bei allen T1 Tumoren und wenn keine Muskula</w:t>
      </w:r>
      <w:r w:rsidR="00EE1ADB" w:rsidRPr="006676BC">
        <w:rPr>
          <w:rFonts w:asciiTheme="minorHAnsi" w:hAnsiTheme="minorHAnsi" w:cstheme="minorHAnsi"/>
          <w:szCs w:val="22"/>
        </w:rPr>
        <w:t>tur im Präparat vorhanden war (</w:t>
      </w:r>
      <w:r w:rsidRPr="006676BC">
        <w:rPr>
          <w:rFonts w:asciiTheme="minorHAnsi" w:hAnsiTheme="minorHAnsi" w:cstheme="minorHAnsi"/>
          <w:szCs w:val="22"/>
        </w:rPr>
        <w:t>ausgenommen Ta LG) und primären CIS.</w:t>
      </w:r>
    </w:p>
    <w:p w14:paraId="0EEDBABA" w14:textId="77777777" w:rsidR="00D55214" w:rsidRPr="006676BC" w:rsidRDefault="00D55214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TURB kann nur bis pT2 stagen, T3 und T4 ist ein rein klinisches Staging.</w:t>
      </w:r>
    </w:p>
    <w:p w14:paraId="51212F89" w14:textId="77777777" w:rsidR="00D55214" w:rsidRDefault="00D55214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</w:p>
    <w:p w14:paraId="01297CEE" w14:textId="77777777" w:rsidR="007B1972" w:rsidRPr="006676BC" w:rsidRDefault="007B1972" w:rsidP="0034214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6676BC">
        <w:rPr>
          <w:rFonts w:asciiTheme="minorHAnsi" w:hAnsiTheme="minorHAnsi" w:cstheme="minorHAnsi"/>
          <w:b/>
          <w:szCs w:val="22"/>
        </w:rPr>
        <w:t>Pathologische Beurteilung:</w:t>
      </w:r>
    </w:p>
    <w:p w14:paraId="2FAA67FD" w14:textId="77777777" w:rsidR="007B1972" w:rsidRPr="006676BC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Lokalisation, Staging und Grading des Präparates</w:t>
      </w:r>
    </w:p>
    <w:p w14:paraId="37643139" w14:textId="77777777" w:rsidR="007B1972" w:rsidRPr="006676BC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Angabe des Detrusormuskelanteils (ausgenommen TaG1/Low Grade Tumore)</w:t>
      </w:r>
    </w:p>
    <w:p w14:paraId="19C134A9" w14:textId="77777777" w:rsidR="007B1972" w:rsidRPr="006676BC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Histologie mit Angabe evtl vorhandener Variants oder Subtypen (mikropapillär, nested, plasmazytoid, PEC, Adenoca, neuroendokrin) und CIS</w:t>
      </w:r>
    </w:p>
    <w:p w14:paraId="240DE434" w14:textId="77777777" w:rsidR="007B1972" w:rsidRPr="006676BC" w:rsidRDefault="007B1972" w:rsidP="00E07CDE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 xml:space="preserve">Lymphovaskuläre Infiltration </w:t>
      </w:r>
    </w:p>
    <w:p w14:paraId="43F86A32" w14:textId="77777777" w:rsidR="00152F3E" w:rsidRDefault="00152F3E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</w:rPr>
      </w:pPr>
    </w:p>
    <w:p w14:paraId="2C0EC8B2" w14:textId="77777777" w:rsidR="004D2BA0" w:rsidRDefault="004D2BA0" w:rsidP="004D2BA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V</w:t>
      </w:r>
      <w:r w:rsidRPr="007B1972">
        <w:rPr>
          <w:rFonts w:asciiTheme="minorHAnsi" w:hAnsiTheme="minorHAnsi" w:cstheme="minorHAnsi"/>
          <w:szCs w:val="22"/>
        </w:rPr>
        <w:t>erwendung eines Blasendiagramms (v.a. intraoperativ) zur Tumorbeschreibung empfohlen</w:t>
      </w:r>
    </w:p>
    <w:p w14:paraId="4E3627E9" w14:textId="77777777" w:rsidR="004D2BA0" w:rsidRPr="007B1972" w:rsidRDefault="004D2BA0" w:rsidP="004D2BA0">
      <w:pPr>
        <w:pStyle w:val="Textkrper-Einzug2"/>
        <w:spacing w:after="0" w:line="276" w:lineRule="auto"/>
        <w:ind w:left="284"/>
        <w:jc w:val="both"/>
        <w:rPr>
          <w:rFonts w:asciiTheme="minorHAnsi" w:hAnsiTheme="minorHAnsi" w:cstheme="minorHAnsi"/>
          <w:sz w:val="8"/>
          <w:szCs w:val="8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9"/>
        <w:gridCol w:w="3739"/>
      </w:tblGrid>
      <w:tr w:rsidR="004D2BA0" w:rsidRPr="00384979" w14:paraId="0932BEBE" w14:textId="77777777" w:rsidTr="00551A3E">
        <w:tc>
          <w:tcPr>
            <w:tcW w:w="5349" w:type="dxa"/>
          </w:tcPr>
          <w:p w14:paraId="0EA5E7EB" w14:textId="77777777" w:rsidR="004D2BA0" w:rsidRDefault="004D2BA0" w:rsidP="00551A3E">
            <w:pPr>
              <w:pStyle w:val="Textkrper-Einzug2"/>
              <w:spacing w:after="0" w:line="276" w:lineRule="auto"/>
              <w:ind w:left="0"/>
              <w:jc w:val="both"/>
            </w:pPr>
            <w:r w:rsidRPr="00106895">
              <w:rPr>
                <w:rFonts w:ascii="Times New Roman" w:hAnsi="Times New Roman"/>
                <w:noProof/>
                <w:lang w:eastAsia="de-AT"/>
              </w:rPr>
              <w:drawing>
                <wp:inline distT="0" distB="0" distL="0" distR="0" wp14:anchorId="73E70D43" wp14:editId="01F4AAD2">
                  <wp:extent cx="2809396" cy="2774914"/>
                  <wp:effectExtent l="0" t="0" r="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21" b="28489"/>
                          <a:stretch/>
                        </pic:blipFill>
                        <pic:spPr bwMode="auto">
                          <a:xfrm>
                            <a:off x="0" y="0"/>
                            <a:ext cx="2855457" cy="28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9" w:type="dxa"/>
            <w:vAlign w:val="center"/>
          </w:tcPr>
          <w:p w14:paraId="0DBEE6C9" w14:textId="77777777" w:rsidR="004D2BA0" w:rsidRPr="004D2BA0" w:rsidRDefault="004D2BA0" w:rsidP="00551A3E">
            <w:pPr>
              <w:jc w:val="left"/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</w:pPr>
          </w:p>
          <w:p w14:paraId="6FA85A46" w14:textId="77777777" w:rsidR="004D2BA0" w:rsidRPr="004D2BA0" w:rsidRDefault="004D2BA0" w:rsidP="00551A3E">
            <w:pPr>
              <w:jc w:val="left"/>
              <w:rPr>
                <w:rFonts w:asciiTheme="minorHAnsi" w:hAnsiTheme="minorHAnsi" w:cstheme="minorHAnsi"/>
                <w:lang w:val="en-US"/>
              </w:rPr>
            </w:pP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1 = Trigone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2 = Right ureteral orifice 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3 = Left ureteral orifice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4 = Right wall 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5 = Left wall = Anterior wall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7 = Posterior wall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8 = Dome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9 = Neck</w:t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lang w:val="en-US"/>
              </w:rPr>
              <w:br/>
            </w:r>
            <w:r w:rsidRPr="004D2BA0">
              <w:rPr>
                <w:rFonts w:asciiTheme="minorHAnsi" w:hAnsiTheme="minorHAnsi" w:cstheme="minorHAnsi"/>
                <w:color w:val="2C2B2B"/>
                <w:sz w:val="19"/>
                <w:szCs w:val="19"/>
                <w:shd w:val="clear" w:color="auto" w:fill="E5ECF0"/>
                <w:lang w:val="en-US"/>
              </w:rPr>
              <w:t>10 = Posterior urethra</w:t>
            </w:r>
          </w:p>
          <w:p w14:paraId="289C248B" w14:textId="77777777" w:rsidR="004D2BA0" w:rsidRPr="004D2BA0" w:rsidRDefault="004D2BA0" w:rsidP="00551A3E">
            <w:pPr>
              <w:pStyle w:val="Textkrper-Einzug2"/>
              <w:spacing w:after="0" w:line="276" w:lineRule="auto"/>
              <w:ind w:left="0"/>
              <w:jc w:val="left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14:paraId="7ACC351E" w14:textId="77777777" w:rsidR="004D2BA0" w:rsidRPr="004D2BA0" w:rsidRDefault="004D2BA0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en-GB"/>
        </w:rPr>
      </w:pPr>
    </w:p>
    <w:p w14:paraId="071EC5A6" w14:textId="77777777" w:rsidR="004A6D00" w:rsidRDefault="004A6D00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en-GB"/>
        </w:rPr>
      </w:pPr>
    </w:p>
    <w:p w14:paraId="42912D9F" w14:textId="77777777" w:rsidR="004D2BA0" w:rsidRDefault="004D2BA0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en-GB"/>
        </w:rPr>
      </w:pPr>
    </w:p>
    <w:p w14:paraId="56900F11" w14:textId="77777777" w:rsidR="004D2BA0" w:rsidRDefault="004D2BA0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en-GB"/>
        </w:rPr>
      </w:pPr>
    </w:p>
    <w:p w14:paraId="6F9EE500" w14:textId="77777777" w:rsidR="004D2BA0" w:rsidRDefault="004D2BA0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en-GB"/>
        </w:rPr>
      </w:pPr>
    </w:p>
    <w:p w14:paraId="29C313AC" w14:textId="77777777" w:rsidR="004D2BA0" w:rsidRDefault="004D2BA0" w:rsidP="004D2BA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292692">
        <w:rPr>
          <w:rFonts w:asciiTheme="minorHAnsi" w:hAnsiTheme="minorHAnsi" w:cstheme="minorHAnsi"/>
          <w:b/>
          <w:szCs w:val="22"/>
        </w:rPr>
        <w:lastRenderedPageBreak/>
        <w:t>Algorithmus TURB</w:t>
      </w:r>
    </w:p>
    <w:p w14:paraId="3BD678DD" w14:textId="77777777" w:rsidR="004D2BA0" w:rsidRDefault="004D2BA0" w:rsidP="004D2BA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9F0F0D">
        <w:rPr>
          <w:noProof/>
          <w:lang w:eastAsia="de-AT"/>
        </w:rPr>
        <w:drawing>
          <wp:inline distT="0" distB="0" distL="0" distR="0" wp14:anchorId="2249E7EC" wp14:editId="085313F8">
            <wp:extent cx="5756910" cy="4048731"/>
            <wp:effectExtent l="0" t="0" r="0" b="9525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545"/>
                    <a:stretch/>
                  </pic:blipFill>
                  <pic:spPr bwMode="auto">
                    <a:xfrm>
                      <a:off x="0" y="0"/>
                      <a:ext cx="5756910" cy="4048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E785C9" w14:textId="77777777" w:rsidR="004D2BA0" w:rsidRPr="004D2BA0" w:rsidRDefault="004D2BA0" w:rsidP="004D2BA0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</w:p>
    <w:p w14:paraId="26043F25" w14:textId="77777777" w:rsidR="00342146" w:rsidRPr="004D2BA0" w:rsidRDefault="00342146" w:rsidP="003B5DF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 w:val="8"/>
          <w:szCs w:val="8"/>
          <w:u w:val="single"/>
          <w:lang w:val="en-GB"/>
        </w:rPr>
      </w:pPr>
    </w:p>
    <w:p w14:paraId="0BF74117" w14:textId="77777777" w:rsidR="00E651C5" w:rsidRDefault="00E651C5" w:rsidP="001411B6">
      <w:pPr>
        <w:pStyle w:val="berschrift2"/>
        <w:numPr>
          <w:ilvl w:val="1"/>
          <w:numId w:val="37"/>
        </w:numPr>
        <w:ind w:left="709" w:hanging="709"/>
      </w:pPr>
      <w:bookmarkStart w:id="9" w:name="_3.1_Nicht_Muskel-Invasives"/>
      <w:bookmarkStart w:id="10" w:name="_Toc92971140"/>
      <w:bookmarkEnd w:id="9"/>
      <w:r w:rsidRPr="00E651C5">
        <w:t>Nicht</w:t>
      </w:r>
      <w:r w:rsidRPr="00424D53">
        <w:t xml:space="preserve"> Muskel-Invasives Blasenkarzinom (NMIBC)</w:t>
      </w:r>
      <w:bookmarkEnd w:id="10"/>
    </w:p>
    <w:p w14:paraId="2788D03F" w14:textId="77777777" w:rsidR="004D2BA0" w:rsidRPr="00292692" w:rsidRDefault="001411B6" w:rsidP="001411B6">
      <w:pPr>
        <w:pStyle w:val="berschrift4"/>
      </w:pPr>
      <w:r w:rsidRPr="00292692">
        <w:t>3.2.1</w:t>
      </w:r>
      <w:r w:rsidRPr="00292692">
        <w:tab/>
        <w:t>Risikokategorien des NMIBC</w:t>
      </w:r>
    </w:p>
    <w:tbl>
      <w:tblPr>
        <w:tblW w:w="900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7446"/>
      </w:tblGrid>
      <w:tr w:rsidR="001411B6" w:rsidRPr="00292692" w14:paraId="7933D18A" w14:textId="77777777" w:rsidTr="001411B6">
        <w:tc>
          <w:tcPr>
            <w:tcW w:w="5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A9BFE7" w14:textId="77777777" w:rsidR="001411B6" w:rsidRPr="00292692" w:rsidRDefault="001411B6" w:rsidP="001411B6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Cs w:val="22"/>
                <w:lang w:val="en-GB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Cs w:val="22"/>
                <w:lang w:val="en-GB"/>
              </w:rPr>
              <w:t>Risk group</w:t>
            </w:r>
          </w:p>
        </w:tc>
      </w:tr>
      <w:tr w:rsidR="001411B6" w:rsidRPr="00384979" w14:paraId="07566853" w14:textId="77777777" w:rsidTr="001411B6">
        <w:tc>
          <w:tcPr>
            <w:tcW w:w="866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FA860E" w14:textId="77777777" w:rsidR="001411B6" w:rsidRPr="00292692" w:rsidRDefault="001411B6" w:rsidP="001411B6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b/>
                <w:color w:val="2C2B2B"/>
                <w:sz w:val="20"/>
                <w:lang w:val="en-GB"/>
              </w:rPr>
            </w:pPr>
            <w:r w:rsidRPr="00292692">
              <w:rPr>
                <w:rFonts w:asciiTheme="minorHAnsi" w:hAnsiTheme="minorHAnsi" w:cstheme="minorHAnsi"/>
                <w:b/>
                <w:color w:val="2C2B2B"/>
                <w:sz w:val="20"/>
                <w:lang w:val="en-GB"/>
              </w:rPr>
              <w:t>Low Risk</w:t>
            </w: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F5A8B8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A primary, single, Ta/T1 LG/G1 tumour &lt; 3 cm in diameter without CIS in a patient &lt; 70 years</w:t>
            </w:r>
          </w:p>
        </w:tc>
      </w:tr>
      <w:tr w:rsidR="001411B6" w:rsidRPr="00384979" w14:paraId="46138990" w14:textId="77777777" w:rsidTr="001411B6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vAlign w:val="bottom"/>
            <w:hideMark/>
          </w:tcPr>
          <w:p w14:paraId="18ECE496" w14:textId="77777777" w:rsidR="001411B6" w:rsidRPr="00292692" w:rsidRDefault="001411B6" w:rsidP="001411B6">
            <w:pPr>
              <w:ind w:left="-209"/>
              <w:jc w:val="left"/>
              <w:rPr>
                <w:rFonts w:asciiTheme="minorHAnsi" w:hAnsiTheme="minorHAnsi"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2F2F2" w:themeFill="background1" w:themeFillShade="F2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0A1D51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A primary Ta LG/G1 tumour without CIS with at most ONE of the additional clinical risk factors (see above*)</w:t>
            </w:r>
          </w:p>
        </w:tc>
      </w:tr>
      <w:tr w:rsidR="001411B6" w:rsidRPr="00384979" w14:paraId="609DC3EC" w14:textId="77777777" w:rsidTr="001411B6">
        <w:tc>
          <w:tcPr>
            <w:tcW w:w="86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912AAE" w14:textId="77777777" w:rsidR="001411B6" w:rsidRPr="00292692" w:rsidRDefault="001411B6" w:rsidP="001411B6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b/>
                <w:color w:val="2C2B2B"/>
                <w:sz w:val="20"/>
              </w:rPr>
            </w:pPr>
            <w:r w:rsidRPr="00292692">
              <w:rPr>
                <w:rFonts w:asciiTheme="minorHAnsi" w:hAnsiTheme="minorHAnsi"/>
                <w:b/>
                <w:color w:val="2C2B2B"/>
                <w:sz w:val="20"/>
              </w:rPr>
              <w:t>I</w:t>
            </w:r>
            <w:r w:rsidRPr="00292692">
              <w:rPr>
                <w:rFonts w:asciiTheme="minorHAnsi" w:hAnsiTheme="minorHAnsi" w:cstheme="minorHAnsi"/>
                <w:b/>
                <w:color w:val="2C2B2B"/>
                <w:sz w:val="20"/>
              </w:rPr>
              <w:t>ntermediate Risk</w:t>
            </w: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D9D9D9" w:themeFill="background1" w:themeFillShade="D9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1F5F74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Patients without CIS who are not included in either the low, high or very high-risk groups</w:t>
            </w:r>
          </w:p>
        </w:tc>
      </w:tr>
      <w:tr w:rsidR="001411B6" w:rsidRPr="00384979" w14:paraId="134BBD1F" w14:textId="77777777" w:rsidTr="001411B6">
        <w:tc>
          <w:tcPr>
            <w:tcW w:w="866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722C52" w14:textId="77777777" w:rsidR="001411B6" w:rsidRPr="00292692" w:rsidRDefault="001411B6" w:rsidP="001411B6">
            <w:pPr>
              <w:spacing w:line="270" w:lineRule="atLeast"/>
              <w:jc w:val="left"/>
              <w:textAlignment w:val="baseline"/>
              <w:rPr>
                <w:rFonts w:asciiTheme="minorHAnsi" w:hAnsiTheme="minorHAnsi"/>
                <w:b/>
                <w:color w:val="2C2B2B"/>
                <w:sz w:val="20"/>
              </w:rPr>
            </w:pPr>
            <w:r w:rsidRPr="00292692">
              <w:rPr>
                <w:rFonts w:asciiTheme="minorHAnsi" w:hAnsiTheme="minorHAnsi"/>
                <w:b/>
                <w:color w:val="2C2B2B"/>
                <w:sz w:val="20"/>
              </w:rPr>
              <w:t>High Risk</w:t>
            </w: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A1B1BBB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All T1 HG/G3 without CIS, EXCEPT those included in the very high-risk group</w:t>
            </w:r>
          </w:p>
          <w:p w14:paraId="7D03BBE2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All CIS patients, EXCEPT those included in the very high-risk group</w:t>
            </w:r>
          </w:p>
        </w:tc>
      </w:tr>
      <w:tr w:rsidR="001411B6" w:rsidRPr="00384979" w14:paraId="6573967B" w14:textId="77777777" w:rsidTr="001411B6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FBFBF" w:themeFill="background1" w:themeFillShade="BF"/>
            <w:vAlign w:val="bottom"/>
            <w:hideMark/>
          </w:tcPr>
          <w:p w14:paraId="5BA31704" w14:textId="77777777" w:rsidR="001411B6" w:rsidRPr="00292692" w:rsidRDefault="001411B6" w:rsidP="001411B6">
            <w:pPr>
              <w:ind w:left="-209"/>
              <w:jc w:val="left"/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BFBFBF" w:themeFill="background1" w:themeFillShade="B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AB6DC9B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lang w:val="en-US"/>
              </w:rPr>
              <w:t>Stage, grade with additional clinical risk factors:</w:t>
            </w:r>
          </w:p>
          <w:p w14:paraId="7439EC37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Ta LG/G2 or T1 G1, no CIS with all 3 risk factors</w:t>
            </w:r>
          </w:p>
          <w:p w14:paraId="6D27E5E0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Ta HG/G3 or T1 LG, no CIS with at least 2 risk factors</w:t>
            </w:r>
          </w:p>
          <w:p w14:paraId="2EAAB1CB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T1 G2 no CIS with at least 1 risk factor</w:t>
            </w:r>
          </w:p>
        </w:tc>
      </w:tr>
      <w:tr w:rsidR="001411B6" w:rsidRPr="00384979" w14:paraId="254A7A05" w14:textId="77777777" w:rsidTr="001411B6">
        <w:tc>
          <w:tcPr>
            <w:tcW w:w="866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6A6A6" w:themeFill="background1" w:themeFillShade="A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60CF71" w14:textId="77777777" w:rsidR="001411B6" w:rsidRPr="00292692" w:rsidRDefault="001411B6" w:rsidP="001411B6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b/>
                <w:color w:val="2C2B2B"/>
                <w:sz w:val="20"/>
              </w:rPr>
            </w:pPr>
            <w:r w:rsidRPr="00292692">
              <w:rPr>
                <w:rFonts w:asciiTheme="minorHAnsi" w:hAnsiTheme="minorHAnsi" w:cstheme="minorHAnsi"/>
                <w:b/>
                <w:color w:val="2C2B2B"/>
                <w:sz w:val="20"/>
              </w:rPr>
              <w:t>Very High Risk</w:t>
            </w:r>
          </w:p>
        </w:tc>
        <w:tc>
          <w:tcPr>
            <w:tcW w:w="4134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6A6A6" w:themeFill="background1" w:themeFillShade="A6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302E4F7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lang w:val="en-US"/>
              </w:rPr>
              <w:t>Stage, grade with additional clinical risk factors:</w:t>
            </w:r>
          </w:p>
          <w:p w14:paraId="21169313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Ta HG/G3 and CIS with all 3 risk factors</w:t>
            </w:r>
          </w:p>
          <w:p w14:paraId="7A151458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T1 G2 and CIS with at least 2 risk factors</w:t>
            </w:r>
          </w:p>
          <w:p w14:paraId="15BA8003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T1 HG/G3 and CIS with at least 1 risk factor</w:t>
            </w:r>
          </w:p>
          <w:p w14:paraId="2ECDB94D" w14:textId="77777777" w:rsidR="001411B6" w:rsidRPr="00292692" w:rsidRDefault="001411B6" w:rsidP="001411B6">
            <w:pPr>
              <w:spacing w:line="270" w:lineRule="atLeast"/>
              <w:ind w:left="145"/>
              <w:jc w:val="left"/>
              <w:textAlignment w:val="baseline"/>
              <w:rPr>
                <w:rFonts w:asciiTheme="minorHAnsi" w:hAnsiTheme="minorHAnsi"/>
                <w:color w:val="2C2B2B"/>
                <w:sz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T1 HG/G3 no CIS with all 3 risk factors</w:t>
            </w:r>
          </w:p>
        </w:tc>
      </w:tr>
    </w:tbl>
    <w:p w14:paraId="3537CA63" w14:textId="77777777" w:rsidR="001411B6" w:rsidRPr="00292692" w:rsidRDefault="001411B6" w:rsidP="001411B6">
      <w:pPr>
        <w:rPr>
          <w:lang w:val="en-US"/>
        </w:rPr>
      </w:pPr>
    </w:p>
    <w:p w14:paraId="385C1720" w14:textId="77777777" w:rsidR="001411B6" w:rsidRPr="00292692" w:rsidRDefault="001411B6" w:rsidP="001411B6">
      <w:pPr>
        <w:spacing w:line="276" w:lineRule="auto"/>
        <w:jc w:val="left"/>
        <w:rPr>
          <w:rFonts w:asciiTheme="minorHAnsi" w:hAnsiTheme="minorHAnsi"/>
        </w:rPr>
      </w:pPr>
      <w:r w:rsidRPr="00292692">
        <w:rPr>
          <w:rFonts w:asciiTheme="minorHAnsi" w:hAnsiTheme="minorHAnsi"/>
        </w:rPr>
        <w:lastRenderedPageBreak/>
        <w:t xml:space="preserve">* Zusätzliche klinische Risikofaktoren sind: </w:t>
      </w:r>
    </w:p>
    <w:p w14:paraId="3FEFF453" w14:textId="77777777" w:rsidR="001411B6" w:rsidRPr="00292692" w:rsidRDefault="001411B6" w:rsidP="001411B6">
      <w:pPr>
        <w:pStyle w:val="Textkrper-Einzug2"/>
        <w:numPr>
          <w:ilvl w:val="0"/>
          <w:numId w:val="3"/>
        </w:numPr>
        <w:spacing w:after="0" w:line="276" w:lineRule="auto"/>
        <w:ind w:left="284" w:firstLine="0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Alter &gt;70</w:t>
      </w:r>
    </w:p>
    <w:p w14:paraId="737CFBDA" w14:textId="77777777" w:rsidR="001411B6" w:rsidRPr="00292692" w:rsidRDefault="001411B6" w:rsidP="001411B6">
      <w:pPr>
        <w:pStyle w:val="Textkrper-Einzug2"/>
        <w:numPr>
          <w:ilvl w:val="0"/>
          <w:numId w:val="3"/>
        </w:numPr>
        <w:spacing w:after="0" w:line="276" w:lineRule="auto"/>
        <w:ind w:left="284" w:firstLine="0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Multiple papilläre Tumore</w:t>
      </w:r>
    </w:p>
    <w:p w14:paraId="1CD6C306" w14:textId="77777777" w:rsidR="001411B6" w:rsidRPr="00292692" w:rsidRDefault="001411B6" w:rsidP="001411B6">
      <w:pPr>
        <w:pStyle w:val="Textkrper-Einzug2"/>
        <w:numPr>
          <w:ilvl w:val="0"/>
          <w:numId w:val="3"/>
        </w:numPr>
        <w:spacing w:after="0" w:line="276" w:lineRule="auto"/>
        <w:ind w:left="284" w:firstLine="0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Tumorgröße &gt; 3 cm</w:t>
      </w:r>
    </w:p>
    <w:p w14:paraId="76047526" w14:textId="77777777" w:rsidR="001411B6" w:rsidRPr="00292692" w:rsidRDefault="001411B6" w:rsidP="001411B6">
      <w:pPr>
        <w:jc w:val="left"/>
        <w:rPr>
          <w:rFonts w:asciiTheme="minorHAnsi" w:hAnsiTheme="minorHAnsi"/>
          <w:b/>
        </w:rPr>
      </w:pPr>
    </w:p>
    <w:p w14:paraId="240F26F2" w14:textId="77777777" w:rsidR="001411B6" w:rsidRPr="00292692" w:rsidRDefault="001411B6" w:rsidP="001411B6">
      <w:pPr>
        <w:pStyle w:val="berschrift4"/>
        <w:rPr>
          <w:lang w:val="de-AT"/>
        </w:rPr>
      </w:pPr>
      <w:r w:rsidRPr="00292692">
        <w:rPr>
          <w:lang w:val="de-AT"/>
        </w:rPr>
        <w:t>3.2.2</w:t>
      </w:r>
      <w:r w:rsidRPr="00292692">
        <w:rPr>
          <w:lang w:val="de-AT"/>
        </w:rPr>
        <w:tab/>
        <w:t>EAU NMIBC Risk Calculator</w:t>
      </w:r>
    </w:p>
    <w:p w14:paraId="7455DA5E" w14:textId="77777777" w:rsidR="001411B6" w:rsidRPr="00292692" w:rsidRDefault="001411B6" w:rsidP="001411B6">
      <w:pPr>
        <w:spacing w:line="276" w:lineRule="auto"/>
        <w:jc w:val="left"/>
        <w:rPr>
          <w:rFonts w:asciiTheme="minorHAnsi" w:hAnsiTheme="minorHAnsi"/>
        </w:rPr>
      </w:pPr>
      <w:r w:rsidRPr="00292692">
        <w:rPr>
          <w:rFonts w:asciiTheme="minorHAnsi" w:hAnsiTheme="minorHAnsi"/>
        </w:rPr>
        <w:t>Aktualisierte Progressionswahrscheinlichkeit von NMIBC in MIBC nach TURB unter Einbeziehung von WHO 2004/16 und WHO 1973 (retrospektive Analyse von 3401 Pts; 2021)</w:t>
      </w:r>
    </w:p>
    <w:p w14:paraId="1CA73ACB" w14:textId="30E7A68D" w:rsidR="001411B6" w:rsidRPr="00292692" w:rsidRDefault="001411B6" w:rsidP="001411B6">
      <w:pPr>
        <w:spacing w:line="276" w:lineRule="auto"/>
        <w:jc w:val="left"/>
      </w:pPr>
      <w:r w:rsidRPr="00292692">
        <w:rPr>
          <w:rFonts w:asciiTheme="minorHAnsi" w:hAnsiTheme="minorHAnsi"/>
        </w:rPr>
        <w:t>Neue Applikation zum Download:</w:t>
      </w:r>
      <w:r w:rsidRPr="00292692">
        <w:t xml:space="preserve"> </w:t>
      </w:r>
      <w:r w:rsidRPr="00292692">
        <w:rPr>
          <w:rFonts w:asciiTheme="minorHAnsi" w:hAnsiTheme="minorHAnsi"/>
        </w:rPr>
        <w:t xml:space="preserve"> </w:t>
      </w:r>
      <w:hyperlink r:id="rId18" w:history="1">
        <w:r w:rsidRPr="00292692">
          <w:rPr>
            <w:rFonts w:asciiTheme="minorHAnsi" w:hAnsiTheme="minorHAnsi"/>
            <w:color w:val="548DD4" w:themeColor="text2" w:themeTint="99"/>
            <w:u w:val="single"/>
          </w:rPr>
          <w:t>www.nmibc.net</w:t>
        </w:r>
      </w:hyperlink>
      <w:r w:rsidRPr="00292692">
        <w:rPr>
          <w:rFonts w:asciiTheme="minorHAnsi" w:hAnsiTheme="minorHAnsi"/>
        </w:rPr>
        <w:t xml:space="preserve"> </w:t>
      </w:r>
    </w:p>
    <w:p w14:paraId="56872DED" w14:textId="77777777" w:rsidR="001411B6" w:rsidRPr="00292692" w:rsidRDefault="001411B6" w:rsidP="00667CC3">
      <w:pPr>
        <w:spacing w:line="276" w:lineRule="auto"/>
        <w:jc w:val="left"/>
        <w:rPr>
          <w:rFonts w:asciiTheme="minorHAnsi" w:hAnsiTheme="minorHAnsi"/>
        </w:rPr>
      </w:pPr>
    </w:p>
    <w:p w14:paraId="1AF9AF12" w14:textId="77777777" w:rsidR="001411B6" w:rsidRPr="00292692" w:rsidRDefault="001411B6" w:rsidP="00667CC3">
      <w:pPr>
        <w:spacing w:line="276" w:lineRule="auto"/>
        <w:jc w:val="left"/>
        <w:rPr>
          <w:rFonts w:asciiTheme="minorHAnsi" w:hAnsiTheme="minorHAnsi"/>
        </w:rPr>
      </w:pPr>
      <w:r w:rsidRPr="00292692">
        <w:rPr>
          <w:rFonts w:asciiTheme="minorHAnsi" w:hAnsiTheme="minorHAnsi"/>
        </w:rPr>
        <w:t>Das EAU Scoring Modell umfasst keine Patienten mit primärem CIS (high risk) oder mit rezidivierten Tumoren und Tumoren mit varianter Histologie (micropapillary, plasmocytoid, sarcomatoid, small-cell, neuroendocrine) und LVI. Allerdings:</w:t>
      </w:r>
    </w:p>
    <w:p w14:paraId="77BE146F" w14:textId="77777777" w:rsidR="001411B6" w:rsidRPr="00292692" w:rsidRDefault="001411B6" w:rsidP="00667CC3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Alle Patienten mit CIS in der prostatischen Urethra, mit varianter Histologie oder mit LVI sollten der very high-risk group zugeteilt werden.</w:t>
      </w:r>
    </w:p>
    <w:p w14:paraId="5222F0CA" w14:textId="77777777" w:rsidR="001411B6" w:rsidRPr="00292692" w:rsidRDefault="001411B6" w:rsidP="00667CC3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Patienten mit einem Tumorrezidiv sollten in die intermediate-, high- oder very high-risk groups entsprechend ihrer prognostischen Faktoren subsummiert werden.</w:t>
      </w:r>
    </w:p>
    <w:p w14:paraId="217C6900" w14:textId="77777777" w:rsidR="001411B6" w:rsidRPr="00292692" w:rsidRDefault="001411B6" w:rsidP="001411B6"/>
    <w:p w14:paraId="3CD4E2E4" w14:textId="77777777" w:rsidR="001411B6" w:rsidRPr="00292692" w:rsidRDefault="001411B6" w:rsidP="001411B6">
      <w:pPr>
        <w:pStyle w:val="bodytekstbold"/>
        <w:spacing w:before="0" w:beforeAutospacing="0" w:after="0" w:afterAutospacing="0" w:line="270" w:lineRule="atLeast"/>
        <w:jc w:val="both"/>
        <w:textAlignment w:val="baseline"/>
        <w:rPr>
          <w:rFonts w:ascii="Roboto" w:hAnsi="Roboto"/>
          <w:b/>
          <w:bCs/>
          <w:color w:val="2C2B2B"/>
          <w:sz w:val="19"/>
          <w:szCs w:val="19"/>
          <w:lang w:val="en-US"/>
        </w:rPr>
      </w:pPr>
      <w:r w:rsidRPr="00292692">
        <w:rPr>
          <w:rFonts w:ascii="Roboto" w:hAnsi="Roboto"/>
          <w:b/>
          <w:bCs/>
          <w:color w:val="2C2B2B"/>
          <w:sz w:val="19"/>
          <w:szCs w:val="19"/>
          <w:lang w:val="en-US"/>
        </w:rPr>
        <w:t>Probabilities of disease progression in 1, 5 and 10 year(s) for the new EAU NMIBC risk groups</w:t>
      </w:r>
    </w:p>
    <w:p w14:paraId="4E112004" w14:textId="77777777" w:rsidR="001411B6" w:rsidRPr="00292692" w:rsidRDefault="001411B6" w:rsidP="001411B6">
      <w:pPr>
        <w:pStyle w:val="bodytekstbold"/>
        <w:spacing w:before="0" w:beforeAutospacing="0" w:after="0" w:afterAutospacing="0" w:line="270" w:lineRule="atLeast"/>
        <w:jc w:val="both"/>
        <w:textAlignment w:val="baseline"/>
        <w:rPr>
          <w:rFonts w:ascii="Roboto" w:hAnsi="Roboto"/>
          <w:b/>
          <w:bCs/>
          <w:color w:val="2C2B2B"/>
          <w:sz w:val="19"/>
          <w:szCs w:val="19"/>
          <w:lang w:val="en-US"/>
        </w:rPr>
      </w:pPr>
      <w:r w:rsidRPr="00292692">
        <w:rPr>
          <w:rStyle w:val="apple-converted-space"/>
          <w:rFonts w:ascii="Roboto" w:hAnsi="Roboto"/>
          <w:b/>
          <w:bCs/>
          <w:color w:val="2C2B2B"/>
          <w:sz w:val="19"/>
          <w:szCs w:val="19"/>
          <w:lang w:val="en-US"/>
        </w:rPr>
        <w:t> </w:t>
      </w:r>
    </w:p>
    <w:tbl>
      <w:tblPr>
        <w:tblW w:w="8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77"/>
        <w:gridCol w:w="2215"/>
        <w:gridCol w:w="2215"/>
        <w:gridCol w:w="2297"/>
      </w:tblGrid>
      <w:tr w:rsidR="001411B6" w:rsidRPr="00384979" w14:paraId="42C71098" w14:textId="77777777" w:rsidTr="00551A3E">
        <w:tc>
          <w:tcPr>
            <w:tcW w:w="900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2061578" w14:textId="77777777" w:rsidR="001411B6" w:rsidRPr="00292692" w:rsidRDefault="001411B6" w:rsidP="00667CC3">
            <w:pPr>
              <w:pStyle w:val="tabelbodytekstbold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Risk group</w:t>
            </w:r>
          </w:p>
        </w:tc>
        <w:tc>
          <w:tcPr>
            <w:tcW w:w="41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72522B" w14:textId="77777777" w:rsidR="001411B6" w:rsidRPr="00292692" w:rsidRDefault="001411B6" w:rsidP="00667CC3">
            <w:pPr>
              <w:pStyle w:val="tabelbodytekstbold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t>Probability of Progression and 95% Confidence Interval (CI)</w:t>
            </w:r>
          </w:p>
        </w:tc>
      </w:tr>
      <w:tr w:rsidR="001411B6" w:rsidRPr="00292692" w14:paraId="008CC49D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9D460F2" w14:textId="77777777" w:rsidR="001411B6" w:rsidRPr="00292692" w:rsidRDefault="001411B6" w:rsidP="00667CC3">
            <w:pPr>
              <w:spacing w:line="240" w:lineRule="auto"/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9819EE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 Year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277628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5 Years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ECCD4B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10 Years</w:t>
            </w:r>
          </w:p>
        </w:tc>
      </w:tr>
      <w:tr w:rsidR="001411B6" w:rsidRPr="00384979" w14:paraId="6FCBE180" w14:textId="77777777" w:rsidTr="00551A3E">
        <w:tc>
          <w:tcPr>
            <w:tcW w:w="5000" w:type="pct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5F7302" w14:textId="77777777" w:rsidR="001411B6" w:rsidRPr="00292692" w:rsidRDefault="001411B6" w:rsidP="00667CC3">
            <w:pPr>
              <w:pStyle w:val="tabelbodytekstbold9pt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t>New Risk Groups with WHO 2004/2016</w:t>
            </w:r>
          </w:p>
        </w:tc>
      </w:tr>
      <w:tr w:rsidR="001411B6" w:rsidRPr="00292692" w14:paraId="0D8551A5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B96E5AB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Low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F5C495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0.06% (CI: 0.01%−0.43%)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8384E2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0.93% (CI: 0.49%−1.7%)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8DBC80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3.7% (CI: 2.3%−5.9%)</w:t>
            </w:r>
          </w:p>
        </w:tc>
      </w:tr>
      <w:tr w:rsidR="001411B6" w:rsidRPr="00292692" w14:paraId="077B9062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99E3EF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Intermediate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CA1C1F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1.0% (CI: 0.50%−2.0%)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4A591FF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4.9% (CI: 3.4%−7.0%)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DEE171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8.5% (CI: 5.6%−13%)</w:t>
            </w:r>
          </w:p>
        </w:tc>
      </w:tr>
      <w:tr w:rsidR="001411B6" w:rsidRPr="00292692" w14:paraId="7DEEEFFB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5EBB65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High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F47E996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3.5% (CI: 2.4%−5.2%)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D8D571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9.6% (CI: 7.4%−12%)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812180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14% (CI: 11%−18%)</w:t>
            </w:r>
          </w:p>
        </w:tc>
      </w:tr>
      <w:tr w:rsidR="001411B6" w:rsidRPr="00292692" w14:paraId="1D259E6B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2797122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Very High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F6166C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16% (CI: 10%−26%)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6C6E461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40% (CI: 29%−54%)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345174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53% (CI: 36%−73%)</w:t>
            </w:r>
          </w:p>
        </w:tc>
      </w:tr>
      <w:tr w:rsidR="001411B6" w:rsidRPr="00384979" w14:paraId="43A4365D" w14:textId="77777777" w:rsidTr="00551A3E">
        <w:tc>
          <w:tcPr>
            <w:tcW w:w="5000" w:type="pct"/>
            <w:gridSpan w:val="4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3B2917" w14:textId="77777777" w:rsidR="001411B6" w:rsidRPr="00292692" w:rsidRDefault="001411B6" w:rsidP="00667CC3">
            <w:pPr>
              <w:pStyle w:val="tabelbodytekstbold9pt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</w:pPr>
            <w:r w:rsidRPr="00292692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t>New Risk Groups with WHO 1973</w:t>
            </w:r>
          </w:p>
        </w:tc>
      </w:tr>
      <w:tr w:rsidR="001411B6" w:rsidRPr="00292692" w14:paraId="360A40D7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C673EA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Low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59A197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0.12% (CI: 0.02%−0.82%)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698DF92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0.57% (CI: 0.21%−1.5%)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1C5A2FB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3.0% (CI: 1.5%−6.3%)</w:t>
            </w:r>
          </w:p>
        </w:tc>
      </w:tr>
      <w:tr w:rsidR="001411B6" w:rsidRPr="00292692" w14:paraId="7A34EBC4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6640C9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Intermediate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D04033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0.65% (CI: 0.36%−1.2%)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3BD4EC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3.6% (CI: 2.7%−4.9%)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16426E6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7.4% (CI: 5.5%−10%)</w:t>
            </w:r>
          </w:p>
        </w:tc>
      </w:tr>
      <w:tr w:rsidR="001411B6" w:rsidRPr="00292692" w14:paraId="2338AE7A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45B078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High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8FD120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3.8% (CI: 2.6%−5.7%)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5670D1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11% (CI: 8.1%−14%)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330AF8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14% (CI: 10%−19%)</w:t>
            </w:r>
          </w:p>
        </w:tc>
      </w:tr>
      <w:tr w:rsidR="001411B6" w:rsidRPr="00292692" w14:paraId="47A4E29A" w14:textId="77777777" w:rsidTr="00551A3E">
        <w:tc>
          <w:tcPr>
            <w:tcW w:w="9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8A44C1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Very High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7C700F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20% (CI: 12%−32%)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E3E862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44% (CI: 30%−61%)</w:t>
            </w:r>
          </w:p>
        </w:tc>
        <w:tc>
          <w:tcPr>
            <w:tcW w:w="13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56D7E3" w14:textId="77777777" w:rsidR="001411B6" w:rsidRPr="00292692" w:rsidRDefault="001411B6" w:rsidP="00667CC3">
            <w:pPr>
              <w:pStyle w:val="tabelbodytekst9ptcentreren"/>
              <w:spacing w:before="0" w:beforeAutospacing="0" w:after="0" w:afterAutospacing="0"/>
              <w:jc w:val="center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292692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59% (CI: 39%−79%)</w:t>
            </w:r>
          </w:p>
        </w:tc>
      </w:tr>
    </w:tbl>
    <w:p w14:paraId="1B95FE32" w14:textId="77777777" w:rsidR="001411B6" w:rsidRPr="00292692" w:rsidRDefault="001411B6" w:rsidP="001411B6">
      <w:pPr>
        <w:pStyle w:val="bodytekstitalicondertabel"/>
        <w:spacing w:before="0" w:beforeAutospacing="0" w:after="0" w:afterAutospacing="0" w:line="270" w:lineRule="atLeast"/>
        <w:jc w:val="both"/>
        <w:textAlignment w:val="baseline"/>
        <w:rPr>
          <w:rFonts w:asciiTheme="minorHAnsi" w:hAnsiTheme="minorHAnsi"/>
          <w:i/>
          <w:iCs/>
          <w:color w:val="2C2B2B"/>
          <w:sz w:val="16"/>
          <w:szCs w:val="16"/>
        </w:rPr>
      </w:pPr>
      <w:r w:rsidRPr="00292692">
        <w:rPr>
          <w:rFonts w:asciiTheme="minorHAnsi" w:hAnsiTheme="minorHAnsi"/>
          <w:i/>
          <w:iCs/>
          <w:color w:val="2C2B2B"/>
          <w:sz w:val="16"/>
          <w:szCs w:val="16"/>
        </w:rPr>
        <w:t>WHO = World Health Organization.</w:t>
      </w:r>
    </w:p>
    <w:p w14:paraId="64458C3E" w14:textId="77777777" w:rsidR="001411B6" w:rsidRPr="00292692" w:rsidRDefault="001411B6" w:rsidP="001411B6">
      <w:pPr>
        <w:rPr>
          <w:lang w:val="en-US"/>
        </w:rPr>
      </w:pPr>
    </w:p>
    <w:p w14:paraId="5B221CAF" w14:textId="77777777" w:rsidR="001411B6" w:rsidRPr="00292692" w:rsidRDefault="00667CC3" w:rsidP="00667CC3">
      <w:pPr>
        <w:pStyle w:val="berschrift4"/>
        <w:rPr>
          <w:lang w:val="de-AT"/>
        </w:rPr>
      </w:pPr>
      <w:r w:rsidRPr="00292692">
        <w:rPr>
          <w:lang w:val="de-AT"/>
        </w:rPr>
        <w:t>3.2.3</w:t>
      </w:r>
      <w:r w:rsidRPr="00292692">
        <w:rPr>
          <w:lang w:val="de-AT"/>
        </w:rPr>
        <w:tab/>
        <w:t>Scoring-Modelle für das Recurrence-Risiko</w:t>
      </w:r>
    </w:p>
    <w:p w14:paraId="46B35092" w14:textId="77777777" w:rsidR="00667CC3" w:rsidRPr="00292692" w:rsidRDefault="00667CC3" w:rsidP="00667CC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292692">
        <w:rPr>
          <w:rFonts w:asciiTheme="minorHAnsi" w:hAnsiTheme="minorHAnsi" w:cstheme="minorHAnsi"/>
          <w:b/>
          <w:szCs w:val="22"/>
          <w:lang w:val="en-GB"/>
        </w:rPr>
        <w:t xml:space="preserve">EORTC Scoring model 2006: </w:t>
      </w:r>
      <w:r w:rsidRPr="00292692">
        <w:rPr>
          <w:rFonts w:asciiTheme="minorHAnsi" w:hAnsiTheme="minorHAnsi" w:cstheme="minorHAnsi"/>
          <w:szCs w:val="22"/>
          <w:lang w:val="en-GB"/>
        </w:rPr>
        <w:t>for BCG untreated Pts for recurrence with 6 risk factors:</w:t>
      </w:r>
    </w:p>
    <w:p w14:paraId="6826D990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Number of tumours;</w:t>
      </w:r>
    </w:p>
    <w:p w14:paraId="35755210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Tumour diameter;</w:t>
      </w:r>
    </w:p>
    <w:p w14:paraId="70DA071A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Prior recurrence rate;</w:t>
      </w:r>
    </w:p>
    <w:p w14:paraId="774F61BC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Category;</w:t>
      </w:r>
    </w:p>
    <w:p w14:paraId="3B655BB7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Concurrent CIS;</w:t>
      </w:r>
    </w:p>
    <w:p w14:paraId="3A7C3D0B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WHO 1973 tumour grade.</w:t>
      </w:r>
    </w:p>
    <w:p w14:paraId="4B3EA65D" w14:textId="77777777" w:rsidR="00667CC3" w:rsidRPr="00667CC3" w:rsidRDefault="00667CC3" w:rsidP="00667CC3">
      <w:pPr>
        <w:rPr>
          <w:highlight w:val="yellow"/>
        </w:rPr>
      </w:pPr>
    </w:p>
    <w:p w14:paraId="3D810FAF" w14:textId="41ED482A" w:rsidR="009A56A9" w:rsidRDefault="009A56A9" w:rsidP="009A56A9">
      <w:pPr>
        <w:jc w:val="left"/>
        <w:rPr>
          <w:rFonts w:asciiTheme="minorHAnsi" w:hAnsiTheme="minorHAnsi"/>
        </w:rPr>
      </w:pPr>
      <w:r w:rsidRPr="009A56A9">
        <w:rPr>
          <w:rFonts w:asciiTheme="minorHAnsi" w:hAnsiTheme="minorHAnsi"/>
        </w:rPr>
        <w:lastRenderedPageBreak/>
        <w:t xml:space="preserve">Verwendung des </w:t>
      </w:r>
      <w:hyperlink r:id="rId19" w:history="1">
        <w:r w:rsidRPr="00BA617B">
          <w:rPr>
            <w:rStyle w:val="Hyperlink"/>
            <w:rFonts w:asciiTheme="minorHAnsi" w:hAnsiTheme="minorHAnsi"/>
          </w:rPr>
          <w:t>EORTC Kalkulators</w:t>
        </w:r>
      </w:hyperlink>
      <w:r w:rsidRPr="009A56A9">
        <w:rPr>
          <w:rFonts w:asciiTheme="minorHAnsi" w:hAnsiTheme="minorHAnsi"/>
        </w:rPr>
        <w:t xml:space="preserve"> zur </w:t>
      </w:r>
      <w:r w:rsidRPr="00D40055">
        <w:rPr>
          <w:rFonts w:asciiTheme="minorHAnsi" w:hAnsiTheme="minorHAnsi"/>
          <w:b/>
        </w:rPr>
        <w:t>Rezidiv- und Progressionseinschätzung</w:t>
      </w:r>
      <w:r w:rsidR="00D40055">
        <w:rPr>
          <w:rFonts w:asciiTheme="minorHAnsi" w:hAnsiTheme="minorHAnsi"/>
        </w:rPr>
        <w:t>:</w:t>
      </w:r>
    </w:p>
    <w:p w14:paraId="1B437482" w14:textId="77777777" w:rsidR="00BA617B" w:rsidRPr="00BA617B" w:rsidRDefault="00BA617B" w:rsidP="00BA617B">
      <w:pPr>
        <w:spacing w:line="240" w:lineRule="auto"/>
        <w:jc w:val="left"/>
        <w:rPr>
          <w:rFonts w:asciiTheme="minorHAnsi" w:hAnsiTheme="minorHAnsi"/>
          <w:sz w:val="8"/>
          <w:szCs w:val="8"/>
        </w:rPr>
      </w:pPr>
    </w:p>
    <w:tbl>
      <w:tblPr>
        <w:tblW w:w="8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8"/>
        <w:gridCol w:w="2707"/>
        <w:gridCol w:w="2789"/>
      </w:tblGrid>
      <w:tr w:rsidR="009A56A9" w:rsidRPr="00BA617B" w14:paraId="4FA0A01F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5D96118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Factor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F6E7C3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Recurrence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A0CB3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Progression</w:t>
            </w:r>
          </w:p>
        </w:tc>
      </w:tr>
      <w:tr w:rsidR="009A56A9" w:rsidRPr="00BA617B" w14:paraId="059A4D94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2BA65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Number of tumours</w:t>
            </w:r>
          </w:p>
        </w:tc>
      </w:tr>
      <w:tr w:rsidR="009A56A9" w:rsidRPr="00BA617B" w14:paraId="1B00B201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9EC9B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Single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AC0AC6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2643B8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13C8EE7D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B980C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2-7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8DC61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F4D62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</w:t>
            </w:r>
          </w:p>
        </w:tc>
      </w:tr>
      <w:tr w:rsidR="009A56A9" w:rsidRPr="00BA617B" w14:paraId="51D4A532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71F419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≥ 8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4AE2FE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6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96FD1E8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</w:t>
            </w:r>
          </w:p>
        </w:tc>
      </w:tr>
      <w:tr w:rsidR="009A56A9" w:rsidRPr="00BA617B" w14:paraId="4F477D09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D2490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Tumour diameter</w:t>
            </w:r>
          </w:p>
        </w:tc>
      </w:tr>
      <w:tr w:rsidR="009A56A9" w:rsidRPr="00BA617B" w14:paraId="6E5446EE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949BA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&lt; 3 cm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424709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014F8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4C35FC0E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231F958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≥ 3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237799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3F65E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</w:t>
            </w:r>
          </w:p>
        </w:tc>
      </w:tr>
      <w:tr w:rsidR="009A56A9" w:rsidRPr="00BA617B" w14:paraId="5D0D3ADD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E137F7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Prior recurrence rate</w:t>
            </w:r>
          </w:p>
        </w:tc>
      </w:tr>
      <w:tr w:rsidR="009A56A9" w:rsidRPr="00BA617B" w14:paraId="638056C2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98133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Primary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250FA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D62CC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4A3DEDEE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D8D3E8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≤ 1 recurrence/year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EA5542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79B41F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</w:t>
            </w:r>
          </w:p>
        </w:tc>
      </w:tr>
      <w:tr w:rsidR="009A56A9" w:rsidRPr="00BA617B" w14:paraId="129C064B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4DD977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&gt; 1 recurrence/year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082EB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4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F5A3D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</w:t>
            </w:r>
          </w:p>
        </w:tc>
      </w:tr>
      <w:tr w:rsidR="009A56A9" w:rsidRPr="00BA617B" w14:paraId="4638BE96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AA16C9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Category</w:t>
            </w:r>
          </w:p>
        </w:tc>
      </w:tr>
      <w:tr w:rsidR="009A56A9" w:rsidRPr="00BA617B" w14:paraId="57D08E31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9F468B9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Ta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6227B9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9AA59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1F5F694A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6EBD65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T1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8A16E7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C9D735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4</w:t>
            </w:r>
          </w:p>
        </w:tc>
      </w:tr>
      <w:tr w:rsidR="009A56A9" w:rsidRPr="00BA617B" w14:paraId="669C11E6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56FFB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Concurrent CIS</w:t>
            </w:r>
          </w:p>
        </w:tc>
      </w:tr>
      <w:tr w:rsidR="009A56A9" w:rsidRPr="00BA617B" w14:paraId="1B3C16DC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679447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No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B01499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13234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5273AB7A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B45A9C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Yes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8EDF1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10ED7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6</w:t>
            </w:r>
          </w:p>
        </w:tc>
      </w:tr>
      <w:tr w:rsidR="009A56A9" w:rsidRPr="00BA617B" w14:paraId="4BE04F2B" w14:textId="77777777" w:rsidTr="00D40055">
        <w:tc>
          <w:tcPr>
            <w:tcW w:w="5000" w:type="pct"/>
            <w:gridSpan w:val="3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A8643B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Grade</w:t>
            </w:r>
          </w:p>
        </w:tc>
      </w:tr>
      <w:tr w:rsidR="009A56A9" w:rsidRPr="00BA617B" w14:paraId="73F90698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74A0B58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G1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A2304B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F239AD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7C0AD6D2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37EEE27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G2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7832E9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E9F9B0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</w:tr>
      <w:tr w:rsidR="009A56A9" w:rsidRPr="00BA617B" w14:paraId="39E25821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E0258F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G3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0DAEC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5C06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5</w:t>
            </w:r>
          </w:p>
        </w:tc>
      </w:tr>
      <w:tr w:rsidR="009A56A9" w:rsidRPr="00BA617B" w14:paraId="7F639F45" w14:textId="77777777" w:rsidTr="00BA617B"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5BAC6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 xml:space="preserve">Total Score </w:t>
            </w:r>
          </w:p>
        </w:tc>
        <w:tc>
          <w:tcPr>
            <w:tcW w:w="165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6F0B62B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0-17</w:t>
            </w:r>
          </w:p>
        </w:tc>
        <w:tc>
          <w:tcPr>
            <w:tcW w:w="17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895A8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0-23</w:t>
            </w:r>
          </w:p>
        </w:tc>
      </w:tr>
    </w:tbl>
    <w:p w14:paraId="2BE22848" w14:textId="77777777" w:rsidR="00BA617B" w:rsidRDefault="00BA617B" w:rsidP="009A56A9">
      <w:pPr>
        <w:spacing w:line="270" w:lineRule="atLeast"/>
        <w:jc w:val="both"/>
        <w:textAlignment w:val="baseline"/>
        <w:rPr>
          <w:rFonts w:asciiTheme="minorHAnsi" w:hAnsiTheme="minorHAnsi"/>
          <w:b/>
          <w:bCs/>
          <w:color w:val="2C2B2B"/>
          <w:sz w:val="19"/>
          <w:szCs w:val="19"/>
          <w:lang w:val="en-US"/>
        </w:rPr>
      </w:pPr>
    </w:p>
    <w:p w14:paraId="1E3022B5" w14:textId="77777777" w:rsidR="00BA617B" w:rsidRPr="00BA617B" w:rsidRDefault="009A56A9" w:rsidP="009A56A9">
      <w:pPr>
        <w:spacing w:line="270" w:lineRule="atLeast"/>
        <w:jc w:val="both"/>
        <w:textAlignment w:val="baseline"/>
        <w:rPr>
          <w:rFonts w:asciiTheme="minorHAnsi" w:hAnsiTheme="minorHAnsi"/>
          <w:b/>
          <w:bCs/>
          <w:color w:val="2C2B2B"/>
          <w:sz w:val="19"/>
          <w:szCs w:val="19"/>
          <w:lang w:val="en-US"/>
        </w:rPr>
      </w:pPr>
      <w:r w:rsidRPr="00BA617B">
        <w:rPr>
          <w:rFonts w:asciiTheme="minorHAnsi" w:hAnsiTheme="minorHAnsi"/>
          <w:b/>
          <w:bCs/>
          <w:color w:val="2C2B2B"/>
          <w:sz w:val="19"/>
          <w:szCs w:val="19"/>
          <w:lang w:val="en-US"/>
        </w:rPr>
        <w:t>Probability of recurrence and disease progression according to total score</w:t>
      </w:r>
    </w:p>
    <w:tbl>
      <w:tblPr>
        <w:tblW w:w="8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641"/>
        <w:gridCol w:w="1641"/>
        <w:gridCol w:w="1641"/>
        <w:gridCol w:w="1641"/>
      </w:tblGrid>
      <w:tr w:rsidR="009A56A9" w:rsidRPr="00384979" w14:paraId="450D8BAE" w14:textId="77777777" w:rsidTr="00D40055">
        <w:tc>
          <w:tcPr>
            <w:tcW w:w="1000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B03759" w14:textId="77777777" w:rsid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Recurrence</w:t>
            </w:r>
          </w:p>
          <w:p w14:paraId="7E4810A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score</w:t>
            </w:r>
          </w:p>
        </w:tc>
        <w:tc>
          <w:tcPr>
            <w:tcW w:w="2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B3767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  <w:t>Probability of recurrence at 1 year</w:t>
            </w:r>
          </w:p>
        </w:tc>
        <w:tc>
          <w:tcPr>
            <w:tcW w:w="2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D3812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  <w:t>Probability of recurrence at 5 years</w:t>
            </w:r>
          </w:p>
        </w:tc>
      </w:tr>
      <w:tr w:rsidR="009A56A9" w:rsidRPr="00BA617B" w14:paraId="22F6889C" w14:textId="77777777" w:rsidTr="00D40055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33B470FF" w14:textId="77777777" w:rsidR="009A56A9" w:rsidRPr="00BA617B" w:rsidRDefault="009A56A9" w:rsidP="00BA617B">
            <w:pPr>
              <w:spacing w:line="240" w:lineRule="auto"/>
              <w:rPr>
                <w:rFonts w:asciiTheme="minorHAnsi" w:hAnsiTheme="minorHAnsi"/>
                <w:b/>
                <w:bCs/>
                <w:color w:val="2C2B2B"/>
                <w:sz w:val="23"/>
                <w:szCs w:val="23"/>
                <w:lang w:val="en-US"/>
              </w:rPr>
            </w:pP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5FB7D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%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F1D48D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 xml:space="preserve">(95% CI) 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812D3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%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B146D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(95% CI)</w:t>
            </w:r>
          </w:p>
        </w:tc>
      </w:tr>
      <w:tr w:rsidR="009A56A9" w:rsidRPr="00BA617B" w14:paraId="6C1B6917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6E3837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3842C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15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679DFF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(10-19)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0250C36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31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5265E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(24-37)</w:t>
            </w:r>
          </w:p>
        </w:tc>
      </w:tr>
      <w:tr w:rsidR="009A56A9" w:rsidRPr="00BA617B" w14:paraId="0A6EE84C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29B76F6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1-4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12FB2E1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24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EE30C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(21-26)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5D2811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46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7AE07D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(42-49)</w:t>
            </w:r>
          </w:p>
        </w:tc>
      </w:tr>
      <w:tr w:rsidR="009A56A9" w:rsidRPr="00BA617B" w14:paraId="158A477C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D2596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5-9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FBC2A7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38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0B7037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(35-41)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0C779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62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55D99E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(58-65)</w:t>
            </w:r>
          </w:p>
        </w:tc>
      </w:tr>
      <w:tr w:rsidR="009A56A9" w:rsidRPr="00BA617B" w14:paraId="0B84AF6C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E525A7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10-17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5E26E0F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61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AA4E8A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(55-67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7D1E4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78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FFC06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(73-84)</w:t>
            </w:r>
          </w:p>
        </w:tc>
      </w:tr>
    </w:tbl>
    <w:p w14:paraId="7C4A75B5" w14:textId="77777777" w:rsidR="009A56A9" w:rsidRPr="00BA617B" w:rsidRDefault="009A56A9" w:rsidP="00BA617B">
      <w:pPr>
        <w:spacing w:line="240" w:lineRule="auto"/>
        <w:rPr>
          <w:rFonts w:asciiTheme="minorHAnsi" w:hAnsiTheme="minorHAnsi"/>
          <w:vanish/>
        </w:rPr>
      </w:pPr>
    </w:p>
    <w:tbl>
      <w:tblPr>
        <w:tblW w:w="82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0"/>
        <w:gridCol w:w="1641"/>
        <w:gridCol w:w="1641"/>
        <w:gridCol w:w="1641"/>
        <w:gridCol w:w="1641"/>
      </w:tblGrid>
      <w:tr w:rsidR="009A56A9" w:rsidRPr="00384979" w14:paraId="5B0936FA" w14:textId="77777777" w:rsidTr="00D40055">
        <w:tc>
          <w:tcPr>
            <w:tcW w:w="1000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9298CA" w14:textId="77777777" w:rsid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Progression</w:t>
            </w:r>
          </w:p>
          <w:p w14:paraId="45FC56E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</w:rPr>
              <w:t>score</w:t>
            </w:r>
          </w:p>
        </w:tc>
        <w:tc>
          <w:tcPr>
            <w:tcW w:w="2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9F77E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  <w:t>Probability of progression at 1 year</w:t>
            </w:r>
          </w:p>
        </w:tc>
        <w:tc>
          <w:tcPr>
            <w:tcW w:w="2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C7761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</w:pPr>
            <w:r w:rsidRPr="00BA617B">
              <w:rPr>
                <w:rFonts w:asciiTheme="minorHAnsi" w:hAnsiTheme="minorHAnsi"/>
                <w:b/>
                <w:bCs/>
                <w:color w:val="2C2B2B"/>
                <w:sz w:val="20"/>
                <w:lang w:val="en-US"/>
              </w:rPr>
              <w:t>Probability of progression at 5 years</w:t>
            </w:r>
          </w:p>
        </w:tc>
      </w:tr>
      <w:tr w:rsidR="009A56A9" w:rsidRPr="00BA617B" w14:paraId="74F751C2" w14:textId="77777777" w:rsidTr="00D40055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0B8EF5A2" w14:textId="77777777" w:rsidR="009A56A9" w:rsidRPr="00BA617B" w:rsidRDefault="009A56A9" w:rsidP="00BA617B">
            <w:pPr>
              <w:spacing w:line="240" w:lineRule="auto"/>
              <w:rPr>
                <w:rFonts w:asciiTheme="minorHAnsi" w:hAnsiTheme="minorHAnsi"/>
                <w:b/>
                <w:bCs/>
                <w:color w:val="2C2B2B"/>
                <w:sz w:val="23"/>
                <w:szCs w:val="23"/>
                <w:lang w:val="en-US"/>
              </w:rPr>
            </w:pP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671EF0B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%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BEC2C6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 xml:space="preserve">(95% CI) 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E700FC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%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C1962F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(95% CI)</w:t>
            </w:r>
          </w:p>
        </w:tc>
      </w:tr>
      <w:tr w:rsidR="009A56A9" w:rsidRPr="00BA617B" w14:paraId="2AF6318F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F08753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849A11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0.2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1739AC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(0-0.7)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A0C3781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0.8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1BA164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(0-1.7)</w:t>
            </w:r>
          </w:p>
        </w:tc>
      </w:tr>
      <w:tr w:rsidR="009A56A9" w:rsidRPr="00BA617B" w14:paraId="7E383216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D80D8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2-6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B879A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BDDE215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(0.4-1.6)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370FE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6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68F2D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(5-8)</w:t>
            </w:r>
          </w:p>
        </w:tc>
      </w:tr>
      <w:tr w:rsidR="009A56A9" w:rsidRPr="00BA617B" w14:paraId="4C7422C6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CE660FD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7-13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D23B27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5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813514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(4-7)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0DDF133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17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7AD617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(14-20)</w:t>
            </w:r>
          </w:p>
        </w:tc>
      </w:tr>
      <w:tr w:rsidR="009A56A9" w:rsidRPr="00BA617B" w14:paraId="071ED67B" w14:textId="77777777" w:rsidTr="00D40055"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E66D2E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14-23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9B4F07B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17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7A8A5B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(10-24)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11A9F92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45</w:t>
            </w:r>
          </w:p>
        </w:tc>
        <w:tc>
          <w:tcPr>
            <w:tcW w:w="1000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5688E10" w14:textId="77777777" w:rsidR="009A56A9" w:rsidRPr="00BA617B" w:rsidRDefault="009A56A9" w:rsidP="00BA617B">
            <w:pPr>
              <w:spacing w:line="240" w:lineRule="auto"/>
              <w:textAlignment w:val="baseline"/>
              <w:rPr>
                <w:rFonts w:asciiTheme="minorHAnsi" w:hAnsiTheme="minorHAnsi"/>
                <w:color w:val="2C2B2B"/>
                <w:sz w:val="19"/>
                <w:szCs w:val="19"/>
              </w:rPr>
            </w:pPr>
            <w:r w:rsidRPr="00BA617B">
              <w:rPr>
                <w:rFonts w:asciiTheme="minorHAnsi" w:hAnsiTheme="minorHAnsi"/>
                <w:color w:val="2C2B2B"/>
                <w:sz w:val="19"/>
                <w:szCs w:val="19"/>
              </w:rPr>
              <w:t>(35-55)</w:t>
            </w:r>
          </w:p>
        </w:tc>
      </w:tr>
    </w:tbl>
    <w:p w14:paraId="4516D7EB" w14:textId="77777777" w:rsidR="009A56A9" w:rsidRDefault="009A56A9" w:rsidP="009A56A9"/>
    <w:p w14:paraId="10A03FBB" w14:textId="77777777" w:rsidR="00E506C7" w:rsidRDefault="00E506C7" w:rsidP="00667CC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en-GB"/>
        </w:rPr>
      </w:pPr>
      <w:r>
        <w:rPr>
          <w:rFonts w:asciiTheme="minorHAnsi" w:hAnsiTheme="minorHAnsi" w:cstheme="minorHAnsi"/>
          <w:b/>
          <w:szCs w:val="22"/>
          <w:lang w:val="en-GB"/>
        </w:rPr>
        <w:br w:type="page"/>
      </w:r>
    </w:p>
    <w:p w14:paraId="219E5218" w14:textId="45EC2DA7" w:rsidR="00667CC3" w:rsidRPr="00292692" w:rsidRDefault="00667CC3" w:rsidP="00667CC3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292692">
        <w:rPr>
          <w:rFonts w:asciiTheme="minorHAnsi" w:hAnsiTheme="minorHAnsi" w:cstheme="minorHAnsi"/>
          <w:b/>
          <w:szCs w:val="22"/>
          <w:lang w:val="en-GB"/>
        </w:rPr>
        <w:lastRenderedPageBreak/>
        <w:t xml:space="preserve">EORTC 2016 or CUETO risk scoring model </w:t>
      </w:r>
      <w:r w:rsidRPr="00292692">
        <w:rPr>
          <w:rFonts w:asciiTheme="minorHAnsi" w:hAnsiTheme="minorHAnsi" w:cstheme="minorHAnsi"/>
          <w:szCs w:val="22"/>
          <w:lang w:val="en-GB"/>
        </w:rPr>
        <w:t>for pts with BCG treatment for recurrence with 7 risk factors:</w:t>
      </w:r>
    </w:p>
    <w:p w14:paraId="51C02E19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gender;</w:t>
      </w:r>
    </w:p>
    <w:p w14:paraId="54B54494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age;</w:t>
      </w:r>
    </w:p>
    <w:p w14:paraId="4914D741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prior recurrence status;</w:t>
      </w:r>
    </w:p>
    <w:p w14:paraId="3F92AB42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number of tumours;</w:t>
      </w:r>
    </w:p>
    <w:p w14:paraId="78C0EA39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T category;</w:t>
      </w:r>
    </w:p>
    <w:p w14:paraId="1BE69873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associated CIS;</w:t>
      </w:r>
    </w:p>
    <w:p w14:paraId="78734479" w14:textId="77777777" w:rsidR="00667CC3" w:rsidRPr="00292692" w:rsidRDefault="00667CC3" w:rsidP="00667CC3">
      <w:pPr>
        <w:pStyle w:val="Textkrper-Einzug2"/>
        <w:numPr>
          <w:ilvl w:val="1"/>
          <w:numId w:val="3"/>
        </w:numPr>
        <w:spacing w:after="0" w:line="276" w:lineRule="auto"/>
        <w:ind w:left="709"/>
        <w:jc w:val="both"/>
        <w:rPr>
          <w:rFonts w:asciiTheme="minorHAnsi" w:hAnsiTheme="minorHAnsi" w:cstheme="minorHAnsi"/>
          <w:szCs w:val="22"/>
        </w:rPr>
      </w:pPr>
      <w:r w:rsidRPr="00292692">
        <w:rPr>
          <w:rFonts w:asciiTheme="minorHAnsi" w:hAnsiTheme="minorHAnsi" w:cstheme="minorHAnsi"/>
          <w:szCs w:val="22"/>
        </w:rPr>
        <w:t>WHO 1973 tumour grade.</w:t>
      </w:r>
    </w:p>
    <w:p w14:paraId="7916C7D8" w14:textId="77777777" w:rsidR="00E07CDE" w:rsidRPr="00292692" w:rsidRDefault="00E07CDE" w:rsidP="00BA617B"/>
    <w:p w14:paraId="79FDAD44" w14:textId="77777777" w:rsidR="00E07CDE" w:rsidRPr="00292692" w:rsidRDefault="00F42468" w:rsidP="00F42468">
      <w:pPr>
        <w:pStyle w:val="berschrift4"/>
        <w:rPr>
          <w:lang w:val="de-AT"/>
        </w:rPr>
      </w:pPr>
      <w:r w:rsidRPr="00292692">
        <w:rPr>
          <w:lang w:val="de-AT"/>
        </w:rPr>
        <w:t>3.1.4</w:t>
      </w:r>
      <w:r w:rsidR="00E07CDE" w:rsidRPr="00292692">
        <w:rPr>
          <w:lang w:val="de-AT"/>
        </w:rPr>
        <w:tab/>
      </w:r>
      <w:r w:rsidR="00667CC3" w:rsidRPr="00292692">
        <w:rPr>
          <w:lang w:val="de-AT"/>
        </w:rPr>
        <w:t>Therapiealgorithmus des NMIBC nach Risikogruppen</w:t>
      </w:r>
    </w:p>
    <w:p w14:paraId="13ECF707" w14:textId="77777777" w:rsidR="00667CC3" w:rsidRPr="00667CC3" w:rsidRDefault="00667CC3" w:rsidP="00667CC3">
      <w:pPr>
        <w:jc w:val="left"/>
        <w:rPr>
          <w:rFonts w:asciiTheme="minorHAnsi" w:hAnsiTheme="minorHAnsi"/>
          <w:sz w:val="18"/>
          <w:szCs w:val="18"/>
        </w:rPr>
      </w:pPr>
      <w:r w:rsidRPr="00292692">
        <w:rPr>
          <w:rFonts w:asciiTheme="minorHAnsi" w:hAnsiTheme="minorHAnsi"/>
          <w:sz w:val="18"/>
          <w:szCs w:val="18"/>
        </w:rPr>
        <w:t>(Empfehlungsgrad in Klammern)</w:t>
      </w:r>
    </w:p>
    <w:p w14:paraId="04CD7B9F" w14:textId="77777777" w:rsidR="00E07CDE" w:rsidRPr="006676BC" w:rsidRDefault="00667CC3" w:rsidP="00F42468">
      <w:r w:rsidRPr="00AD568D">
        <w:rPr>
          <w:rFonts w:ascii="Times New Roman" w:hAnsi="Times New Roman"/>
          <w:noProof/>
          <w:lang w:eastAsia="de-AT"/>
        </w:rPr>
        <w:drawing>
          <wp:inline distT="0" distB="0" distL="0" distR="0" wp14:anchorId="7631C34B" wp14:editId="6E1E08E8">
            <wp:extent cx="5407117" cy="5841204"/>
            <wp:effectExtent l="0" t="0" r="3175" b="762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58"/>
                    <a:stretch/>
                  </pic:blipFill>
                  <pic:spPr bwMode="auto">
                    <a:xfrm>
                      <a:off x="0" y="0"/>
                      <a:ext cx="5421417" cy="585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C3F74" w14:textId="46F63E09" w:rsidR="00667CC3" w:rsidRPr="00B865E1" w:rsidRDefault="00384979" w:rsidP="00667CC3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hyperlink w:anchor="_Anhang:_Studienblatt_(optional)" w:history="1">
        <w:r w:rsidR="00667CC3" w:rsidRPr="00B865E1">
          <w:rPr>
            <w:rStyle w:val="Hyperlink"/>
            <w:rFonts w:asciiTheme="minorHAnsi" w:hAnsiTheme="minorHAnsi" w:cstheme="minorHAnsi"/>
            <w:szCs w:val="22"/>
          </w:rPr>
          <w:t>Studien im Tumorzentrum:</w:t>
        </w:r>
      </w:hyperlink>
    </w:p>
    <w:p w14:paraId="22EB23ED" w14:textId="77777777" w:rsidR="00667CC3" w:rsidRPr="00B865E1" w:rsidRDefault="00667CC3" w:rsidP="00667CC3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B865E1">
        <w:rPr>
          <w:rFonts w:asciiTheme="minorHAnsi" w:hAnsiTheme="minorHAnsi" w:cstheme="minorHAnsi"/>
          <w:szCs w:val="22"/>
        </w:rPr>
        <w:t>Potomac und Keynote-676</w:t>
      </w:r>
    </w:p>
    <w:p w14:paraId="31CE0C52" w14:textId="77777777" w:rsidR="00342146" w:rsidRPr="00B865E1" w:rsidRDefault="00342146" w:rsidP="00667CC3">
      <w:pPr>
        <w:jc w:val="left"/>
      </w:pPr>
    </w:p>
    <w:p w14:paraId="48BB7BBB" w14:textId="77777777" w:rsidR="00D40055" w:rsidRDefault="00D40055" w:rsidP="000250A1">
      <w:pPr>
        <w:pStyle w:val="berschrift3"/>
        <w:rPr>
          <w:lang w:val="en-GB"/>
        </w:rPr>
      </w:pPr>
      <w:bookmarkStart w:id="11" w:name="_Toc92971141"/>
      <w:r w:rsidRPr="00D40055">
        <w:rPr>
          <w:lang w:val="en-GB"/>
        </w:rPr>
        <w:lastRenderedPageBreak/>
        <w:t>3.1.</w:t>
      </w:r>
      <w:r w:rsidR="00F42468">
        <w:rPr>
          <w:lang w:val="en-GB"/>
        </w:rPr>
        <w:t>5</w:t>
      </w:r>
      <w:r w:rsidRPr="00D40055">
        <w:rPr>
          <w:lang w:val="en-GB"/>
        </w:rPr>
        <w:tab/>
        <w:t>International Bladder Cancer Group algorithm for the management of intermediate-risk non</w:t>
      </w:r>
      <w:r>
        <w:rPr>
          <w:lang w:val="en-GB"/>
        </w:rPr>
        <w:t>–muscle-invasive bladder cancer</w:t>
      </w:r>
      <w:bookmarkEnd w:id="11"/>
    </w:p>
    <w:p w14:paraId="5B869BE2" w14:textId="77777777" w:rsidR="00D40055" w:rsidRPr="00D40055" w:rsidRDefault="00D40055" w:rsidP="00D40055">
      <w:pPr>
        <w:rPr>
          <w:lang w:val="en-GB"/>
        </w:rPr>
      </w:pPr>
    </w:p>
    <w:p w14:paraId="56171CF8" w14:textId="77777777" w:rsidR="00D40055" w:rsidRPr="00D96E54" w:rsidRDefault="00D40055" w:rsidP="00E07CDE">
      <w:pPr>
        <w:rPr>
          <w:lang w:val="en-GB"/>
        </w:rPr>
      </w:pPr>
      <w:r w:rsidRPr="00D96E54">
        <w:rPr>
          <w:rFonts w:ascii="Times New Roman" w:hAnsi="Times New Roman"/>
          <w:noProof/>
          <w:lang w:eastAsia="de-AT"/>
        </w:rPr>
        <w:drawing>
          <wp:inline distT="0" distB="0" distL="0" distR="0" wp14:anchorId="1148A572" wp14:editId="2AFFAEF4">
            <wp:extent cx="4883848" cy="3460355"/>
            <wp:effectExtent l="0" t="0" r="0" b="6985"/>
            <wp:docPr id="3" name="Grafik 3" descr="Ein Bild, das Tisch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896" cy="34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3733" w14:textId="77777777" w:rsidR="00F42468" w:rsidRPr="00D96E54" w:rsidRDefault="00F42468" w:rsidP="00E07CDE">
      <w:pPr>
        <w:rPr>
          <w:lang w:val="en-GB"/>
        </w:rPr>
      </w:pPr>
    </w:p>
    <w:p w14:paraId="75B588F3" w14:textId="77777777" w:rsidR="00F42468" w:rsidRPr="00D96E54" w:rsidRDefault="00F42468" w:rsidP="00F4246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D96E54">
        <w:rPr>
          <w:rFonts w:asciiTheme="minorHAnsi" w:hAnsiTheme="minorHAnsi" w:cstheme="minorHAnsi"/>
          <w:szCs w:val="22"/>
          <w:lang w:val="en-GB"/>
        </w:rPr>
        <w:t xml:space="preserve">High und intermediate Risk Patienten: </w:t>
      </w:r>
    </w:p>
    <w:p w14:paraId="5053C1EB" w14:textId="77777777" w:rsidR="00F42468" w:rsidRPr="00D96E54" w:rsidRDefault="00F42468" w:rsidP="00F4246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96E54">
        <w:rPr>
          <w:rFonts w:asciiTheme="minorHAnsi" w:hAnsiTheme="minorHAnsi" w:cstheme="minorHAnsi"/>
          <w:szCs w:val="22"/>
        </w:rPr>
        <w:t>32% Recurrence Reduktion, aber keine Reduktion der Progression mit BCG vs Chemoinstillation</w:t>
      </w:r>
    </w:p>
    <w:p w14:paraId="38434716" w14:textId="77777777" w:rsidR="00F42468" w:rsidRPr="00D96E54" w:rsidRDefault="00F42468" w:rsidP="00F42468">
      <w:pPr>
        <w:pStyle w:val="Textkrper-Einzug2"/>
        <w:numPr>
          <w:ilvl w:val="0"/>
          <w:numId w:val="3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D96E54">
        <w:rPr>
          <w:rFonts w:asciiTheme="minorHAnsi" w:hAnsiTheme="minorHAnsi" w:cstheme="minorHAnsi"/>
          <w:szCs w:val="22"/>
        </w:rPr>
        <w:t xml:space="preserve">3 yr BCG-Instillationsschema mit Recurrence Reduktion vs 1 yr Schema lediglich beim HR nicht im IR Patienten </w:t>
      </w:r>
    </w:p>
    <w:p w14:paraId="080AF45B" w14:textId="77777777" w:rsidR="00F42468" w:rsidRPr="00F42468" w:rsidRDefault="00F42468" w:rsidP="00E07CDE"/>
    <w:p w14:paraId="274D06F9" w14:textId="77777777" w:rsidR="00D40055" w:rsidRDefault="00D40055" w:rsidP="000250A1">
      <w:pPr>
        <w:pStyle w:val="berschrift3"/>
      </w:pPr>
      <w:bookmarkStart w:id="12" w:name="_Toc92971142"/>
      <w:r w:rsidRPr="00D96E54">
        <w:t>3.1.</w:t>
      </w:r>
      <w:r w:rsidR="00F42468" w:rsidRPr="00D96E54">
        <w:t>6</w:t>
      </w:r>
      <w:r w:rsidRPr="00D40055">
        <w:tab/>
        <w:t>Definition des „BCG unresponsive Tumors“</w:t>
      </w:r>
      <w:r w:rsidR="00E651C5">
        <w:t xml:space="preserve"> (BCG Versager)</w:t>
      </w:r>
      <w:bookmarkEnd w:id="12"/>
    </w:p>
    <w:p w14:paraId="511155F9" w14:textId="77777777" w:rsidR="00D40055" w:rsidRPr="00995E5F" w:rsidRDefault="00D40055" w:rsidP="00D40055">
      <w:pPr>
        <w:pStyle w:val="Textkrper-Einzug2"/>
        <w:spacing w:after="0" w:line="276" w:lineRule="auto"/>
        <w:ind w:left="0"/>
        <w:jc w:val="right"/>
        <w:rPr>
          <w:rFonts w:asciiTheme="minorHAnsi" w:hAnsiTheme="minorHAnsi" w:cstheme="minorHAnsi"/>
          <w:sz w:val="18"/>
          <w:szCs w:val="18"/>
          <w:lang w:val="en-GB"/>
        </w:rPr>
      </w:pPr>
      <w:r w:rsidRPr="00995E5F">
        <w:rPr>
          <w:rFonts w:asciiTheme="minorHAnsi" w:hAnsiTheme="minorHAnsi" w:cstheme="minorHAnsi"/>
          <w:sz w:val="18"/>
          <w:szCs w:val="18"/>
          <w:lang w:val="en-GB"/>
        </w:rPr>
        <w:t>Kamal, JCO 2016 ; Lerner, Bladder Cancer 2016 ; FDA Guidance Document 2018</w:t>
      </w:r>
    </w:p>
    <w:p w14:paraId="211C114B" w14:textId="77777777" w:rsidR="00D40055" w:rsidRPr="00995E5F" w:rsidRDefault="00D40055" w:rsidP="00D4005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  <w:lang w:val="en-GB"/>
        </w:rPr>
      </w:pPr>
    </w:p>
    <w:p w14:paraId="4CD029EF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szCs w:val="22"/>
        </w:rPr>
      </w:pPr>
      <w:r w:rsidRPr="00E651C5">
        <w:rPr>
          <w:rFonts w:asciiTheme="minorHAnsi" w:hAnsiTheme="minorHAnsi" w:cstheme="minorHAnsi"/>
          <w:b/>
          <w:szCs w:val="22"/>
        </w:rPr>
        <w:t xml:space="preserve">BCG unresponsive (BCG Versager): </w:t>
      </w:r>
    </w:p>
    <w:p w14:paraId="68E59ECC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BCG refractory + BCG relapsing innerhalb von 6 Monaten des letzten BCG´s</w:t>
      </w:r>
    </w:p>
    <w:p w14:paraId="4C09E44E" w14:textId="77777777" w:rsidR="00E651C5" w:rsidRPr="00E651C5" w:rsidRDefault="00E651C5" w:rsidP="00E651C5">
      <w:pPr>
        <w:pStyle w:val="Textkrper-Einzug2"/>
        <w:spacing w:after="0" w:line="276" w:lineRule="auto"/>
        <w:jc w:val="left"/>
        <w:rPr>
          <w:rFonts w:asciiTheme="minorHAnsi" w:hAnsiTheme="minorHAnsi" w:cstheme="minorHAnsi"/>
          <w:szCs w:val="22"/>
        </w:rPr>
      </w:pPr>
    </w:p>
    <w:p w14:paraId="32886944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BCG refractory: </w:t>
      </w:r>
    </w:p>
    <w:p w14:paraId="363B22E1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Persistierender HG Tumor nach 6 Monaten trotz adequater BCG Therapie*</w:t>
      </w:r>
    </w:p>
    <w:p w14:paraId="15B5EF07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Jede Progression von Stadium/Grad nach 3 Monaten iBCG (Induktions-BCG)</w:t>
      </w:r>
    </w:p>
    <w:p w14:paraId="7F9F987C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T1HG nach 3 Monaten</w:t>
      </w:r>
    </w:p>
    <w:p w14:paraId="28A9CF0D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CIS nach 3 und 6 Monaten nach Reinduktion oder 1 Kurs Maintenance</w:t>
      </w:r>
    </w:p>
    <w:p w14:paraId="1578DEE5" w14:textId="77777777" w:rsidR="00E651C5" w:rsidRPr="00E651C5" w:rsidRDefault="00E651C5" w:rsidP="00E651C5">
      <w:pPr>
        <w:pStyle w:val="Textkrper-Einzug2"/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(Zusätzliche BCG Therapie nach 3 Monaten bei CIS mit CR &gt;50%)! </w:t>
      </w:r>
    </w:p>
    <w:p w14:paraId="590BC15F" w14:textId="77777777" w:rsidR="00E651C5" w:rsidRPr="00E651C5" w:rsidRDefault="00E651C5" w:rsidP="00E651C5">
      <w:pPr>
        <w:pStyle w:val="Textkrper-Einzug2"/>
        <w:spacing w:after="0" w:line="276" w:lineRule="auto"/>
        <w:jc w:val="left"/>
        <w:rPr>
          <w:rFonts w:asciiTheme="minorHAnsi" w:hAnsiTheme="minorHAnsi" w:cstheme="minorHAnsi"/>
          <w:szCs w:val="22"/>
        </w:rPr>
      </w:pPr>
    </w:p>
    <w:p w14:paraId="33062C9C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BCG Relapsing: </w:t>
      </w:r>
    </w:p>
    <w:p w14:paraId="0EEA2103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Rezidiv eines HG Tumors nach 6-monatiger Krankheitsfreiheit nach  adequater BCG Therapie</w:t>
      </w:r>
      <w:r w:rsidRPr="00E651C5">
        <w:rPr>
          <w:rFonts w:asciiTheme="minorHAnsi" w:hAnsiTheme="minorHAnsi" w:cstheme="minorHAnsi"/>
          <w:szCs w:val="22"/>
        </w:rPr>
        <w:tab/>
      </w:r>
    </w:p>
    <w:p w14:paraId="47011661" w14:textId="77777777" w:rsidR="00E651C5" w:rsidRPr="00E651C5" w:rsidRDefault="00E651C5" w:rsidP="00E651C5">
      <w:pPr>
        <w:pStyle w:val="Textkrper-Einzug2"/>
        <w:numPr>
          <w:ilvl w:val="0"/>
          <w:numId w:val="27"/>
        </w:numPr>
        <w:spacing w:after="0" w:line="276" w:lineRule="auto"/>
        <w:ind w:left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Relaps von Höchst-Risiko Patienten innerhalb von einer 6-monatigen BCG Exposition (laufende mBCG)</w:t>
      </w:r>
    </w:p>
    <w:p w14:paraId="0FC45A1D" w14:textId="77777777" w:rsidR="00E651C5" w:rsidRPr="00E651C5" w:rsidRDefault="00E651C5" w:rsidP="00E651C5">
      <w:pPr>
        <w:pStyle w:val="Textkrper-Einzug2"/>
        <w:spacing w:after="0" w:line="276" w:lineRule="auto"/>
        <w:ind w:left="1416" w:hanging="1416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lastRenderedPageBreak/>
        <w:t>BCG Intoleranz:</w:t>
      </w:r>
      <w:r>
        <w:rPr>
          <w:rFonts w:asciiTheme="minorHAnsi" w:hAnsiTheme="minorHAnsi" w:cstheme="minorHAnsi"/>
          <w:szCs w:val="22"/>
        </w:rPr>
        <w:tab/>
      </w:r>
      <w:r w:rsidRPr="00E651C5">
        <w:rPr>
          <w:rFonts w:asciiTheme="minorHAnsi" w:hAnsiTheme="minorHAnsi" w:cstheme="minorHAnsi"/>
          <w:szCs w:val="22"/>
        </w:rPr>
        <w:t>Schwere Nebenwirkungen, die eine weitere BCG Exposition vor</w:t>
      </w:r>
      <w:r>
        <w:rPr>
          <w:rFonts w:asciiTheme="minorHAnsi" w:hAnsiTheme="minorHAnsi" w:cstheme="minorHAnsi"/>
          <w:szCs w:val="22"/>
        </w:rPr>
        <w:t xml:space="preserve"> T</w:t>
      </w:r>
      <w:r w:rsidRPr="00E651C5">
        <w:rPr>
          <w:rFonts w:asciiTheme="minorHAnsi" w:hAnsiTheme="minorHAnsi" w:cstheme="minorHAnsi"/>
          <w:szCs w:val="22"/>
        </w:rPr>
        <w:t>herapieabschluss verhindern</w:t>
      </w:r>
    </w:p>
    <w:p w14:paraId="7AC1B9F6" w14:textId="77777777" w:rsidR="00E651C5" w:rsidRPr="00E651C5" w:rsidRDefault="00E651C5" w:rsidP="00E651C5">
      <w:pPr>
        <w:pStyle w:val="Textkrper-Einzug2"/>
        <w:spacing w:after="0" w:line="276" w:lineRule="auto"/>
        <w:jc w:val="left"/>
        <w:rPr>
          <w:rFonts w:asciiTheme="minorHAnsi" w:hAnsiTheme="minorHAnsi" w:cstheme="minorHAnsi"/>
          <w:szCs w:val="22"/>
        </w:rPr>
      </w:pPr>
    </w:p>
    <w:p w14:paraId="750811BE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Patienten mit Low Grade Rezidiv während oder nach BCG sind keine BCG-Versager !</w:t>
      </w:r>
    </w:p>
    <w:p w14:paraId="519D9E22" w14:textId="77777777" w:rsidR="00E651C5" w:rsidRPr="00E651C5" w:rsidRDefault="00E651C5" w:rsidP="00E651C5">
      <w:pPr>
        <w:pStyle w:val="Textkrper-Einzug2"/>
        <w:spacing w:after="0" w:line="276" w:lineRule="auto"/>
        <w:jc w:val="left"/>
        <w:rPr>
          <w:rFonts w:asciiTheme="minorHAnsi" w:hAnsiTheme="minorHAnsi" w:cstheme="minorHAnsi"/>
          <w:szCs w:val="22"/>
        </w:rPr>
      </w:pPr>
    </w:p>
    <w:p w14:paraId="26C85EC9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 w:val="18"/>
          <w:szCs w:val="18"/>
        </w:rPr>
      </w:pPr>
      <w:r w:rsidRPr="00E651C5">
        <w:rPr>
          <w:rFonts w:asciiTheme="minorHAnsi" w:hAnsiTheme="minorHAnsi" w:cstheme="minorHAnsi"/>
          <w:sz w:val="18"/>
          <w:szCs w:val="18"/>
        </w:rPr>
        <w:t>*Adequate BCG Therapie:</w:t>
      </w:r>
    </w:p>
    <w:p w14:paraId="6FE91617" w14:textId="77777777" w:rsidR="008B0942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 w:val="18"/>
          <w:szCs w:val="18"/>
        </w:rPr>
        <w:t>Zumindest 5 von 6 Dosen BCG Induktion + zumindest 2 zusätzliche Dosen einer BCG Erhaltungstherapie</w:t>
      </w:r>
    </w:p>
    <w:p w14:paraId="5C015EB9" w14:textId="77777777" w:rsidR="008B0942" w:rsidRDefault="008B0942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3B9BCE7A" w14:textId="77777777" w:rsidR="00F42468" w:rsidRPr="00F42468" w:rsidRDefault="00F42468" w:rsidP="00F42468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D96E54">
        <w:rPr>
          <w:rFonts w:asciiTheme="minorHAnsi" w:hAnsiTheme="minorHAnsi" w:cstheme="minorHAnsi"/>
          <w:szCs w:val="22"/>
        </w:rPr>
        <w:t>Patienten, die einen Progress nach BCG in ein MIBC aufweisen, haben ein signifikant schlechteres Overall-, Cancer-specific Survival und ein höheres pathologisches Upstaging als de novo MIBC-Patienten nach Zystektomie.</w:t>
      </w:r>
    </w:p>
    <w:p w14:paraId="634CEE0B" w14:textId="77777777" w:rsidR="00F42468" w:rsidRDefault="00F42468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19550007" w14:textId="77777777" w:rsidR="008B0942" w:rsidRDefault="008B0942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6CEED2D3" w14:textId="77777777" w:rsidR="008B0942" w:rsidRPr="008B0942" w:rsidRDefault="008B0942" w:rsidP="000250A1">
      <w:pPr>
        <w:pStyle w:val="berschrift3"/>
      </w:pPr>
      <w:bookmarkStart w:id="13" w:name="_Toc92971143"/>
      <w:r w:rsidRPr="00D96E54">
        <w:t>3.1.</w:t>
      </w:r>
      <w:r w:rsidR="00F42468" w:rsidRPr="00D96E54">
        <w:t>7</w:t>
      </w:r>
      <w:r w:rsidRPr="00D96E54">
        <w:tab/>
      </w:r>
      <w:r w:rsidR="000250A1" w:rsidRPr="00D96E54">
        <w:tab/>
      </w:r>
      <w:r w:rsidRPr="00D96E54">
        <w:t>Therapieoptionen</w:t>
      </w:r>
      <w:r>
        <w:t xml:space="preserve"> für BCG – unresponsive NMIBC</w:t>
      </w:r>
      <w:bookmarkEnd w:id="13"/>
    </w:p>
    <w:p w14:paraId="211AD108" w14:textId="77777777" w:rsidR="008B0942" w:rsidRPr="008B0942" w:rsidRDefault="00E651C5" w:rsidP="008B0942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>Frühzeitige</w:t>
      </w:r>
      <w:r w:rsidR="008B0942" w:rsidRPr="008B0942">
        <w:rPr>
          <w:rFonts w:asciiTheme="minorHAnsi" w:hAnsiTheme="minorHAnsi" w:cstheme="minorHAnsi"/>
          <w:szCs w:val="22"/>
        </w:rPr>
        <w:t xml:space="preserve"> Zystektomie als SOC</w:t>
      </w:r>
    </w:p>
    <w:p w14:paraId="1CD1D46F" w14:textId="77777777" w:rsidR="008B0942" w:rsidRDefault="00E651C5" w:rsidP="008B0942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szCs w:val="22"/>
        </w:rPr>
        <w:t xml:space="preserve">Immuntherapie mit </w:t>
      </w:r>
      <w:r w:rsidR="008B0942" w:rsidRPr="008B0942">
        <w:rPr>
          <w:rFonts w:asciiTheme="minorHAnsi" w:hAnsiTheme="minorHAnsi" w:cstheme="minorHAnsi"/>
          <w:szCs w:val="22"/>
        </w:rPr>
        <w:t>Pembrolizumab 3wkly systemisch</w:t>
      </w:r>
    </w:p>
    <w:p w14:paraId="38CF6677" w14:textId="77777777" w:rsidR="00E651C5" w:rsidRPr="00E651C5" w:rsidRDefault="00E651C5" w:rsidP="00E651C5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Radiofrequenz-induzierte hyperthermische Chemoinstillation mit Mitomycin (RITE)</w:t>
      </w:r>
    </w:p>
    <w:p w14:paraId="079AA94B" w14:textId="77777777" w:rsidR="00E651C5" w:rsidRPr="00F06619" w:rsidRDefault="00E651C5" w:rsidP="00E651C5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  <w:lang w:val="en-GB"/>
        </w:rPr>
      </w:pPr>
      <w:r w:rsidRPr="00F06619">
        <w:rPr>
          <w:rFonts w:asciiTheme="minorHAnsi" w:hAnsiTheme="minorHAnsi" w:cstheme="minorHAnsi"/>
          <w:szCs w:val="22"/>
          <w:lang w:val="en-GB"/>
        </w:rPr>
        <w:t>EMDA (Electromotive Drug Administration of Mitomycin C)</w:t>
      </w:r>
    </w:p>
    <w:p w14:paraId="535D4F5A" w14:textId="77777777" w:rsidR="008B0942" w:rsidRPr="008B0942" w:rsidRDefault="008B0942" w:rsidP="008B0942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8B0942">
        <w:rPr>
          <w:rFonts w:asciiTheme="minorHAnsi" w:hAnsiTheme="minorHAnsi" w:cstheme="minorHAnsi"/>
          <w:szCs w:val="22"/>
        </w:rPr>
        <w:t>Chemoinstillation mit Docetaxel/Gemzitabine</w:t>
      </w:r>
    </w:p>
    <w:p w14:paraId="3DBA16DF" w14:textId="77777777" w:rsidR="008B0942" w:rsidRDefault="008B0942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270C476C" w14:textId="77777777" w:rsidR="00F42468" w:rsidRPr="00D96E54" w:rsidRDefault="00F42468" w:rsidP="00F42468">
      <w:pPr>
        <w:spacing w:line="270" w:lineRule="atLeast"/>
        <w:jc w:val="both"/>
        <w:textAlignment w:val="baseline"/>
        <w:rPr>
          <w:rFonts w:cstheme="minorHAnsi"/>
          <w:b/>
          <w:bCs/>
          <w:color w:val="2C2B2B"/>
          <w:sz w:val="20"/>
          <w:lang w:val="en-US"/>
        </w:rPr>
      </w:pPr>
      <w:r w:rsidRPr="00D96E54">
        <w:rPr>
          <w:rFonts w:cstheme="minorHAnsi"/>
          <w:b/>
          <w:bCs/>
          <w:color w:val="2C2B2B"/>
          <w:sz w:val="20"/>
          <w:lang w:val="en-US"/>
        </w:rPr>
        <w:t>Treatment options for the various categories of BCG failure</w:t>
      </w:r>
    </w:p>
    <w:tbl>
      <w:tblPr>
        <w:tblW w:w="928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6939"/>
      </w:tblGrid>
      <w:tr w:rsidR="00F42468" w:rsidRPr="00D96E54" w14:paraId="4881F63A" w14:textId="77777777" w:rsidTr="00F42468">
        <w:tc>
          <w:tcPr>
            <w:tcW w:w="126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D1CCEFB" w14:textId="77777777" w:rsidR="00F42468" w:rsidRPr="00D96E54" w:rsidRDefault="00F42468" w:rsidP="00551A3E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  <w:t>Category</w:t>
            </w: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53D375E" w14:textId="77777777" w:rsidR="00F42468" w:rsidRPr="00D96E54" w:rsidRDefault="00F42468" w:rsidP="00551A3E">
            <w:pPr>
              <w:spacing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</w:rPr>
              <w:t>Treatment options</w:t>
            </w:r>
          </w:p>
        </w:tc>
      </w:tr>
      <w:tr w:rsidR="00F42468" w:rsidRPr="00D96E54" w14:paraId="27D0E2D9" w14:textId="77777777" w:rsidTr="00F42468">
        <w:tc>
          <w:tcPr>
            <w:tcW w:w="1265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3CCFEA42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</w:rPr>
              <w:t>BCG-unresponsive</w:t>
            </w: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F5AC1FE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</w:rPr>
              <w:t>1. Radical cystectomy (RC).</w:t>
            </w:r>
          </w:p>
        </w:tc>
      </w:tr>
      <w:tr w:rsidR="00F42468" w:rsidRPr="00384979" w14:paraId="67706507" w14:textId="77777777" w:rsidTr="00F42468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  <w:hideMark/>
          </w:tcPr>
          <w:p w14:paraId="139B73CE" w14:textId="77777777" w:rsidR="00F42468" w:rsidRPr="00D96E54" w:rsidRDefault="00F42468" w:rsidP="00F42468">
            <w:pPr>
              <w:jc w:val="left"/>
              <w:rPr>
                <w:rFonts w:asciiTheme="minorHAnsi" w:hAnsiTheme="minorHAnsi" w:cstheme="minorHAnsi"/>
                <w:color w:val="2C2B2B"/>
                <w:sz w:val="20"/>
              </w:rPr>
            </w:pP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4DB65890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2. Enrollment in clinical trials assessing new treatment strategies.</w:t>
            </w:r>
          </w:p>
        </w:tc>
      </w:tr>
      <w:tr w:rsidR="00F42468" w:rsidRPr="00384979" w14:paraId="7FD9FF51" w14:textId="77777777" w:rsidTr="00F42468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  <w:hideMark/>
          </w:tcPr>
          <w:p w14:paraId="5DE099C7" w14:textId="77777777" w:rsidR="00F42468" w:rsidRPr="00D96E54" w:rsidRDefault="00F42468" w:rsidP="00F42468">
            <w:pPr>
              <w:jc w:val="left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0C785823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3. Bladder-preserving strategies in patients unsuitable or refusing RC.</w:t>
            </w:r>
          </w:p>
        </w:tc>
      </w:tr>
      <w:tr w:rsidR="00F42468" w:rsidRPr="00384979" w14:paraId="02B36297" w14:textId="77777777" w:rsidTr="00F42468">
        <w:trPr>
          <w:trHeight w:val="701"/>
        </w:trPr>
        <w:tc>
          <w:tcPr>
            <w:tcW w:w="1265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924C700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Late BCG relapsing:</w:t>
            </w:r>
          </w:p>
          <w:p w14:paraId="42F33F83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T1Ta/HG recurrence</w:t>
            </w:r>
          </w:p>
          <w:p w14:paraId="08D86FBE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&gt; 6 months or CIS</w:t>
            </w:r>
          </w:p>
          <w:p w14:paraId="724375C1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&gt; 12 months of last BCG exposure</w:t>
            </w: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210973FD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1. Radical cystectomy or repeat BCG course according to individual situation.</w:t>
            </w:r>
          </w:p>
        </w:tc>
      </w:tr>
      <w:tr w:rsidR="00F42468" w:rsidRPr="00D96E54" w14:paraId="1C8D1BAC" w14:textId="77777777" w:rsidTr="00F42468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center"/>
            <w:hideMark/>
          </w:tcPr>
          <w:p w14:paraId="36D9FEBE" w14:textId="77777777" w:rsidR="00F42468" w:rsidRPr="00D96E54" w:rsidRDefault="00F42468" w:rsidP="00F42468">
            <w:pPr>
              <w:jc w:val="left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40E883B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</w:rPr>
              <w:t>2. Bladder-preserving strategies.</w:t>
            </w:r>
          </w:p>
        </w:tc>
      </w:tr>
      <w:tr w:rsidR="00F42468" w:rsidRPr="00384979" w14:paraId="26E97088" w14:textId="77777777" w:rsidTr="00F42468">
        <w:trPr>
          <w:trHeight w:val="381"/>
        </w:trPr>
        <w:tc>
          <w:tcPr>
            <w:tcW w:w="1265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C6B5FF6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LG recurrence after BCG for primary intermediate-risk tumour</w:t>
            </w: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6E4D4F55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lang w:val="en-US"/>
              </w:rPr>
              <w:t>1. Repeat BCG or intravesical chemotherapy.</w:t>
            </w:r>
          </w:p>
        </w:tc>
      </w:tr>
      <w:tr w:rsidR="00F42468" w:rsidRPr="00D96E54" w14:paraId="57AC1F1E" w14:textId="77777777" w:rsidTr="00F42468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48EE699" w14:textId="77777777" w:rsidR="00F42468" w:rsidRPr="00D96E54" w:rsidRDefault="00F42468" w:rsidP="00551A3E">
            <w:pPr>
              <w:rPr>
                <w:rFonts w:asciiTheme="minorHAnsi" w:hAnsiTheme="minorHAnsi" w:cstheme="minorHAnsi"/>
                <w:color w:val="2C2B2B"/>
                <w:sz w:val="20"/>
                <w:lang w:val="en-US"/>
              </w:rPr>
            </w:pPr>
          </w:p>
        </w:tc>
        <w:tc>
          <w:tcPr>
            <w:tcW w:w="3735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  <w:hideMark/>
          </w:tcPr>
          <w:p w14:paraId="59316993" w14:textId="77777777" w:rsidR="00F42468" w:rsidRPr="00D96E54" w:rsidRDefault="00F42468" w:rsidP="00F42468">
            <w:pPr>
              <w:spacing w:line="270" w:lineRule="atLeast"/>
              <w:jc w:val="left"/>
              <w:textAlignment w:val="baseline"/>
              <w:rPr>
                <w:rFonts w:asciiTheme="minorHAnsi" w:hAnsiTheme="minorHAnsi" w:cstheme="minorHAnsi"/>
                <w:color w:val="2C2B2B"/>
                <w:sz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</w:rPr>
              <w:t>2. Radical cystectomy.</w:t>
            </w:r>
          </w:p>
        </w:tc>
      </w:tr>
    </w:tbl>
    <w:p w14:paraId="01329F43" w14:textId="77777777" w:rsidR="00F42468" w:rsidRPr="00D96E54" w:rsidRDefault="00F42468" w:rsidP="00F42468">
      <w:pPr>
        <w:rPr>
          <w:b/>
          <w:bCs/>
          <w:szCs w:val="22"/>
        </w:rPr>
      </w:pPr>
    </w:p>
    <w:p w14:paraId="0E148D42" w14:textId="77777777" w:rsidR="00F42468" w:rsidRPr="00F42468" w:rsidRDefault="00F42468" w:rsidP="00F42468">
      <w:pPr>
        <w:autoSpaceDE w:val="0"/>
        <w:autoSpaceDN w:val="0"/>
        <w:adjustRightInd w:val="0"/>
        <w:spacing w:line="276" w:lineRule="auto"/>
        <w:jc w:val="left"/>
        <w:rPr>
          <w:rFonts w:ascii="Calibri" w:hAnsi="Calibri" w:cs="Calibri"/>
          <w:b/>
          <w:color w:val="000000"/>
        </w:rPr>
      </w:pPr>
      <w:r w:rsidRPr="00D96E54">
        <w:rPr>
          <w:rFonts w:ascii="Calibri" w:hAnsi="Calibri" w:cs="Calibri"/>
          <w:b/>
          <w:color w:val="000000"/>
        </w:rPr>
        <w:t>Blasenerhaltende Therapieoptionen:</w:t>
      </w:r>
    </w:p>
    <w:p w14:paraId="457BCE21" w14:textId="77777777" w:rsidR="00F42468" w:rsidRPr="00F42468" w:rsidRDefault="00F42468" w:rsidP="00F42468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F42468">
        <w:rPr>
          <w:rFonts w:asciiTheme="minorHAnsi" w:hAnsiTheme="minorHAnsi" w:cstheme="minorHAnsi"/>
          <w:szCs w:val="22"/>
        </w:rPr>
        <w:t xml:space="preserve">Immuntherapie mit Pembrolizumab 3wkly systemisch </w:t>
      </w:r>
    </w:p>
    <w:p w14:paraId="399FB353" w14:textId="77777777" w:rsidR="00F42468" w:rsidRPr="00F42468" w:rsidRDefault="00F42468" w:rsidP="00F42468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F42468">
        <w:rPr>
          <w:rFonts w:asciiTheme="minorHAnsi" w:hAnsiTheme="minorHAnsi" w:cstheme="minorHAnsi"/>
          <w:szCs w:val="22"/>
        </w:rPr>
        <w:t xml:space="preserve">Radiofrequenz-induzierte hyperthermische Chemoinstillation mit Mitomycin (RITE) </w:t>
      </w:r>
    </w:p>
    <w:p w14:paraId="3EAF4587" w14:textId="77777777" w:rsidR="00F42468" w:rsidRPr="00B865E1" w:rsidRDefault="00F42468" w:rsidP="00F42468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  <w:lang w:val="en-GB"/>
        </w:rPr>
      </w:pPr>
      <w:r w:rsidRPr="00B865E1">
        <w:rPr>
          <w:rFonts w:asciiTheme="minorHAnsi" w:hAnsiTheme="minorHAnsi" w:cstheme="minorHAnsi"/>
          <w:szCs w:val="22"/>
          <w:lang w:val="en-GB"/>
        </w:rPr>
        <w:t>EMDA ( Electromotive Drug Administration of Mitomycin)</w:t>
      </w:r>
    </w:p>
    <w:p w14:paraId="650B25BB" w14:textId="77777777" w:rsidR="00F42468" w:rsidRPr="00F42468" w:rsidRDefault="00F42468" w:rsidP="00F42468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F42468">
        <w:rPr>
          <w:rFonts w:asciiTheme="minorHAnsi" w:hAnsiTheme="minorHAnsi" w:cstheme="minorHAnsi"/>
          <w:szCs w:val="22"/>
        </w:rPr>
        <w:t>Chemoinstillation mit Docetaxel/Gemzitabine</w:t>
      </w:r>
    </w:p>
    <w:p w14:paraId="77B36107" w14:textId="77777777" w:rsidR="00F42468" w:rsidRPr="00F42468" w:rsidRDefault="00F42468" w:rsidP="00F42468">
      <w:pPr>
        <w:pStyle w:val="Textkrper-Einzug2"/>
        <w:numPr>
          <w:ilvl w:val="0"/>
          <w:numId w:val="18"/>
        </w:numPr>
        <w:spacing w:after="0" w:line="276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r w:rsidRPr="00F42468">
        <w:rPr>
          <w:rFonts w:asciiTheme="minorHAnsi" w:hAnsiTheme="minorHAnsi" w:cstheme="minorHAnsi"/>
          <w:szCs w:val="22"/>
        </w:rPr>
        <w:t>Studien</w:t>
      </w:r>
    </w:p>
    <w:p w14:paraId="379E518A" w14:textId="77777777" w:rsidR="006460D7" w:rsidRDefault="006460D7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4FAAE8AF" w14:textId="77777777" w:rsidR="00F42468" w:rsidRDefault="00F42468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6AAD5B56" w14:textId="77777777" w:rsidR="00F42468" w:rsidRDefault="00F42468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1795E350" w14:textId="77777777" w:rsidR="00F42468" w:rsidRDefault="00F42468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6C3E2B35" w14:textId="77777777" w:rsidR="00E651C5" w:rsidRPr="00E651C5" w:rsidRDefault="00E651C5" w:rsidP="00E651C5">
      <w:pPr>
        <w:pStyle w:val="berschrift3"/>
      </w:pPr>
      <w:bookmarkStart w:id="14" w:name="_Toc92971144"/>
      <w:r w:rsidRPr="00D96E54">
        <w:lastRenderedPageBreak/>
        <w:t>3.1.</w:t>
      </w:r>
      <w:r w:rsidR="00F42468" w:rsidRPr="00D96E54">
        <w:t>8</w:t>
      </w:r>
      <w:r w:rsidRPr="00D96E54">
        <w:tab/>
      </w:r>
      <w:r w:rsidRPr="00D96E54">
        <w:tab/>
        <w:t>BCG</w:t>
      </w:r>
      <w:r w:rsidRPr="00E651C5">
        <w:t xml:space="preserve"> Shortage (EAU/AUA Empfehlungen)</w:t>
      </w:r>
      <w:bookmarkEnd w:id="14"/>
    </w:p>
    <w:p w14:paraId="280C8478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szCs w:val="22"/>
        </w:rPr>
      </w:pPr>
      <w:r w:rsidRPr="00E651C5">
        <w:rPr>
          <w:rFonts w:asciiTheme="minorHAnsi" w:hAnsiTheme="minorHAnsi" w:cstheme="minorHAnsi"/>
          <w:b/>
          <w:szCs w:val="22"/>
        </w:rPr>
        <w:t>Allgemein:</w:t>
      </w:r>
    </w:p>
    <w:p w14:paraId="0342BEF2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Optimierung der TURB</w:t>
      </w:r>
    </w:p>
    <w:p w14:paraId="32A40B1A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Verwendung verfügbarer BCG Stämme (verschiedene Strains mit vergleichbarer Effektivität)</w:t>
      </w:r>
    </w:p>
    <w:p w14:paraId="5A4ABF56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Beschränkung der Maintenance-Therapie auf 1 Jahr </w:t>
      </w:r>
    </w:p>
    <w:p w14:paraId="009B1D63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Planungskoordination bei Verwendung von ½ u/o 1/3 Dosen essentiell</w:t>
      </w:r>
    </w:p>
    <w:p w14:paraId="59C31BF5" w14:textId="77777777" w:rsidR="00E651C5" w:rsidRPr="00DD05A2" w:rsidRDefault="00E651C5" w:rsidP="00E651C5">
      <w:pPr>
        <w:pStyle w:val="StandardWeb"/>
        <w:spacing w:before="0" w:beforeAutospacing="0" w:after="0" w:afterAutospacing="0"/>
        <w:rPr>
          <w:rFonts w:ascii="Source Sans Pro" w:hAnsi="Source Sans Pro"/>
          <w:sz w:val="21"/>
          <w:szCs w:val="21"/>
          <w:highlight w:val="cyan"/>
        </w:rPr>
      </w:pPr>
    </w:p>
    <w:p w14:paraId="2D145A4D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szCs w:val="22"/>
        </w:rPr>
      </w:pPr>
      <w:r w:rsidRPr="00E651C5">
        <w:rPr>
          <w:rFonts w:asciiTheme="minorHAnsi" w:hAnsiTheme="minorHAnsi" w:cstheme="minorHAnsi"/>
          <w:b/>
          <w:szCs w:val="22"/>
        </w:rPr>
        <w:t>Intermediate Risk :</w:t>
      </w:r>
    </w:p>
    <w:p w14:paraId="00D9082E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BCG Ersatz durch intravesikale Chemotherapie (MMC, Gemcitabine, Docetaxel, sequentielles Gem/Doce)</w:t>
      </w:r>
    </w:p>
    <w:p w14:paraId="211B75C6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Dosisreduktion von BCG auf 1/2 bzw 1/3 Dosis (v.a. Maintenance-Therapie)</w:t>
      </w:r>
    </w:p>
    <w:p w14:paraId="3581F516" w14:textId="77777777" w:rsidR="00E651C5" w:rsidRPr="00DD05A2" w:rsidRDefault="00E651C5" w:rsidP="00E651C5">
      <w:pPr>
        <w:pStyle w:val="StandardWeb"/>
        <w:spacing w:before="0" w:beforeAutospacing="0" w:after="0" w:afterAutospacing="0"/>
        <w:rPr>
          <w:rFonts w:ascii="Source Sans Pro" w:hAnsi="Source Sans Pro"/>
          <w:sz w:val="21"/>
          <w:szCs w:val="21"/>
          <w:highlight w:val="cyan"/>
        </w:rPr>
      </w:pPr>
    </w:p>
    <w:p w14:paraId="55A42F42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b/>
          <w:szCs w:val="22"/>
        </w:rPr>
      </w:pPr>
      <w:r w:rsidRPr="00E651C5">
        <w:rPr>
          <w:rFonts w:asciiTheme="minorHAnsi" w:hAnsiTheme="minorHAnsi" w:cstheme="minorHAnsi"/>
          <w:b/>
          <w:szCs w:val="22"/>
        </w:rPr>
        <w:t>High Risk:</w:t>
      </w:r>
    </w:p>
    <w:p w14:paraId="16B5EC78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Frühzeitige Zystektomie (bevorzugt bei Höchst-Risiko Tumoren) </w:t>
      </w:r>
    </w:p>
    <w:p w14:paraId="5C3D63E0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Radiofrequenz-induzierte Hyperthermie mit Mitomycin </w:t>
      </w:r>
    </w:p>
    <w:p w14:paraId="3A2D6FA0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 xml:space="preserve">Passive Chemoinstillation (Einfluß auf Recurrence bei CIS,Ta/T1, aber nicht auf Progression) </w:t>
      </w:r>
    </w:p>
    <w:p w14:paraId="7C203280" w14:textId="77777777" w:rsidR="00E651C5" w:rsidRPr="00E651C5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E651C5">
        <w:rPr>
          <w:rFonts w:asciiTheme="minorHAnsi" w:hAnsiTheme="minorHAnsi" w:cstheme="minorHAnsi"/>
          <w:szCs w:val="22"/>
        </w:rPr>
        <w:t>Vorrang für volldosierte Induktion gegenüber volldosierter Erhaltung (1/2 oder 1/3 Dosis für 1 Jahr)</w:t>
      </w:r>
    </w:p>
    <w:p w14:paraId="7A3E4F7C" w14:textId="77777777" w:rsidR="00E651C5" w:rsidRPr="00D96E54" w:rsidRDefault="00E651C5" w:rsidP="00E651C5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  <w:r w:rsidRPr="00D96E54">
        <w:rPr>
          <w:rFonts w:asciiTheme="minorHAnsi" w:hAnsiTheme="minorHAnsi" w:cstheme="minorHAnsi"/>
          <w:szCs w:val="22"/>
        </w:rPr>
        <w:t>Erhaltungstherapie beim High Risk gegenüber intermediate Risk zu bevorzugen</w:t>
      </w:r>
    </w:p>
    <w:p w14:paraId="437C32F8" w14:textId="77777777" w:rsidR="00E651C5" w:rsidRPr="00D96E54" w:rsidRDefault="00E651C5" w:rsidP="008B0942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Cs w:val="22"/>
        </w:rPr>
      </w:pPr>
    </w:p>
    <w:p w14:paraId="0EBC35BB" w14:textId="77777777" w:rsidR="00F42468" w:rsidRPr="00D96E54" w:rsidRDefault="00F42468" w:rsidP="00F42468">
      <w:pPr>
        <w:pStyle w:val="berschrift3"/>
      </w:pPr>
      <w:bookmarkStart w:id="15" w:name="_Toc92971145"/>
      <w:r w:rsidRPr="00D96E54">
        <w:t>3.1.9 Therapieoptionen für BCG-assoziierte lokale und systemische Nebenwirkungen</w:t>
      </w:r>
      <w:bookmarkEnd w:id="15"/>
    </w:p>
    <w:p w14:paraId="6565EE0B" w14:textId="77777777" w:rsidR="00F42468" w:rsidRPr="00D96E54" w:rsidRDefault="00F42468" w:rsidP="00F42468">
      <w:pPr>
        <w:rPr>
          <w:sz w:val="8"/>
          <w:szCs w:val="8"/>
        </w:rPr>
      </w:pPr>
    </w:p>
    <w:tbl>
      <w:tblPr>
        <w:tblW w:w="101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8483"/>
      </w:tblGrid>
      <w:tr w:rsidR="00F42468" w:rsidRPr="00384979" w14:paraId="0ABA6E5C" w14:textId="77777777" w:rsidTr="00551A3E">
        <w:tc>
          <w:tcPr>
            <w:tcW w:w="5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26A1529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t>Management options for local side effects (modified from International Bladder Cancer Group)</w:t>
            </w:r>
          </w:p>
        </w:tc>
      </w:tr>
      <w:tr w:rsidR="00F42468" w:rsidRPr="00384979" w14:paraId="531EC4A6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D287632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Symptoms of cystitis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44B2D8A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  <w:t>Phenazopyridine, propantheline bromide, or non-steroidal anti-inflammatory drugs (NSAIDs).</w:t>
            </w:r>
          </w:p>
        </w:tc>
      </w:tr>
      <w:tr w:rsidR="00F42468" w:rsidRPr="00384979" w14:paraId="5016BBD1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5E6AF303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GB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7F9AAB5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symptoms improve within a few days: continue instillations.</w:t>
            </w:r>
          </w:p>
        </w:tc>
      </w:tr>
      <w:tr w:rsidR="00F42468" w:rsidRPr="00384979" w14:paraId="7DB2DA4A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13302781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9684CE4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symptoms persist or worsen:</w:t>
            </w:r>
          </w:p>
          <w:p w14:paraId="715A962D" w14:textId="77777777" w:rsidR="00F42468" w:rsidRPr="00D96E54" w:rsidRDefault="00F42468" w:rsidP="00551A3E">
            <w:pPr>
              <w:pStyle w:val="tabelbodytekst9ptletter"/>
              <w:spacing w:before="0" w:beforeAutospacing="0" w:after="0" w:afterAutospacing="0" w:line="270" w:lineRule="atLeast"/>
              <w:ind w:left="900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bookmarkStart w:id="16" w:name="a" w:colFirst="1" w:colLast="1"/>
            <w:r w:rsidRPr="00D96E54">
              <w:rPr>
                <w:rStyle w:val="Liste1"/>
                <w:rFonts w:asciiTheme="minorHAnsi" w:hAnsiTheme="minorHAnsi" w:cstheme="minorHAnsi"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 xml:space="preserve">a. </w:t>
            </w: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Postpone the instillation</w:t>
            </w:r>
          </w:p>
          <w:p w14:paraId="3B4023E6" w14:textId="77777777" w:rsidR="00F42468" w:rsidRPr="00D96E54" w:rsidRDefault="00F42468" w:rsidP="00551A3E">
            <w:pPr>
              <w:pStyle w:val="tabelbodytekst9ptletter2"/>
              <w:spacing w:before="0" w:beforeAutospacing="0" w:after="0" w:afterAutospacing="0" w:line="270" w:lineRule="atLeast"/>
              <w:ind w:left="900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bookmarkStart w:id="17" w:name="b" w:colFirst="1" w:colLast="1"/>
            <w:r w:rsidRPr="00D96E54">
              <w:rPr>
                <w:rStyle w:val="Liste1"/>
                <w:rFonts w:asciiTheme="minorHAnsi" w:hAnsiTheme="minorHAnsi" w:cstheme="minorHAnsi"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 xml:space="preserve">b. </w:t>
            </w: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Perform a urine culture</w:t>
            </w:r>
          </w:p>
          <w:p w14:paraId="26AE0998" w14:textId="77777777" w:rsidR="00F42468" w:rsidRPr="00D96E54" w:rsidRDefault="00F42468" w:rsidP="00551A3E">
            <w:pPr>
              <w:pStyle w:val="tabelbodytekst9ptletter2"/>
              <w:spacing w:before="0" w:beforeAutospacing="0" w:after="0" w:afterAutospacing="0" w:line="270" w:lineRule="atLeast"/>
              <w:ind w:left="900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bookmarkStart w:id="18" w:name="c"/>
            <w:bookmarkEnd w:id="18"/>
            <w:r w:rsidRPr="00D96E54">
              <w:rPr>
                <w:rStyle w:val="Liste1"/>
                <w:rFonts w:asciiTheme="minorHAnsi" w:hAnsiTheme="minorHAnsi" w:cstheme="minorHAnsi"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 xml:space="preserve">c. </w:t>
            </w: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Start empirical antibiotic treatment</w:t>
            </w:r>
          </w:p>
        </w:tc>
      </w:tr>
      <w:tr w:rsidR="00F42468" w:rsidRPr="00384979" w14:paraId="66B53CC8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516D536D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A2650E4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symptoms persist even with antibiotic treatment:</w:t>
            </w:r>
          </w:p>
          <w:p w14:paraId="5AFA21EE" w14:textId="77777777" w:rsidR="00F42468" w:rsidRPr="00D96E54" w:rsidRDefault="00F42468" w:rsidP="00551A3E">
            <w:pPr>
              <w:pStyle w:val="tabelbodytekst9ptletter"/>
              <w:spacing w:before="0" w:beforeAutospacing="0" w:after="0" w:afterAutospacing="0" w:line="270" w:lineRule="atLeast"/>
              <w:ind w:left="900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Style w:val="Liste1"/>
                <w:rFonts w:asciiTheme="minorHAnsi" w:hAnsiTheme="minorHAnsi" w:cstheme="minorHAnsi"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>a.</w:t>
            </w: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With positive culture: adjust antibiotic treatment according to sensitivity</w:t>
            </w:r>
          </w:p>
          <w:p w14:paraId="48F47EE7" w14:textId="6FB6C3BF" w:rsidR="00F42468" w:rsidRPr="00D96E54" w:rsidRDefault="00F42468" w:rsidP="00551A3E">
            <w:pPr>
              <w:pStyle w:val="tabelbodytekst9ptletter2"/>
              <w:spacing w:before="0" w:beforeAutospacing="0" w:after="0" w:afterAutospacing="0" w:line="270" w:lineRule="atLeast"/>
              <w:ind w:left="900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Style w:val="Liste1"/>
                <w:rFonts w:asciiTheme="minorHAnsi" w:hAnsiTheme="minorHAnsi" w:cstheme="minorHAnsi"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>b.</w:t>
            </w: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With negative culture: quinolones and potentially analgesic anti-inflamatory instillations once daily for 5 days (repeat cycle if necessary) [</w:t>
            </w:r>
            <w:hyperlink r:id="rId22" w:anchor="note_267" w:history="1">
              <w:r w:rsidRPr="00D96E54">
                <w:rPr>
                  <w:rStyle w:val="Hyperlink"/>
                  <w:rFonts w:asciiTheme="minorHAnsi" w:hAnsiTheme="minorHAnsi" w:cstheme="minorHAnsi"/>
                  <w:color w:val="2CACE1"/>
                  <w:sz w:val="20"/>
                  <w:szCs w:val="20"/>
                  <w:lang w:val="en-US"/>
                </w:rPr>
                <w:t>267</w:t>
              </w:r>
            </w:hyperlink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].</w:t>
            </w:r>
          </w:p>
        </w:tc>
      </w:tr>
      <w:bookmarkEnd w:id="16"/>
      <w:bookmarkEnd w:id="17"/>
      <w:tr w:rsidR="00F42468" w:rsidRPr="00384979" w14:paraId="43FCEDC1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51E9AED4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E4E39E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symptoms persist: anti-tuberculosis drugs + corticosteroids.</w:t>
            </w:r>
          </w:p>
        </w:tc>
      </w:tr>
      <w:tr w:rsidR="00F42468" w:rsidRPr="00384979" w14:paraId="636FEE2E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5939D848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2B33D3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no response to treatment and/or contracted bladder: radical cystectomy.</w:t>
            </w:r>
          </w:p>
        </w:tc>
      </w:tr>
      <w:tr w:rsidR="00F42468" w:rsidRPr="00384979" w14:paraId="49F54A39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115452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Haematuria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BDCA010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Perform urine culture to exclude haemorrhagic cystitis, if other symptoms present.</w:t>
            </w:r>
          </w:p>
        </w:tc>
      </w:tr>
      <w:tr w:rsidR="00F42468" w:rsidRPr="00384979" w14:paraId="7615F7DE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22D4053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D09A543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haematuria persists, perform cystoscopy to evaluate presence of bladder tumour.</w:t>
            </w:r>
          </w:p>
        </w:tc>
      </w:tr>
      <w:tr w:rsidR="00F42468" w:rsidRPr="00384979" w14:paraId="4F716965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3D2FBA8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Symptomatic granulomatous</w:t>
            </w:r>
          </w:p>
          <w:p w14:paraId="100D2730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prostatitis</w:t>
            </w:r>
            <w:r w:rsidRPr="00D96E54">
              <w:rPr>
                <w:rStyle w:val="apple-converted-space"/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 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3A51708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Symptoms rarely present: perform urine culture.</w:t>
            </w:r>
          </w:p>
        </w:tc>
      </w:tr>
      <w:tr w:rsidR="00F42468" w:rsidRPr="00286EAA" w14:paraId="3B6D5ECB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4CE51937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C051E70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Quinolones.</w:t>
            </w:r>
          </w:p>
        </w:tc>
      </w:tr>
      <w:tr w:rsidR="00F42468" w:rsidRPr="00384979" w14:paraId="4034DD4C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DDA5CBF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D2504C5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quinolones are not effective: isoniazid (300 mg/day) and rifampicin (600 mg/day) for three months.</w:t>
            </w:r>
          </w:p>
        </w:tc>
      </w:tr>
      <w:tr w:rsidR="00F42468" w:rsidRPr="00286EAA" w14:paraId="1CB6614A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471A7D75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E4BCAF7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Cessation of intravesical therapy.</w:t>
            </w:r>
          </w:p>
        </w:tc>
      </w:tr>
      <w:tr w:rsidR="00F42468" w:rsidRPr="00384979" w14:paraId="50E184B2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BBF1B84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Epididymo-orchitis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D8F634F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  <w:t>Perform urine culture and administer quinolones.</w:t>
            </w:r>
          </w:p>
        </w:tc>
      </w:tr>
      <w:tr w:rsidR="00F42468" w:rsidRPr="00286EAA" w14:paraId="4699A302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76AC86F0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GB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3C1A311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Cessation of intravesical therapy.</w:t>
            </w:r>
          </w:p>
        </w:tc>
      </w:tr>
      <w:tr w:rsidR="00F42468" w:rsidRPr="00384979" w14:paraId="5BFD7CE6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0F0F69C8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D59E044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Orchidectomy if abscess or no response to treatment.</w:t>
            </w:r>
          </w:p>
        </w:tc>
      </w:tr>
    </w:tbl>
    <w:p w14:paraId="26AD687C" w14:textId="77777777" w:rsidR="00C1459C" w:rsidRPr="00B865E1" w:rsidRDefault="00C1459C">
      <w:pPr>
        <w:rPr>
          <w:lang w:val="en-GB"/>
        </w:rPr>
      </w:pPr>
      <w:r w:rsidRPr="00B865E1">
        <w:rPr>
          <w:lang w:val="en-GB"/>
        </w:rPr>
        <w:br w:type="page"/>
      </w:r>
    </w:p>
    <w:tbl>
      <w:tblPr>
        <w:tblW w:w="1019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5"/>
        <w:gridCol w:w="8483"/>
      </w:tblGrid>
      <w:tr w:rsidR="00F42468" w:rsidRPr="00384979" w14:paraId="19F6A9FF" w14:textId="77777777" w:rsidTr="00551A3E">
        <w:tc>
          <w:tcPr>
            <w:tcW w:w="5000" w:type="pct"/>
            <w:gridSpan w:val="2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58E2A39" w14:textId="77777777" w:rsidR="00F42468" w:rsidRPr="00F42468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highlight w:val="yellow"/>
                <w:lang w:val="en-US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lastRenderedPageBreak/>
              <w:t>Management options for systemic side effects</w:t>
            </w:r>
          </w:p>
        </w:tc>
      </w:tr>
      <w:tr w:rsidR="00F42468" w:rsidRPr="00384979" w14:paraId="773645A9" w14:textId="77777777" w:rsidTr="00551A3E">
        <w:tc>
          <w:tcPr>
            <w:tcW w:w="841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6E45496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General malaise, fever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08DB3C5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Generally resolve within 48 hours, with or without antipyretics.</w:t>
            </w:r>
          </w:p>
        </w:tc>
      </w:tr>
      <w:tr w:rsidR="00F42468" w:rsidRPr="00384979" w14:paraId="50B472F8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81B4DF7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Arthralgia and/or arthritis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A8AFA63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Rare complication and considered autoimmune reaction.</w:t>
            </w:r>
          </w:p>
        </w:tc>
      </w:tr>
      <w:tr w:rsidR="00F42468" w:rsidRPr="00286EAA" w14:paraId="06E0AC7B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35AB671E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9FA745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Arthralgia: treatment with NSAIDs.</w:t>
            </w:r>
          </w:p>
        </w:tc>
      </w:tr>
      <w:tr w:rsidR="00F42468" w:rsidRPr="00286EAA" w14:paraId="1CE476C8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744596D0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2CB7A93E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Arthritis: NSAIDs.</w:t>
            </w:r>
          </w:p>
        </w:tc>
      </w:tr>
      <w:tr w:rsidR="00F42468" w:rsidRPr="00384979" w14:paraId="53ADE021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03ADA689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7DA7B02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If no/partial response, proceed to corticosteroids, high-dose quinolones or antituberculosis drugs</w:t>
            </w:r>
            <w:r w:rsidR="00C1459C"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.</w:t>
            </w:r>
          </w:p>
        </w:tc>
      </w:tr>
      <w:tr w:rsidR="00F42468" w:rsidRPr="00384979" w14:paraId="6AF6DC05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07C3B1D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  <w:lang w:val="en-US"/>
              </w:rPr>
              <w:t>Persistent high-grade fever (&gt; 38.5°C for &gt; 48 h)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48F49B4E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GB"/>
              </w:rPr>
              <w:t>Permanent discontinuation of BCG instillations.</w:t>
            </w:r>
          </w:p>
        </w:tc>
      </w:tr>
      <w:tr w:rsidR="00F42468" w:rsidRPr="00384979" w14:paraId="6015892F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1B63A01C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GB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5802020D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Immediate evaluation: urine culture, blood tests, chest X-ray.</w:t>
            </w:r>
          </w:p>
        </w:tc>
      </w:tr>
      <w:tr w:rsidR="00F42468" w:rsidRPr="00384979" w14:paraId="23D85383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353CAF75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423FE1B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Prompt treatment with more than two antimicrobial agents while diagnostic evaluation is conducted.</w:t>
            </w:r>
          </w:p>
        </w:tc>
      </w:tr>
      <w:tr w:rsidR="00F42468" w:rsidRPr="00384979" w14:paraId="762EDB9A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3D088C40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0BF94DEB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Consultation with an infectious diseases specialist.</w:t>
            </w:r>
          </w:p>
        </w:tc>
      </w:tr>
      <w:tr w:rsidR="00F42468" w:rsidRPr="00384979" w14:paraId="5429C09C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AB9BBA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BCG sepsis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822748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Prevention: initiate BCG at least 2 weeks post-transurethral resection of the bladder (if no signs and symptoms of haematuria).</w:t>
            </w:r>
          </w:p>
        </w:tc>
      </w:tr>
      <w:tr w:rsidR="00F42468" w:rsidRPr="00286EAA" w14:paraId="3BA657A6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0CEF723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7EEBEB14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</w:rPr>
              <w:t>Cessation of BCG.</w:t>
            </w:r>
          </w:p>
        </w:tc>
      </w:tr>
      <w:tr w:rsidR="00F42468" w:rsidRPr="00384979" w14:paraId="26641451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777D5F08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FB3AD0B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For severe infection:</w:t>
            </w:r>
          </w:p>
          <w:p w14:paraId="4B0251A4" w14:textId="77777777" w:rsidR="00F42468" w:rsidRPr="00D96E54" w:rsidRDefault="00F42468" w:rsidP="00551A3E">
            <w:pPr>
              <w:pStyle w:val="tabelbodytekst9ptbullet"/>
              <w:spacing w:before="0" w:beforeAutospacing="0" w:after="0" w:afterAutospacing="0" w:line="270" w:lineRule="atLeast"/>
              <w:ind w:left="375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High-dose quinolones or isoniazid, rifampicin and ethambutol 1.2 g daily for 6 months.</w:t>
            </w:r>
          </w:p>
          <w:p w14:paraId="3302E7D5" w14:textId="77777777" w:rsidR="00F42468" w:rsidRPr="00D96E54" w:rsidRDefault="00F42468" w:rsidP="00551A3E">
            <w:pPr>
              <w:pStyle w:val="tabelbodytekst9ptbullet"/>
              <w:spacing w:before="0" w:beforeAutospacing="0" w:after="0" w:afterAutospacing="0" w:line="270" w:lineRule="atLeast"/>
              <w:ind w:left="375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Early, high-dose corticosteroids as long as symptoms persist.</w:t>
            </w:r>
          </w:p>
          <w:p w14:paraId="11849566" w14:textId="77777777" w:rsidR="00F42468" w:rsidRPr="00D96E54" w:rsidRDefault="00F42468" w:rsidP="00551A3E">
            <w:pPr>
              <w:pStyle w:val="tabelbodytekst9ptbullet"/>
              <w:spacing w:before="0" w:beforeAutospacing="0" w:after="0" w:afterAutospacing="0" w:line="270" w:lineRule="atLeast"/>
              <w:ind w:left="375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Consider an empirical non-specific antibiotic to cover Gram-negative bacteria and/or</w:t>
            </w:r>
            <w:r w:rsidRPr="00D96E54">
              <w:rPr>
                <w:rStyle w:val="apple-converted-space"/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 </w:t>
            </w:r>
            <w:r w:rsidRPr="00D96E54">
              <w:rPr>
                <w:rStyle w:val="bodytekstitalic"/>
                <w:rFonts w:asciiTheme="minorHAnsi" w:hAnsiTheme="minorHAnsi" w:cstheme="minorHAnsi"/>
                <w:i/>
                <w:iCs/>
                <w:color w:val="2C2B2B"/>
                <w:sz w:val="20"/>
                <w:szCs w:val="20"/>
                <w:bdr w:val="none" w:sz="0" w:space="0" w:color="auto" w:frame="1"/>
                <w:lang w:val="en-US"/>
              </w:rPr>
              <w:t>Enterococcus.</w:t>
            </w:r>
          </w:p>
        </w:tc>
      </w:tr>
      <w:tr w:rsidR="00F42468" w:rsidRPr="00384979" w14:paraId="6EA18650" w14:textId="77777777" w:rsidTr="00551A3E">
        <w:tc>
          <w:tcPr>
            <w:tcW w:w="841" w:type="pct"/>
            <w:vMerge w:val="restar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686C2BFC" w14:textId="77777777" w:rsidR="00F42468" w:rsidRPr="00D96E54" w:rsidRDefault="00F42468" w:rsidP="00551A3E">
            <w:pPr>
              <w:pStyle w:val="tabelbodytekstbold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</w:pPr>
            <w:r w:rsidRPr="00D96E54">
              <w:rPr>
                <w:rFonts w:asciiTheme="minorHAnsi" w:hAnsiTheme="minorHAnsi" w:cstheme="minorHAnsi"/>
                <w:b/>
                <w:bCs/>
                <w:color w:val="2C2B2B"/>
                <w:sz w:val="20"/>
                <w:szCs w:val="20"/>
              </w:rPr>
              <w:t>Allergic reactions</w:t>
            </w: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8E0441B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Antihistamines and anti-inflammatory agents.</w:t>
            </w:r>
          </w:p>
        </w:tc>
      </w:tr>
      <w:tr w:rsidR="00F42468" w:rsidRPr="00384979" w14:paraId="58481787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45AAA858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3F09066B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Consider high-dose quinolones or isoniazid and rifampicin for persistent symptoms.</w:t>
            </w:r>
          </w:p>
        </w:tc>
      </w:tr>
      <w:tr w:rsidR="00F42468" w:rsidRPr="00384979" w14:paraId="56C6419B" w14:textId="77777777" w:rsidTr="00551A3E">
        <w:tc>
          <w:tcPr>
            <w:tcW w:w="0" w:type="auto"/>
            <w:vMerge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auto"/>
            <w:vAlign w:val="bottom"/>
            <w:hideMark/>
          </w:tcPr>
          <w:p w14:paraId="60BB7C05" w14:textId="77777777" w:rsidR="00F42468" w:rsidRPr="00D96E54" w:rsidRDefault="00F42468" w:rsidP="00551A3E">
            <w:pPr>
              <w:rPr>
                <w:rFonts w:cstheme="minorHAnsi"/>
                <w:b/>
                <w:bCs/>
                <w:color w:val="2C2B2B"/>
                <w:sz w:val="20"/>
                <w:lang w:val="en-US"/>
              </w:rPr>
            </w:pPr>
          </w:p>
        </w:tc>
        <w:tc>
          <w:tcPr>
            <w:tcW w:w="4159" w:type="pct"/>
            <w:tcBorders>
              <w:top w:val="single" w:sz="6" w:space="0" w:color="666666"/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FFFFFF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14:paraId="1391ADD3" w14:textId="77777777" w:rsidR="00F42468" w:rsidRPr="00D96E54" w:rsidRDefault="00F42468" w:rsidP="00551A3E">
            <w:pPr>
              <w:pStyle w:val="tabelbodytekst9pt"/>
              <w:spacing w:before="0" w:beforeAutospacing="0" w:after="0" w:afterAutospacing="0" w:line="270" w:lineRule="atLeast"/>
              <w:textAlignment w:val="baseline"/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</w:pPr>
            <w:r w:rsidRPr="00D96E54">
              <w:rPr>
                <w:rFonts w:asciiTheme="minorHAnsi" w:hAnsiTheme="minorHAnsi" w:cstheme="minorHAnsi"/>
                <w:color w:val="2C2B2B"/>
                <w:sz w:val="20"/>
                <w:szCs w:val="20"/>
                <w:lang w:val="en-US"/>
              </w:rPr>
              <w:t>Delay therapy until reactions resolve.</w:t>
            </w:r>
          </w:p>
        </w:tc>
      </w:tr>
    </w:tbl>
    <w:p w14:paraId="0ECFBBDE" w14:textId="77777777" w:rsidR="00F42468" w:rsidRDefault="00F42468" w:rsidP="00F42468">
      <w:pPr>
        <w:rPr>
          <w:rFonts w:ascii="Times New Roman" w:hAnsi="Times New Roman"/>
          <w:lang w:val="en-US"/>
        </w:rPr>
      </w:pPr>
    </w:p>
    <w:p w14:paraId="5266DDFB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4F5ED813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04942E58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43C2867D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18AE3CCF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6F5F8B0B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3F660787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483B9A7D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31A27C16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417F2731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460F5C6A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565931A3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36D21FF8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36213A32" w14:textId="77777777" w:rsidR="00A96DE0" w:rsidRDefault="00A96DE0" w:rsidP="00F42468">
      <w:pPr>
        <w:rPr>
          <w:rFonts w:ascii="Times New Roman" w:hAnsi="Times New Roman"/>
          <w:lang w:val="en-US"/>
        </w:rPr>
      </w:pPr>
    </w:p>
    <w:p w14:paraId="33C2667C" w14:textId="77777777" w:rsidR="00A96DE0" w:rsidRPr="000C4CAE" w:rsidRDefault="00A96DE0" w:rsidP="00F42468">
      <w:pPr>
        <w:rPr>
          <w:rFonts w:ascii="Times New Roman" w:hAnsi="Times New Roman"/>
          <w:lang w:val="en-US"/>
        </w:rPr>
      </w:pPr>
    </w:p>
    <w:p w14:paraId="43E2601D" w14:textId="77777777" w:rsidR="004F5E04" w:rsidRPr="00995E5F" w:rsidRDefault="007E3A58" w:rsidP="007E3A58">
      <w:pPr>
        <w:pStyle w:val="berschrift2"/>
        <w:numPr>
          <w:ilvl w:val="0"/>
          <w:numId w:val="0"/>
        </w:numPr>
      </w:pPr>
      <w:bookmarkStart w:id="19" w:name="_Toc92971146"/>
      <w:r w:rsidRPr="00995E5F">
        <w:lastRenderedPageBreak/>
        <w:t>3.</w:t>
      </w:r>
      <w:r w:rsidR="009D6795" w:rsidRPr="00995E5F">
        <w:t>2</w:t>
      </w:r>
      <w:r w:rsidRPr="00995E5F">
        <w:tab/>
      </w:r>
      <w:r w:rsidR="004F5E04" w:rsidRPr="00995E5F">
        <w:t>Muskelinvasive</w:t>
      </w:r>
      <w:r w:rsidR="00AA1DE3" w:rsidRPr="00995E5F">
        <w:t>s</w:t>
      </w:r>
      <w:r w:rsidR="004F5E04" w:rsidRPr="00995E5F">
        <w:t xml:space="preserve"> Urothelkar</w:t>
      </w:r>
      <w:r w:rsidR="0013753C" w:rsidRPr="00995E5F">
        <w:t>z</w:t>
      </w:r>
      <w:r w:rsidR="004F5E04" w:rsidRPr="00995E5F">
        <w:t>inom der Harnblase</w:t>
      </w:r>
      <w:bookmarkEnd w:id="19"/>
    </w:p>
    <w:p w14:paraId="5E8E13CC" w14:textId="77777777" w:rsidR="000250A1" w:rsidRPr="00995E5F" w:rsidRDefault="000250A1" w:rsidP="000250A1">
      <w:pPr>
        <w:pStyle w:val="berschrift3"/>
      </w:pPr>
      <w:bookmarkStart w:id="20" w:name="_3.2.1__Management"/>
      <w:bookmarkStart w:id="21" w:name="_Toc92971147"/>
      <w:bookmarkEnd w:id="20"/>
      <w:r w:rsidRPr="00995E5F">
        <w:t>3.2.1</w:t>
      </w:r>
      <w:r w:rsidRPr="00995E5F">
        <w:tab/>
      </w:r>
      <w:r w:rsidRPr="00995E5F">
        <w:tab/>
        <w:t xml:space="preserve">Management des </w:t>
      </w:r>
      <w:r w:rsidR="00F06619" w:rsidRPr="00995E5F">
        <w:t>c</w:t>
      </w:r>
      <w:r w:rsidRPr="00995E5F">
        <w:t xml:space="preserve">T2-4a </w:t>
      </w:r>
      <w:r w:rsidR="00F06619" w:rsidRPr="00995E5F">
        <w:t>c</w:t>
      </w:r>
      <w:r w:rsidRPr="00995E5F">
        <w:t>N0M0 Blasenkarzinoms</w:t>
      </w:r>
      <w:bookmarkEnd w:id="21"/>
    </w:p>
    <w:p w14:paraId="0B9A5C18" w14:textId="77777777" w:rsidR="001230AB" w:rsidRPr="00995E5F" w:rsidRDefault="001230AB" w:rsidP="001230AB">
      <w:pPr>
        <w:rPr>
          <w:sz w:val="8"/>
          <w:szCs w:val="8"/>
        </w:rPr>
      </w:pPr>
    </w:p>
    <w:p w14:paraId="3BCBB62C" w14:textId="1E38B17F" w:rsidR="00D3712A" w:rsidRPr="00D96E54" w:rsidRDefault="007D30DE" w:rsidP="000250A1">
      <w:pPr>
        <w:pStyle w:val="Textkrper-Einzug2"/>
        <w:spacing w:after="0" w:line="240" w:lineRule="auto"/>
        <w:ind w:left="0"/>
        <w:rPr>
          <w:rFonts w:asciiTheme="minorHAnsi" w:hAnsiTheme="minorHAnsi" w:cstheme="minorHAnsi"/>
          <w:szCs w:val="22"/>
          <w:lang w:val="en-US"/>
        </w:rPr>
      </w:pPr>
      <w:r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2DE78462" wp14:editId="25CE70DB">
            <wp:extent cx="3299160" cy="5105841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5-08-12 Leitlinie Urothelkarzinom.gif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8882" cy="513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88B55" w14:textId="77777777" w:rsidR="000250A1" w:rsidRPr="00D96E54" w:rsidRDefault="000250A1" w:rsidP="009A42E1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Cs w:val="22"/>
          <w:lang w:val="en-US"/>
        </w:rPr>
      </w:pPr>
    </w:p>
    <w:p w14:paraId="75A5EB15" w14:textId="77777777" w:rsidR="0047045A" w:rsidRPr="00D96E54" w:rsidRDefault="009A42E1" w:rsidP="00A96DE0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A96DE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A96DE0">
        <w:rPr>
          <w:rFonts w:asciiTheme="minorHAnsi" w:hAnsiTheme="minorHAnsi" w:cstheme="minorHAnsi"/>
          <w:sz w:val="18"/>
          <w:szCs w:val="18"/>
        </w:rPr>
        <w:tab/>
      </w:r>
      <w:r w:rsidR="000250A1" w:rsidRPr="00D96E54">
        <w:rPr>
          <w:rFonts w:asciiTheme="minorHAnsi" w:hAnsiTheme="minorHAnsi" w:cstheme="minorHAnsi"/>
          <w:sz w:val="18"/>
          <w:szCs w:val="18"/>
        </w:rPr>
        <w:t>Immuntherapeutika sind eine Option, obwohl nur 2 Phase II Studien (PURE 1, ABACUS) vorliegen.</w:t>
      </w:r>
      <w:r w:rsidR="00EF1CB0" w:rsidRPr="00D96E54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79386F19" w14:textId="77777777" w:rsidR="00C1459C" w:rsidRPr="00D96E54" w:rsidRDefault="00C1459C" w:rsidP="00A96DE0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D96E54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96E54">
        <w:rPr>
          <w:rFonts w:asciiTheme="minorHAnsi" w:hAnsiTheme="minorHAnsi" w:cstheme="minorHAnsi"/>
          <w:sz w:val="18"/>
          <w:szCs w:val="18"/>
          <w:vertAlign w:val="superscript"/>
        </w:rPr>
        <w:tab/>
      </w:r>
      <w:r w:rsidR="00A96DE0" w:rsidRPr="00D96E54">
        <w:rPr>
          <w:rFonts w:asciiTheme="minorHAnsi" w:hAnsiTheme="minorHAnsi" w:cstheme="minorHAnsi"/>
          <w:sz w:val="18"/>
          <w:szCs w:val="18"/>
        </w:rPr>
        <w:t>Ni</w:t>
      </w:r>
      <w:r w:rsidRPr="00D96E54">
        <w:rPr>
          <w:rFonts w:asciiTheme="minorHAnsi" w:hAnsiTheme="minorHAnsi" w:cstheme="minorHAnsi"/>
          <w:sz w:val="18"/>
          <w:szCs w:val="18"/>
        </w:rPr>
        <w:t>volumab verbessert in der Checkmate 274 das DFS, Metastasenfreie Überleben und das außerhalb des harntrakt-rezidivfreie Überleben signifikant. Die Daten für das OS sind noch</w:t>
      </w:r>
      <w:r w:rsidR="00A96DE0" w:rsidRPr="00D96E54">
        <w:rPr>
          <w:rFonts w:asciiTheme="minorHAnsi" w:hAnsiTheme="minorHAnsi" w:cstheme="minorHAnsi"/>
          <w:sz w:val="18"/>
          <w:szCs w:val="18"/>
        </w:rPr>
        <w:t xml:space="preserve"> </w:t>
      </w:r>
      <w:r w:rsidRPr="00D96E54">
        <w:rPr>
          <w:rFonts w:asciiTheme="minorHAnsi" w:hAnsiTheme="minorHAnsi" w:cstheme="minorHAnsi"/>
          <w:sz w:val="18"/>
          <w:szCs w:val="18"/>
        </w:rPr>
        <w:t>nicht reif, die QoL wird gegenüber Placebo nicht verschlechtert.</w:t>
      </w:r>
    </w:p>
    <w:p w14:paraId="050B16A2" w14:textId="77777777" w:rsidR="00A96DE0" w:rsidRDefault="00A96DE0" w:rsidP="00A96DE0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Cs w:val="22"/>
        </w:rPr>
      </w:pPr>
    </w:p>
    <w:p w14:paraId="157004C5" w14:textId="57B328F4" w:rsidR="00A96DE0" w:rsidRPr="006676BC" w:rsidRDefault="00A96DE0" w:rsidP="00A96DE0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 xml:space="preserve">Studie: </w:t>
      </w:r>
      <w:hyperlink w:anchor="_Anhang:_Studienblatt_(optional)" w:history="1">
        <w:r w:rsidRPr="006676BC">
          <w:rPr>
            <w:rStyle w:val="Hyperlink"/>
            <w:rFonts w:asciiTheme="minorHAnsi" w:hAnsiTheme="minorHAnsi" w:cstheme="minorHAnsi"/>
            <w:szCs w:val="22"/>
          </w:rPr>
          <w:t>BMS CA017-078</w:t>
        </w:r>
      </w:hyperlink>
    </w:p>
    <w:p w14:paraId="0573AAB9" w14:textId="77777777" w:rsidR="00A96DE0" w:rsidRPr="00C1459C" w:rsidRDefault="00A96DE0" w:rsidP="00C1459C">
      <w:pPr>
        <w:pStyle w:val="Textkrper-Einzug2"/>
        <w:spacing w:line="240" w:lineRule="auto"/>
        <w:ind w:left="284" w:hanging="284"/>
        <w:jc w:val="both"/>
        <w:rPr>
          <w:rFonts w:asciiTheme="minorHAnsi" w:hAnsiTheme="minorHAnsi" w:cstheme="minorHAnsi"/>
          <w:szCs w:val="22"/>
        </w:rPr>
      </w:pPr>
    </w:p>
    <w:p w14:paraId="416934AD" w14:textId="77777777" w:rsidR="000250A1" w:rsidRPr="006676BC" w:rsidRDefault="000250A1" w:rsidP="00A96DE0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de-DE"/>
        </w:rPr>
      </w:pPr>
      <w:r w:rsidRPr="006676BC">
        <w:rPr>
          <w:rFonts w:asciiTheme="minorHAnsi" w:hAnsiTheme="minorHAnsi" w:cstheme="minorHAnsi"/>
          <w:szCs w:val="22"/>
          <w:u w:val="single"/>
          <w:lang w:val="de-DE"/>
        </w:rPr>
        <w:t>Indikationseinschränkungen:</w:t>
      </w:r>
    </w:p>
    <w:p w14:paraId="7C16B6E6" w14:textId="77777777" w:rsidR="000250A1" w:rsidRPr="006676BC" w:rsidRDefault="000250A1" w:rsidP="00A96DE0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b/>
          <w:szCs w:val="22"/>
          <w:lang w:val="de-DE"/>
        </w:rPr>
        <w:t>Pembrolizumab</w:t>
      </w:r>
      <w:r w:rsidRPr="006676BC">
        <w:rPr>
          <w:rFonts w:asciiTheme="minorHAnsi" w:hAnsiTheme="minorHAnsi" w:cstheme="minorHAnsi"/>
          <w:szCs w:val="22"/>
          <w:lang w:val="de-DE"/>
        </w:rPr>
        <w:t xml:space="preserve"> ist indiziert für die Therapie von Patienten mit einem lokal fortgeschrittenen oder metastasierten Urothelkarzinom der Blase, die keine Cisplatin-hältige Chemotherapie erhalten können und deren Tumore PDL-1 exprimieren (Dako PDL-1 IHC 22C3 Assay;  Combined Positive Score CPS &gt;=10) oder die für eine platinhältige Chemotherapie unabhängig vom PDL-1 Status nicht in Frage kommen. </w:t>
      </w:r>
    </w:p>
    <w:p w14:paraId="0E737E88" w14:textId="77777777" w:rsidR="000250A1" w:rsidRPr="006676BC" w:rsidRDefault="000250A1" w:rsidP="00A96DE0">
      <w:pPr>
        <w:pStyle w:val="Textkrper-Einzug2"/>
        <w:spacing w:after="0" w:line="240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b/>
          <w:szCs w:val="22"/>
          <w:lang w:val="de-DE"/>
        </w:rPr>
        <w:t>Atezolizumab</w:t>
      </w:r>
      <w:r w:rsidRPr="006676BC">
        <w:rPr>
          <w:rFonts w:asciiTheme="minorHAnsi" w:hAnsiTheme="minorHAnsi" w:cstheme="minorHAnsi"/>
          <w:szCs w:val="22"/>
          <w:lang w:val="de-DE"/>
        </w:rPr>
        <w:t xml:space="preserve"> ist indiziert für die Therapie von Patienten mit einem lokal fortgeschrittenen oder metastasierten Urothelkarzinom der Blase, die keine Cisplatin-hältige Chemotherapie erhalten können und deren Tumore PDL-1 exprimieren (IC &gt;=5% mit Ventana Assay) oder die für eine platinhältige Chemotherapie unabhängig vom PDL-1 Status nicht in Frage kommen.</w:t>
      </w:r>
    </w:p>
    <w:p w14:paraId="7FC9ED50" w14:textId="77777777" w:rsidR="0047045A" w:rsidRDefault="0047045A" w:rsidP="009A42E1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Cs w:val="22"/>
          <w:lang w:val="de-DE"/>
        </w:rPr>
      </w:pPr>
    </w:p>
    <w:p w14:paraId="00A201F7" w14:textId="77777777" w:rsidR="004F5E04" w:rsidRPr="00A96DE0" w:rsidRDefault="00F81A4F" w:rsidP="00A96DE0">
      <w:pPr>
        <w:pStyle w:val="Textkrper-Einzug2"/>
        <w:spacing w:after="0" w:line="240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A96DE0">
        <w:rPr>
          <w:rFonts w:asciiTheme="minorHAnsi" w:hAnsiTheme="minorHAnsi" w:cstheme="minorHAnsi"/>
          <w:b/>
          <w:szCs w:val="22"/>
        </w:rPr>
        <w:lastRenderedPageBreak/>
        <w:t>Defin</w:t>
      </w:r>
      <w:r w:rsidR="009530AC" w:rsidRPr="00A96DE0">
        <w:rPr>
          <w:rFonts w:asciiTheme="minorHAnsi" w:hAnsiTheme="minorHAnsi" w:cstheme="minorHAnsi"/>
          <w:b/>
          <w:szCs w:val="22"/>
        </w:rPr>
        <w:t>i</w:t>
      </w:r>
      <w:r w:rsidRPr="00A96DE0">
        <w:rPr>
          <w:rFonts w:asciiTheme="minorHAnsi" w:hAnsiTheme="minorHAnsi" w:cstheme="minorHAnsi"/>
          <w:b/>
          <w:szCs w:val="22"/>
        </w:rPr>
        <w:t>tion „Cisplatin-</w:t>
      </w:r>
      <w:r w:rsidR="009530AC" w:rsidRPr="00A96DE0">
        <w:rPr>
          <w:rFonts w:asciiTheme="minorHAnsi" w:hAnsiTheme="minorHAnsi" w:cstheme="minorHAnsi"/>
          <w:b/>
          <w:szCs w:val="22"/>
        </w:rPr>
        <w:t>un</w:t>
      </w:r>
      <w:r w:rsidRPr="00A96DE0">
        <w:rPr>
          <w:rFonts w:asciiTheme="minorHAnsi" w:hAnsiTheme="minorHAnsi" w:cstheme="minorHAnsi"/>
          <w:b/>
          <w:szCs w:val="22"/>
        </w:rPr>
        <w:t>fit</w:t>
      </w:r>
      <w:r w:rsidR="000250A1" w:rsidRPr="00A96DE0">
        <w:rPr>
          <w:rFonts w:asciiTheme="minorHAnsi" w:hAnsiTheme="minorHAnsi" w:cstheme="minorHAnsi"/>
          <w:b/>
          <w:szCs w:val="22"/>
        </w:rPr>
        <w:t>“:</w:t>
      </w:r>
      <w:r w:rsidRPr="00A96DE0">
        <w:rPr>
          <w:rFonts w:asciiTheme="minorHAnsi" w:hAnsiTheme="minorHAnsi" w:cstheme="minorHAnsi"/>
          <w:b/>
          <w:szCs w:val="22"/>
        </w:rPr>
        <w:t xml:space="preserve"> </w:t>
      </w:r>
      <w:r w:rsidR="009530AC" w:rsidRPr="00A96DE0">
        <w:rPr>
          <w:rFonts w:asciiTheme="minorHAnsi" w:hAnsiTheme="minorHAnsi" w:cstheme="minorHAnsi"/>
          <w:b/>
          <w:szCs w:val="22"/>
        </w:rPr>
        <w:t>Galsky-Kriterien</w:t>
      </w:r>
    </w:p>
    <w:p w14:paraId="6232036C" w14:textId="77777777" w:rsidR="00F81A4F" w:rsidRPr="006676BC" w:rsidRDefault="00F81A4F" w:rsidP="00E07CDE">
      <w:pPr>
        <w:pStyle w:val="Textkrper-Einzug2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WHO- oder ECOG-Performance Status 2 oder Karnofsky-Index von 60–70 %,</w:t>
      </w:r>
    </w:p>
    <w:p w14:paraId="33BA23E6" w14:textId="77777777" w:rsidR="00F81A4F" w:rsidRPr="006676BC" w:rsidRDefault="00F81A4F" w:rsidP="00E07CDE">
      <w:pPr>
        <w:pStyle w:val="Textkrper-Einzug2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Kreatinin-Clearance &lt; 60 mL/min,</w:t>
      </w:r>
    </w:p>
    <w:p w14:paraId="06FFEF72" w14:textId="77777777" w:rsidR="00F81A4F" w:rsidRPr="006676BC" w:rsidRDefault="00F81A4F" w:rsidP="00E07CDE">
      <w:pPr>
        <w:pStyle w:val="Textkrper-Einzug2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Cs w:val="22"/>
          <w:lang w:val="en-GB"/>
        </w:rPr>
      </w:pPr>
      <w:r w:rsidRPr="006676BC">
        <w:rPr>
          <w:rFonts w:asciiTheme="minorHAnsi" w:hAnsiTheme="minorHAnsi" w:cstheme="minorHAnsi"/>
          <w:szCs w:val="22"/>
          <w:lang w:val="en-GB"/>
        </w:rPr>
        <w:t>Hörschädigung CTCAE (Common Terminology Criteria for Adverse Events)-Grad 2</w:t>
      </w:r>
    </w:p>
    <w:p w14:paraId="2391A76E" w14:textId="77777777" w:rsidR="00F81A4F" w:rsidRPr="006676BC" w:rsidRDefault="00F81A4F" w:rsidP="00E07CDE">
      <w:pPr>
        <w:pStyle w:val="Textkrper-Einzug2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periphere Neuropathie CTCAE-Grad 2</w:t>
      </w:r>
    </w:p>
    <w:p w14:paraId="25D0F796" w14:textId="77777777" w:rsidR="00F81A4F" w:rsidRPr="006676BC" w:rsidRDefault="00F81A4F" w:rsidP="00E07CDE">
      <w:pPr>
        <w:pStyle w:val="Textkrper-Einzug2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Herzinsuffizienz NYHA Klasse III.</w:t>
      </w:r>
    </w:p>
    <w:p w14:paraId="5CB6FA0D" w14:textId="77777777" w:rsidR="00A55FD5" w:rsidRPr="006676BC" w:rsidRDefault="00A55FD5" w:rsidP="000250A1">
      <w:pPr>
        <w:rPr>
          <w:lang w:val="de-DE"/>
        </w:rPr>
      </w:pPr>
    </w:p>
    <w:p w14:paraId="72A3A647" w14:textId="77777777" w:rsidR="00270303" w:rsidRPr="006676BC" w:rsidRDefault="00270303" w:rsidP="000250A1">
      <w:pPr>
        <w:pStyle w:val="berschrift3"/>
        <w:numPr>
          <w:ilvl w:val="2"/>
          <w:numId w:val="20"/>
        </w:numPr>
        <w:rPr>
          <w:lang w:val="de-DE"/>
        </w:rPr>
      </w:pPr>
      <w:bookmarkStart w:id="22" w:name="_Toc92971148"/>
      <w:r w:rsidRPr="006676BC">
        <w:rPr>
          <w:lang w:val="de-DE"/>
        </w:rPr>
        <w:t>Blasenerhaltende Therapie des muskelinvasiven</w:t>
      </w:r>
      <w:r w:rsidR="007B4721" w:rsidRPr="006676BC">
        <w:rPr>
          <w:lang w:val="de-DE"/>
        </w:rPr>
        <w:t xml:space="preserve"> Urothelkarzinoms der Harnblase</w:t>
      </w:r>
      <w:bookmarkEnd w:id="22"/>
    </w:p>
    <w:p w14:paraId="0B2EDEAB" w14:textId="77777777" w:rsidR="00270303" w:rsidRPr="006676BC" w:rsidRDefault="00270303" w:rsidP="00270303">
      <w:pPr>
        <w:pStyle w:val="Textkrper-Einzug2"/>
        <w:spacing w:after="0" w:line="240" w:lineRule="auto"/>
        <w:ind w:left="720"/>
        <w:jc w:val="both"/>
        <w:rPr>
          <w:rFonts w:asciiTheme="minorHAnsi" w:hAnsiTheme="minorHAnsi" w:cstheme="minorHAnsi"/>
          <w:szCs w:val="22"/>
          <w:lang w:val="de-DE"/>
        </w:rPr>
      </w:pPr>
    </w:p>
    <w:p w14:paraId="2020F6C0" w14:textId="77777777" w:rsidR="00270303" w:rsidRPr="006676BC" w:rsidRDefault="00147E4C" w:rsidP="00270303">
      <w:pPr>
        <w:pStyle w:val="Textkrper-Einzug2"/>
        <w:spacing w:after="0" w:line="240" w:lineRule="auto"/>
        <w:ind w:left="720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noProof/>
          <w:szCs w:val="22"/>
          <w:lang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BCC3F72" wp14:editId="65AAF9F7">
                <wp:simplePos x="0" y="0"/>
                <wp:positionH relativeFrom="column">
                  <wp:posOffset>3449320</wp:posOffset>
                </wp:positionH>
                <wp:positionV relativeFrom="paragraph">
                  <wp:posOffset>409575</wp:posOffset>
                </wp:positionV>
                <wp:extent cx="2508250" cy="1587500"/>
                <wp:effectExtent l="0" t="0" r="6350" b="0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8250" cy="158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2FE206" w14:textId="77777777" w:rsidR="00995E5F" w:rsidRPr="006676BC" w:rsidRDefault="00995E5F" w:rsidP="00975B45">
                            <w:pPr>
                              <w:pStyle w:val="Textkrper-Einzug2"/>
                              <w:spacing w:after="0" w:line="240" w:lineRule="auto"/>
                              <w:ind w:left="0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Selektionskriterien für TMT (trimodale Therapie):</w:t>
                            </w:r>
                          </w:p>
                          <w:p w14:paraId="6EFEDAEA" w14:textId="77777777" w:rsidR="00995E5F" w:rsidRPr="006676BC" w:rsidRDefault="00995E5F" w:rsidP="00147E4C">
                            <w:pPr>
                              <w:pStyle w:val="Textkrper-Einzug2"/>
                              <w:spacing w:after="0" w:line="240" w:lineRule="auto"/>
                              <w:ind w:left="0"/>
                              <w:jc w:val="both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</w:p>
                          <w:p w14:paraId="422141F0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Stadium T2</w:t>
                            </w:r>
                          </w:p>
                          <w:p w14:paraId="10EB62A4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Keine tumorbedingte Hydronephrose</w:t>
                            </w:r>
                          </w:p>
                          <w:p w14:paraId="3133E7E0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Kein CIS</w:t>
                            </w:r>
                          </w:p>
                          <w:p w14:paraId="2F533BFE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Visiuell komplette TURB</w:t>
                            </w:r>
                          </w:p>
                          <w:p w14:paraId="27313AEB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Unifokaler Tumor</w:t>
                            </w:r>
                          </w:p>
                          <w:p w14:paraId="26AE1354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Gute Blasenkapazität und Funktion</w:t>
                            </w:r>
                          </w:p>
                          <w:p w14:paraId="7F283BB4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Chemofit</w:t>
                            </w:r>
                          </w:p>
                          <w:p w14:paraId="45875F74" w14:textId="77777777" w:rsidR="00995E5F" w:rsidRPr="006676BC" w:rsidRDefault="00995E5F" w:rsidP="00E07CDE">
                            <w:pPr>
                              <w:pStyle w:val="Textkrper-Einzug2"/>
                              <w:numPr>
                                <w:ilvl w:val="0"/>
                                <w:numId w:val="9"/>
                              </w:numPr>
                              <w:spacing w:after="0" w:line="240" w:lineRule="auto"/>
                              <w:ind w:left="284" w:hanging="284"/>
                              <w:jc w:val="left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6676BC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Keine pelvine Vorbestrahlung</w:t>
                            </w:r>
                          </w:p>
                          <w:p w14:paraId="7565B0BE" w14:textId="77777777" w:rsidR="00995E5F" w:rsidRDefault="00995E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C3F72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left:0;text-align:left;margin-left:271.6pt;margin-top:32.25pt;width:197.5pt;height:1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" fillcolor="white [3201]" stroked="f" strokeweight=".5pt">
                <v:textbox>
                  <w:txbxContent>
                    <w:p w14:paraId="532FE206" w14:textId="77777777" w:rsidR="00995E5F" w:rsidRPr="006676BC" w:rsidRDefault="00995E5F" w:rsidP="00975B45">
                      <w:pPr>
                        <w:pStyle w:val="Textkrper-Einzug2"/>
                        <w:spacing w:after="0" w:line="240" w:lineRule="auto"/>
                        <w:ind w:left="0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Selektionskriterien für TMT (trimodale Therapie):</w:t>
                      </w:r>
                    </w:p>
                    <w:p w14:paraId="6EFEDAEA" w14:textId="77777777" w:rsidR="00995E5F" w:rsidRPr="006676BC" w:rsidRDefault="00995E5F" w:rsidP="00147E4C">
                      <w:pPr>
                        <w:pStyle w:val="Textkrper-Einzug2"/>
                        <w:spacing w:after="0" w:line="240" w:lineRule="auto"/>
                        <w:ind w:left="0"/>
                        <w:jc w:val="both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</w:p>
                    <w:p w14:paraId="422141F0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Stadium T2</w:t>
                      </w:r>
                    </w:p>
                    <w:p w14:paraId="10EB62A4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Keine tumorbedingte Hydronephrose</w:t>
                      </w:r>
                    </w:p>
                    <w:p w14:paraId="3133E7E0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Kein CIS</w:t>
                      </w:r>
                    </w:p>
                    <w:p w14:paraId="2F533BFE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Visiuell komplette TURB</w:t>
                      </w:r>
                    </w:p>
                    <w:p w14:paraId="27313AEB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Unifokaler Tumor</w:t>
                      </w:r>
                    </w:p>
                    <w:p w14:paraId="26AE1354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Gute Blasenkapazität und Funktion</w:t>
                      </w:r>
                    </w:p>
                    <w:p w14:paraId="7F283BB4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Chemofit</w:t>
                      </w:r>
                    </w:p>
                    <w:p w14:paraId="45875F74" w14:textId="77777777" w:rsidR="00995E5F" w:rsidRPr="006676BC" w:rsidRDefault="00995E5F" w:rsidP="00E07CDE">
                      <w:pPr>
                        <w:pStyle w:val="Textkrper-Einzug2"/>
                        <w:numPr>
                          <w:ilvl w:val="0"/>
                          <w:numId w:val="9"/>
                        </w:numPr>
                        <w:spacing w:after="0" w:line="240" w:lineRule="auto"/>
                        <w:ind w:left="284" w:hanging="284"/>
                        <w:jc w:val="left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6676BC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Keine pelvine Vorbestrahlung</w:t>
                      </w:r>
                    </w:p>
                    <w:p w14:paraId="7565B0BE" w14:textId="77777777" w:rsidR="00995E5F" w:rsidRDefault="00995E5F"/>
                  </w:txbxContent>
                </v:textbox>
              </v:shape>
            </w:pict>
          </mc:Fallback>
        </mc:AlternateContent>
      </w:r>
      <w:r w:rsidRPr="006676BC"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6B4454D1" wp14:editId="3776B8D5">
            <wp:extent cx="2491398" cy="2565400"/>
            <wp:effectExtent l="0" t="0" r="4445" b="635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5-08-12 Leitlinie Urothelkarzinom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261" cy="2580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6F92B" w14:textId="77777777" w:rsidR="00975B45" w:rsidRPr="006676BC" w:rsidRDefault="00975B45" w:rsidP="00270303">
      <w:pPr>
        <w:pStyle w:val="Textkrper-Einzug2"/>
        <w:spacing w:after="0" w:line="240" w:lineRule="auto"/>
        <w:ind w:left="720"/>
        <w:jc w:val="both"/>
        <w:rPr>
          <w:rFonts w:asciiTheme="minorHAnsi" w:hAnsiTheme="minorHAnsi" w:cstheme="minorHAnsi"/>
          <w:szCs w:val="22"/>
        </w:rPr>
      </w:pPr>
    </w:p>
    <w:p w14:paraId="3FB1C328" w14:textId="77777777" w:rsidR="00975B45" w:rsidRPr="00D96E54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</w:rPr>
      </w:pPr>
      <w:r w:rsidRPr="00D96E54">
        <w:rPr>
          <w:rFonts w:asciiTheme="minorHAnsi" w:hAnsiTheme="minorHAnsi" w:cstheme="minorHAnsi"/>
          <w:szCs w:val="22"/>
        </w:rPr>
        <w:t>Hypoxische Radiosensitisation mit Karbogen und Nicotinamid (bladder carbogen nicotinamide) reduziert das Relapse - (54% vs 43%) und Todesrisiko [II, B].</w:t>
      </w:r>
    </w:p>
    <w:p w14:paraId="2198BBE3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7B6CAB95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12FF7535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6D403251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52D732E1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24C7B97B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1D237210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73DB8323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4742BFD0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66C57031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3F6DFBA4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795B955F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497E52B3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0E377A2B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01566EA2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6BDEFA5E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6437C6DB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4AD4BBB7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5E32347E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4714BDE2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01C56777" w14:textId="77777777" w:rsidR="00551A3E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  <w:highlight w:val="yellow"/>
        </w:rPr>
      </w:pPr>
    </w:p>
    <w:p w14:paraId="0D1EE3FA" w14:textId="77777777" w:rsidR="00551A3E" w:rsidRDefault="00551A3E" w:rsidP="00551A3E">
      <w:pPr>
        <w:pStyle w:val="berschrift2"/>
        <w:numPr>
          <w:ilvl w:val="1"/>
          <w:numId w:val="20"/>
        </w:numPr>
        <w:ind w:left="567" w:hanging="567"/>
      </w:pPr>
      <w:bookmarkStart w:id="23" w:name="_Toc92971149"/>
      <w:r>
        <w:lastRenderedPageBreak/>
        <w:t xml:space="preserve">Urothelkarzinom des oberen Harntraktes - </w:t>
      </w:r>
      <w:r w:rsidRPr="006676BC">
        <w:t>UTUC</w:t>
      </w:r>
      <w:bookmarkEnd w:id="23"/>
    </w:p>
    <w:p w14:paraId="751C9395" w14:textId="77777777" w:rsidR="00551A3E" w:rsidRPr="00EE31C2" w:rsidRDefault="00551A3E" w:rsidP="00551A3E">
      <w:pPr>
        <w:pStyle w:val="berschrift3"/>
        <w:rPr>
          <w:lang w:val="de-DE"/>
        </w:rPr>
      </w:pPr>
      <w:bookmarkStart w:id="24" w:name="_Toc92971150"/>
      <w:r>
        <w:rPr>
          <w:lang w:val="de-DE"/>
        </w:rPr>
        <w:t>3.3.1</w:t>
      </w:r>
      <w:r>
        <w:rPr>
          <w:lang w:val="de-DE"/>
        </w:rPr>
        <w:tab/>
      </w:r>
      <w:r w:rsidRPr="00EE31C2">
        <w:rPr>
          <w:lang w:val="de-DE"/>
        </w:rPr>
        <w:t>Behandlungs</w:t>
      </w:r>
      <w:r>
        <w:rPr>
          <w:lang w:val="de-DE"/>
        </w:rPr>
        <w:t>algorithmus</w:t>
      </w:r>
      <w:r w:rsidRPr="00EE31C2">
        <w:rPr>
          <w:lang w:val="de-DE"/>
        </w:rPr>
        <w:t xml:space="preserve"> UTUC</w:t>
      </w:r>
      <w:bookmarkEnd w:id="24"/>
    </w:p>
    <w:p w14:paraId="6456C0F1" w14:textId="77777777" w:rsidR="00551A3E" w:rsidRPr="006676BC" w:rsidRDefault="00551A3E" w:rsidP="00551A3E">
      <w:pPr>
        <w:pStyle w:val="Textkrper-Einzug2"/>
        <w:spacing w:after="0" w:line="276" w:lineRule="auto"/>
        <w:ind w:left="0"/>
        <w:jc w:val="left"/>
        <w:rPr>
          <w:rFonts w:asciiTheme="minorHAnsi" w:hAnsiTheme="minorHAnsi" w:cstheme="minorHAnsi"/>
          <w:sz w:val="8"/>
          <w:szCs w:val="8"/>
          <w:lang w:val="de-DE"/>
        </w:rPr>
      </w:pPr>
    </w:p>
    <w:p w14:paraId="34DAC992" w14:textId="77777777" w:rsidR="0088307A" w:rsidRDefault="0088307A" w:rsidP="00551A3E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6F34B7FD" w14:textId="65A05233" w:rsidR="00551A3E" w:rsidRPr="00CD38F4" w:rsidRDefault="00995E5F" w:rsidP="00995E5F">
      <w:pPr>
        <w:rPr>
          <w:rFonts w:asciiTheme="minorHAnsi" w:hAnsiTheme="minorHAnsi" w:cstheme="minorHAnsi"/>
          <w:szCs w:val="22"/>
        </w:rPr>
      </w:pPr>
      <w:r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406DB400" wp14:editId="527E570D">
            <wp:extent cx="4303286" cy="6604000"/>
            <wp:effectExtent l="0" t="0" r="2540" b="635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5-08-12 Leitlinie Urothelkarzinom.gi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455" cy="661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347F7" w14:textId="3F40DA92" w:rsidR="00551A3E" w:rsidRDefault="00551A3E" w:rsidP="00551A3E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50565920" w14:textId="48476742" w:rsidR="00E31903" w:rsidRPr="00D96E54" w:rsidRDefault="00E31903" w:rsidP="00E31903">
      <w:pPr>
        <w:pStyle w:val="Textkrper-Einzug2"/>
        <w:spacing w:after="0" w:line="240" w:lineRule="auto"/>
        <w:ind w:left="284" w:hanging="284"/>
        <w:jc w:val="both"/>
        <w:rPr>
          <w:rFonts w:asciiTheme="minorHAnsi" w:hAnsiTheme="minorHAnsi" w:cstheme="minorHAnsi"/>
          <w:sz w:val="18"/>
          <w:szCs w:val="18"/>
        </w:rPr>
      </w:pPr>
      <w:r w:rsidRPr="00566E32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566E32">
        <w:rPr>
          <w:rFonts w:asciiTheme="minorHAnsi" w:hAnsiTheme="minorHAnsi" w:cstheme="minorHAnsi"/>
          <w:sz w:val="18"/>
          <w:szCs w:val="18"/>
        </w:rPr>
        <w:tab/>
        <w:t>Nivolumab verbessert in der Checkmate 274 das DFS, Metastasenfreie Überleben und das außerhalb des harntrakt-rezidivfreie Überleben signifikant. Die Daten für das OS sind noch nicht reif, die QoL wird gegenüber Placebo nicht verschlechtert.</w:t>
      </w:r>
    </w:p>
    <w:p w14:paraId="360DF3FF" w14:textId="17D257A7" w:rsidR="00E31903" w:rsidRDefault="00E31903" w:rsidP="00551A3E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</w:rPr>
      </w:pPr>
    </w:p>
    <w:p w14:paraId="7B795B96" w14:textId="77777777" w:rsidR="00995E5F" w:rsidRPr="00E31903" w:rsidRDefault="00995E5F" w:rsidP="00551A3E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</w:rPr>
      </w:pPr>
    </w:p>
    <w:p w14:paraId="4B6CADAA" w14:textId="77777777" w:rsidR="00551A3E" w:rsidRDefault="00551A3E" w:rsidP="00551A3E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234F31EB" w14:textId="77777777" w:rsidR="00551A3E" w:rsidRDefault="00551A3E" w:rsidP="00551A3E">
      <w:pPr>
        <w:pStyle w:val="berschrift3"/>
        <w:numPr>
          <w:ilvl w:val="2"/>
          <w:numId w:val="42"/>
        </w:numPr>
        <w:rPr>
          <w:lang w:val="de-DE"/>
        </w:rPr>
      </w:pPr>
      <w:bookmarkStart w:id="25" w:name="_Toc92971151"/>
      <w:r w:rsidRPr="00EE31C2">
        <w:rPr>
          <w:lang w:val="de-DE"/>
        </w:rPr>
        <w:lastRenderedPageBreak/>
        <w:t>Follow Up UTUC</w:t>
      </w:r>
      <w:bookmarkEnd w:id="25"/>
    </w:p>
    <w:p w14:paraId="303AD213" w14:textId="77777777" w:rsidR="00551A3E" w:rsidRPr="00EE31C2" w:rsidRDefault="00551A3E" w:rsidP="00551A3E">
      <w:pPr>
        <w:pStyle w:val="Textkrper-Einzug2"/>
        <w:spacing w:after="0" w:line="240" w:lineRule="auto"/>
        <w:ind w:left="0"/>
        <w:jc w:val="left"/>
        <w:rPr>
          <w:rFonts w:asciiTheme="minorHAnsi" w:hAnsiTheme="minorHAnsi" w:cstheme="minorHAnsi"/>
          <w:b/>
          <w:szCs w:val="22"/>
          <w:lang w:val="de-DE"/>
        </w:rPr>
      </w:pPr>
      <w:r w:rsidRPr="00EE31C2">
        <w:rPr>
          <w:rFonts w:asciiTheme="minorHAnsi" w:hAnsiTheme="minorHAnsi" w:cstheme="minorHAnsi"/>
          <w:b/>
          <w:szCs w:val="22"/>
          <w:lang w:val="de-DE"/>
        </w:rPr>
        <w:t>Nach Nephroureterektomie:</w:t>
      </w:r>
    </w:p>
    <w:p w14:paraId="5B99E43D" w14:textId="77777777" w:rsidR="00551A3E" w:rsidRPr="00EE31C2" w:rsidRDefault="00551A3E" w:rsidP="00551A3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Low Risk: Zystoskopie nach 3 + 9 Monaten, dann jährlich / 5 Jahre lang</w:t>
      </w:r>
    </w:p>
    <w:p w14:paraId="39D5E0FC" w14:textId="77777777" w:rsidR="00551A3E" w:rsidRPr="00EE31C2" w:rsidRDefault="00551A3E" w:rsidP="00551A3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High Risk: Zystoskopie und Zytologie 3 monatlich für 2 Jahre, dann 6 monatlich bis 5 Jahre, dann jährlich</w:t>
      </w:r>
    </w:p>
    <w:p w14:paraId="5D2501CE" w14:textId="77777777" w:rsidR="00551A3E" w:rsidRPr="00EE31C2" w:rsidRDefault="00551A3E" w:rsidP="00551A3E">
      <w:pPr>
        <w:pStyle w:val="Textkrper-Einzug2"/>
        <w:spacing w:after="0" w:line="240" w:lineRule="auto"/>
        <w:ind w:left="360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CT Abd/Thx 6 monatlich für 2 Jahre, dann jährlich</w:t>
      </w:r>
    </w:p>
    <w:p w14:paraId="6FC32901" w14:textId="77777777" w:rsidR="00551A3E" w:rsidRDefault="00551A3E" w:rsidP="00551A3E">
      <w:pPr>
        <w:rPr>
          <w:rFonts w:ascii="Helvetica" w:hAnsi="Helvetica"/>
          <w:sz w:val="20"/>
        </w:rPr>
      </w:pPr>
    </w:p>
    <w:p w14:paraId="2D08FE28" w14:textId="77777777" w:rsidR="00551A3E" w:rsidRPr="00EE31C2" w:rsidRDefault="00551A3E" w:rsidP="00551A3E">
      <w:pPr>
        <w:pStyle w:val="Textkrper-Einzug2"/>
        <w:spacing w:after="0" w:line="240" w:lineRule="auto"/>
        <w:ind w:left="0"/>
        <w:jc w:val="left"/>
        <w:rPr>
          <w:rFonts w:asciiTheme="minorHAnsi" w:hAnsiTheme="minorHAnsi" w:cstheme="minorHAnsi"/>
          <w:b/>
          <w:szCs w:val="22"/>
          <w:lang w:val="de-DE"/>
        </w:rPr>
      </w:pPr>
      <w:r w:rsidRPr="00EE31C2">
        <w:rPr>
          <w:rFonts w:asciiTheme="minorHAnsi" w:hAnsiTheme="minorHAnsi" w:cstheme="minorHAnsi"/>
          <w:b/>
          <w:szCs w:val="22"/>
          <w:lang w:val="de-DE"/>
        </w:rPr>
        <w:t>Nach nierenerhaltender Therapie:</w:t>
      </w:r>
    </w:p>
    <w:p w14:paraId="4D0B027F" w14:textId="77777777" w:rsidR="00551A3E" w:rsidRDefault="00551A3E" w:rsidP="00551A3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Low Risk: Zystoskopie und CT Urographie nach 3 + 6 Monaten, dann jähr</w:t>
      </w:r>
      <w:r>
        <w:rPr>
          <w:rFonts w:asciiTheme="minorHAnsi" w:hAnsiTheme="minorHAnsi" w:cstheme="minorHAnsi"/>
          <w:szCs w:val="22"/>
          <w:lang w:val="de-DE"/>
        </w:rPr>
        <w:t>lich</w:t>
      </w:r>
    </w:p>
    <w:p w14:paraId="3A6BA44B" w14:textId="77777777" w:rsidR="00551A3E" w:rsidRPr="00EE31C2" w:rsidRDefault="00551A3E" w:rsidP="00551A3E">
      <w:pPr>
        <w:pStyle w:val="Textkrper-Einzug2"/>
        <w:spacing w:after="0" w:line="240" w:lineRule="auto"/>
        <w:ind w:left="720" w:firstLine="696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URS nach 3 Monaten</w:t>
      </w:r>
    </w:p>
    <w:p w14:paraId="4E8AA923" w14:textId="77777777" w:rsidR="00551A3E" w:rsidRPr="00EE31C2" w:rsidRDefault="00551A3E" w:rsidP="00551A3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High Risk: Zystoskopie, Zytologie, CT Urographie/Abd/Thx nach 3 + 6 Monaten, dann jährlich</w:t>
      </w:r>
    </w:p>
    <w:p w14:paraId="38878007" w14:textId="77777777" w:rsidR="00551A3E" w:rsidRPr="00EE31C2" w:rsidRDefault="00551A3E" w:rsidP="00551A3E">
      <w:pPr>
        <w:pStyle w:val="Textkrper-Einzug2"/>
        <w:spacing w:after="0" w:line="240" w:lineRule="auto"/>
        <w:ind w:left="720" w:firstLine="696"/>
        <w:jc w:val="left"/>
        <w:rPr>
          <w:rFonts w:asciiTheme="minorHAnsi" w:hAnsiTheme="minorHAnsi" w:cstheme="minorHAnsi"/>
          <w:szCs w:val="22"/>
          <w:lang w:val="de-DE"/>
        </w:rPr>
      </w:pPr>
      <w:r w:rsidRPr="00EE31C2">
        <w:rPr>
          <w:rFonts w:asciiTheme="minorHAnsi" w:hAnsiTheme="minorHAnsi" w:cstheme="minorHAnsi"/>
          <w:szCs w:val="22"/>
          <w:lang w:val="de-DE"/>
        </w:rPr>
        <w:t>URS und Zytologie in situ 3 + 6 Monaten</w:t>
      </w:r>
    </w:p>
    <w:p w14:paraId="41475DFE" w14:textId="77777777" w:rsidR="00551A3E" w:rsidRPr="006676BC" w:rsidRDefault="00551A3E" w:rsidP="00551A3E">
      <w:pPr>
        <w:pStyle w:val="Textkrper-Einzug2"/>
        <w:spacing w:after="0" w:line="240" w:lineRule="auto"/>
        <w:ind w:left="284"/>
        <w:jc w:val="both"/>
        <w:rPr>
          <w:rFonts w:asciiTheme="minorHAnsi" w:hAnsiTheme="minorHAnsi" w:cstheme="minorHAnsi"/>
          <w:szCs w:val="22"/>
        </w:rPr>
      </w:pPr>
    </w:p>
    <w:p w14:paraId="69ED9DC1" w14:textId="77777777" w:rsidR="007E3A58" w:rsidRPr="006676BC" w:rsidRDefault="007E3A58" w:rsidP="00270303">
      <w:pPr>
        <w:pStyle w:val="Textkrper-Einzug2"/>
        <w:spacing w:after="0" w:line="240" w:lineRule="auto"/>
        <w:ind w:left="720"/>
        <w:jc w:val="both"/>
        <w:rPr>
          <w:rFonts w:asciiTheme="minorHAnsi" w:hAnsiTheme="minorHAnsi" w:cstheme="minorHAnsi"/>
          <w:szCs w:val="22"/>
        </w:rPr>
      </w:pPr>
    </w:p>
    <w:p w14:paraId="5BC9F610" w14:textId="77777777" w:rsidR="004F5E04" w:rsidRPr="006676BC" w:rsidRDefault="007E3A58" w:rsidP="007E3A58">
      <w:pPr>
        <w:pStyle w:val="berschrift2"/>
        <w:numPr>
          <w:ilvl w:val="0"/>
          <w:numId w:val="0"/>
        </w:numPr>
      </w:pPr>
      <w:bookmarkStart w:id="26" w:name="_Toc92971152"/>
      <w:r w:rsidRPr="006676BC">
        <w:t>3.</w:t>
      </w:r>
      <w:r w:rsidR="00551A3E">
        <w:t>4</w:t>
      </w:r>
      <w:r w:rsidRPr="006676BC">
        <w:tab/>
      </w:r>
      <w:r w:rsidR="004F5E04" w:rsidRPr="006676BC">
        <w:t>Metastasierte Urothelkarzinome der Harnblase</w:t>
      </w:r>
      <w:bookmarkEnd w:id="26"/>
    </w:p>
    <w:p w14:paraId="6DF1B4CD" w14:textId="77777777" w:rsidR="006F70FB" w:rsidRPr="006676BC" w:rsidRDefault="006F70FB" w:rsidP="006F70FB">
      <w:pPr>
        <w:pStyle w:val="Listenabsatz"/>
        <w:ind w:left="360"/>
        <w:jc w:val="both"/>
        <w:rPr>
          <w:sz w:val="8"/>
          <w:szCs w:val="8"/>
        </w:rPr>
      </w:pPr>
    </w:p>
    <w:p w14:paraId="6CB21960" w14:textId="26B75D7F" w:rsidR="004F5E04" w:rsidRDefault="00000DC0" w:rsidP="001F2BEC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noProof/>
          <w:szCs w:val="22"/>
          <w:lang w:eastAsia="de-AT"/>
        </w:rPr>
        <w:drawing>
          <wp:inline distT="0" distB="0" distL="0" distR="0" wp14:anchorId="6D806185" wp14:editId="638A8F2D">
            <wp:extent cx="5957570" cy="5370195"/>
            <wp:effectExtent l="0" t="0" r="5080" b="190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5-08-12 Leitlinie Urothelkarzinom.gif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570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4704A" w14:textId="0B5AD5DA" w:rsidR="004F5E04" w:rsidRDefault="004F5E04" w:rsidP="004F5E04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36CACAFC" w14:textId="40EF41FF" w:rsidR="00000DC0" w:rsidRDefault="00000DC0" w:rsidP="004F5E04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35C399D8" w14:textId="77777777" w:rsidR="00000DC0" w:rsidRPr="006676BC" w:rsidRDefault="00000DC0" w:rsidP="004F5E04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</w:p>
    <w:p w14:paraId="7ED47675" w14:textId="4C2351C8" w:rsidR="007E3A58" w:rsidRPr="006676BC" w:rsidRDefault="00384979" w:rsidP="007E3A58">
      <w:pPr>
        <w:pStyle w:val="Textkrper-Einzug2"/>
        <w:spacing w:after="0" w:line="240" w:lineRule="auto"/>
        <w:ind w:left="0"/>
        <w:jc w:val="left"/>
        <w:rPr>
          <w:rFonts w:asciiTheme="minorHAnsi" w:hAnsiTheme="minorHAnsi" w:cstheme="minorHAnsi"/>
          <w:szCs w:val="22"/>
          <w:lang w:val="de-DE"/>
        </w:rPr>
      </w:pPr>
      <w:hyperlink w:anchor="_Anhang:_Studienblatt_(optional)" w:history="1">
        <w:r w:rsidR="007E3A58" w:rsidRPr="006676BC">
          <w:rPr>
            <w:rStyle w:val="Hyperlink"/>
            <w:rFonts w:asciiTheme="minorHAnsi" w:hAnsiTheme="minorHAnsi" w:cstheme="minorHAnsi"/>
            <w:szCs w:val="22"/>
            <w:lang w:val="de-DE"/>
          </w:rPr>
          <w:t>Studien:</w:t>
        </w:r>
      </w:hyperlink>
    </w:p>
    <w:p w14:paraId="37D173D2" w14:textId="77777777" w:rsidR="007E3A58" w:rsidRPr="006676BC" w:rsidRDefault="007E3A58" w:rsidP="00E07CD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Bayer 19131 (FORT2) Phase 1b</w:t>
      </w:r>
    </w:p>
    <w:p w14:paraId="795508F1" w14:textId="77777777" w:rsidR="007E3A58" w:rsidRPr="006676BC" w:rsidRDefault="007E3A58" w:rsidP="00E07CD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Bayer 19131 (FORT2) Phase 2</w:t>
      </w:r>
    </w:p>
    <w:p w14:paraId="4E44F498" w14:textId="77777777" w:rsidR="007E3A58" w:rsidRPr="006676BC" w:rsidRDefault="007E3A58" w:rsidP="00E07CD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THOR</w:t>
      </w:r>
    </w:p>
    <w:p w14:paraId="46684C8D" w14:textId="77777777" w:rsidR="007E3A58" w:rsidRPr="006676BC" w:rsidRDefault="007E3A58" w:rsidP="00E07CD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TITAN TCC</w:t>
      </w:r>
    </w:p>
    <w:p w14:paraId="2A4D9531" w14:textId="77777777" w:rsidR="007E3A58" w:rsidRDefault="007E3A58" w:rsidP="00E07CDE">
      <w:pPr>
        <w:pStyle w:val="Textkrper-Einzug2"/>
        <w:numPr>
          <w:ilvl w:val="0"/>
          <w:numId w:val="10"/>
        </w:numPr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FIDES-02</w:t>
      </w:r>
    </w:p>
    <w:p w14:paraId="706E65D9" w14:textId="77777777" w:rsidR="0088307A" w:rsidRPr="00566E32" w:rsidRDefault="0088307A" w:rsidP="00D96E54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de-DE"/>
        </w:rPr>
      </w:pPr>
    </w:p>
    <w:p w14:paraId="32F68517" w14:textId="254F5B4D" w:rsidR="00D96E54" w:rsidRPr="00566E32" w:rsidRDefault="00D96E54" w:rsidP="00D96E54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szCs w:val="22"/>
          <w:u w:val="single"/>
          <w:lang w:val="de-DE"/>
        </w:rPr>
      </w:pPr>
      <w:r w:rsidRPr="00566E32">
        <w:rPr>
          <w:rFonts w:asciiTheme="minorHAnsi" w:hAnsiTheme="minorHAnsi" w:cstheme="minorHAnsi"/>
          <w:szCs w:val="22"/>
          <w:u w:val="single"/>
          <w:lang w:val="de-DE"/>
        </w:rPr>
        <w:t>Indikationseinschränkungen:</w:t>
      </w:r>
    </w:p>
    <w:p w14:paraId="365C91CE" w14:textId="77777777" w:rsidR="00D96E54" w:rsidRPr="00566E32" w:rsidRDefault="00D96E54" w:rsidP="00D96E54">
      <w:pPr>
        <w:pStyle w:val="Textkrper-Einzug2"/>
        <w:spacing w:line="240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566E32">
        <w:rPr>
          <w:rFonts w:asciiTheme="minorHAnsi" w:hAnsiTheme="minorHAnsi" w:cstheme="minorHAnsi"/>
          <w:b/>
          <w:szCs w:val="22"/>
          <w:lang w:val="de-DE"/>
        </w:rPr>
        <w:t>Pembrolizumab</w:t>
      </w:r>
      <w:r w:rsidRPr="00566E32">
        <w:rPr>
          <w:rFonts w:asciiTheme="minorHAnsi" w:hAnsiTheme="minorHAnsi" w:cstheme="minorHAnsi"/>
          <w:szCs w:val="22"/>
          <w:lang w:val="de-DE"/>
        </w:rPr>
        <w:t xml:space="preserve"> ist indiziert für die Therapie von Patienten mit einem lokal fortgeschrittenen oder metastasierten Urothelkarzinom der Blase, die keine Cisplatin-hältige Chemotherapie erhalten können und deren Tumore PDL-1 exprimieren (Dako PDL-1 IHC 22C3 Assay;  Combined Positive Score CPS &gt;=10) oder die für eine platinhältige Chemotherapie unabhängig vom PDL-1 Status nicht in Frage kommen. </w:t>
      </w:r>
    </w:p>
    <w:p w14:paraId="18526C7F" w14:textId="77777777" w:rsidR="00D96E54" w:rsidRPr="006676BC" w:rsidRDefault="00D96E54" w:rsidP="00D96E54">
      <w:pPr>
        <w:pStyle w:val="Textkrper-Einzug2"/>
        <w:spacing w:after="0" w:line="240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566E32">
        <w:rPr>
          <w:rFonts w:asciiTheme="minorHAnsi" w:hAnsiTheme="minorHAnsi" w:cstheme="minorHAnsi"/>
          <w:b/>
          <w:szCs w:val="22"/>
          <w:lang w:val="de-DE"/>
        </w:rPr>
        <w:t>Atezolizumab</w:t>
      </w:r>
      <w:r w:rsidRPr="00566E32">
        <w:rPr>
          <w:rFonts w:asciiTheme="minorHAnsi" w:hAnsiTheme="minorHAnsi" w:cstheme="minorHAnsi"/>
          <w:szCs w:val="22"/>
          <w:lang w:val="de-DE"/>
        </w:rPr>
        <w:t xml:space="preserve"> ist indiziert für die Therapie von Patienten mit einem lokal fortgeschrittenen oder metastasierten Urothelkarzinom der Blase, die keine Cisplatin-hältige Chemotherapie erhalten können und deren Tumore PDL-1 exprimieren (IC &gt;=5% mit Ventana Assay) oder die für eine platinhältige Chemotherapie unabhängig vom PDL-1 Status nicht in Frage kommen.</w:t>
      </w:r>
    </w:p>
    <w:p w14:paraId="1556A12C" w14:textId="77777777" w:rsidR="00551A3E" w:rsidRDefault="00551A3E" w:rsidP="00551A3E">
      <w:pPr>
        <w:pStyle w:val="Textkrper-Einzug2"/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</w:p>
    <w:p w14:paraId="3771D9D8" w14:textId="77777777" w:rsidR="00551A3E" w:rsidRPr="006676BC" w:rsidRDefault="00551A3E" w:rsidP="00551A3E">
      <w:pPr>
        <w:pStyle w:val="Textkrper-Einzug2"/>
        <w:spacing w:after="0" w:line="240" w:lineRule="auto"/>
        <w:jc w:val="left"/>
        <w:rPr>
          <w:rFonts w:asciiTheme="minorHAnsi" w:hAnsiTheme="minorHAnsi" w:cstheme="minorHAnsi"/>
          <w:szCs w:val="22"/>
          <w:lang w:val="de-DE"/>
        </w:rPr>
      </w:pPr>
    </w:p>
    <w:p w14:paraId="25BF0A8A" w14:textId="77777777" w:rsidR="006F70FB" w:rsidRPr="006676BC" w:rsidRDefault="006F70FB" w:rsidP="001212D5">
      <w:pPr>
        <w:pStyle w:val="Textkrper-Einzug2"/>
        <w:spacing w:after="0" w:line="276" w:lineRule="auto"/>
        <w:ind w:left="0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noProof/>
          <w:szCs w:val="22"/>
          <w:lang w:eastAsia="de-AT"/>
        </w:rPr>
        <mc:AlternateContent>
          <mc:Choice Requires="wpi">
            <w:drawing>
              <wp:anchor distT="0" distB="0" distL="114300" distR="114300" simplePos="0" relativeHeight="251656704" behindDoc="0" locked="0" layoutInCell="1" allowOverlap="1" wp14:anchorId="52DE3D23" wp14:editId="32DC4514">
                <wp:simplePos x="0" y="0"/>
                <wp:positionH relativeFrom="column">
                  <wp:posOffset>5710384</wp:posOffset>
                </wp:positionH>
                <wp:positionV relativeFrom="paragraph">
                  <wp:posOffset>2996205</wp:posOffset>
                </wp:positionV>
                <wp:extent cx="360" cy="360"/>
                <wp:effectExtent l="38100" t="38100" r="38100" b="38100"/>
                <wp:wrapNone/>
                <wp:docPr id="9" name="Freihand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2CBC5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9" o:spid="_x0000_s1026" type="#_x0000_t75" style="position:absolute;margin-left:448.7pt;margin-top:234.95pt;width:2pt;height:2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">
                <v:imagedata r:id="rId28" o:title=""/>
              </v:shape>
            </w:pict>
          </mc:Fallback>
        </mc:AlternateContent>
      </w:r>
    </w:p>
    <w:p w14:paraId="2D040628" w14:textId="77777777" w:rsidR="006D4DAC" w:rsidRPr="006676BC" w:rsidRDefault="006D4DAC" w:rsidP="007F3064">
      <w:pPr>
        <w:pStyle w:val="berschrift1"/>
      </w:pPr>
      <w:bookmarkStart w:id="27" w:name="_Toc367183618"/>
      <w:bookmarkStart w:id="28" w:name="_Toc367183856"/>
      <w:bookmarkStart w:id="29" w:name="_Toc92971153"/>
      <w:r w:rsidRPr="006676BC">
        <w:t>4</w:t>
      </w:r>
      <w:r w:rsidRPr="006676BC">
        <w:tab/>
      </w:r>
      <w:bookmarkEnd w:id="27"/>
      <w:bookmarkEnd w:id="28"/>
      <w:r w:rsidR="0049768A" w:rsidRPr="006676BC">
        <w:t>Besondere klinische Situationen</w:t>
      </w:r>
      <w:bookmarkEnd w:id="29"/>
      <w:r w:rsidRPr="006676BC">
        <w:t xml:space="preserve"> </w:t>
      </w:r>
    </w:p>
    <w:p w14:paraId="0E6D04F3" w14:textId="77777777" w:rsidR="00EE31C2" w:rsidRDefault="001212D5" w:rsidP="00897F8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u w:val="single"/>
        </w:rPr>
      </w:pPr>
      <w:r w:rsidRPr="006676BC">
        <w:rPr>
          <w:rFonts w:asciiTheme="minorHAnsi" w:hAnsiTheme="minorHAnsi" w:cstheme="minorHAnsi"/>
          <w:szCs w:val="22"/>
          <w:u w:val="single"/>
        </w:rPr>
        <w:t>Alternative Therapieverfahren:</w:t>
      </w:r>
      <w:r w:rsidR="007450F9" w:rsidRPr="006676BC">
        <w:rPr>
          <w:rFonts w:asciiTheme="minorHAnsi" w:hAnsiTheme="minorHAnsi" w:cstheme="minorHAnsi"/>
          <w:szCs w:val="22"/>
          <w:u w:val="single"/>
        </w:rPr>
        <w:t xml:space="preserve"> </w:t>
      </w:r>
    </w:p>
    <w:p w14:paraId="07639EA5" w14:textId="77777777" w:rsidR="00EE31C2" w:rsidRPr="00EE31C2" w:rsidRDefault="00EE31C2" w:rsidP="00000DC0">
      <w:pPr>
        <w:pStyle w:val="Default"/>
        <w:numPr>
          <w:ilvl w:val="0"/>
          <w:numId w:val="44"/>
        </w:numPr>
        <w:ind w:left="284" w:hanging="284"/>
        <w:rPr>
          <w:sz w:val="22"/>
          <w:szCs w:val="22"/>
        </w:rPr>
      </w:pPr>
      <w:r w:rsidRPr="00EE31C2">
        <w:rPr>
          <w:sz w:val="22"/>
          <w:szCs w:val="22"/>
        </w:rPr>
        <w:t>Transurethrale En-Bloc Tumor-Resektion</w:t>
      </w:r>
    </w:p>
    <w:p w14:paraId="13C9D48B" w14:textId="77777777" w:rsidR="00EE31C2" w:rsidRDefault="00EE31C2" w:rsidP="00000DC0">
      <w:pPr>
        <w:pStyle w:val="Default"/>
        <w:numPr>
          <w:ilvl w:val="0"/>
          <w:numId w:val="44"/>
        </w:numPr>
        <w:ind w:left="284" w:hanging="284"/>
        <w:rPr>
          <w:sz w:val="22"/>
          <w:szCs w:val="22"/>
        </w:rPr>
      </w:pPr>
      <w:r w:rsidRPr="00EE31C2">
        <w:rPr>
          <w:sz w:val="22"/>
          <w:szCs w:val="22"/>
        </w:rPr>
        <w:t>Hyperthermische Mitomycin Instillation bei BCG-unresponsive Disease</w:t>
      </w:r>
    </w:p>
    <w:p w14:paraId="40EB9F9A" w14:textId="77777777" w:rsidR="001212D5" w:rsidRPr="006676BC" w:rsidRDefault="001212D5" w:rsidP="00000DC0">
      <w:pPr>
        <w:pStyle w:val="Textkrper-Einzug2"/>
        <w:numPr>
          <w:ilvl w:val="0"/>
          <w:numId w:val="4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  <w:u w:val="single"/>
        </w:rPr>
      </w:pPr>
      <w:r w:rsidRPr="006676BC">
        <w:rPr>
          <w:rFonts w:asciiTheme="minorHAnsi" w:hAnsiTheme="minorHAnsi" w:cstheme="minorHAnsi"/>
          <w:szCs w:val="22"/>
        </w:rPr>
        <w:t>Lasergestützte OP-Verfahren</w:t>
      </w:r>
      <w:r w:rsidR="007450F9" w:rsidRPr="006676BC">
        <w:rPr>
          <w:rFonts w:asciiTheme="minorHAnsi" w:hAnsiTheme="minorHAnsi" w:cstheme="minorHAnsi"/>
          <w:szCs w:val="22"/>
        </w:rPr>
        <w:t>: Ausschließlich bei low-r</w:t>
      </w:r>
      <w:r w:rsidR="00594EB1" w:rsidRPr="006676BC">
        <w:rPr>
          <w:rFonts w:asciiTheme="minorHAnsi" w:hAnsiTheme="minorHAnsi" w:cstheme="minorHAnsi"/>
          <w:szCs w:val="22"/>
        </w:rPr>
        <w:t>isk</w:t>
      </w:r>
      <w:r w:rsidR="007450F9" w:rsidRPr="006676BC">
        <w:rPr>
          <w:rFonts w:asciiTheme="minorHAnsi" w:hAnsiTheme="minorHAnsi" w:cstheme="minorHAnsi"/>
          <w:szCs w:val="22"/>
        </w:rPr>
        <w:t>-</w:t>
      </w:r>
      <w:r w:rsidR="00594EB1" w:rsidRPr="006676BC">
        <w:rPr>
          <w:rFonts w:asciiTheme="minorHAnsi" w:hAnsiTheme="minorHAnsi" w:cstheme="minorHAnsi"/>
          <w:szCs w:val="22"/>
        </w:rPr>
        <w:t>Tumoren via Ureteroskopie bei Tumoren im Harnleiter, in speziellen Fällen auch Laserresektion mit perkutanem Zugang bei Nie</w:t>
      </w:r>
      <w:r w:rsidR="00327FCC" w:rsidRPr="006676BC">
        <w:rPr>
          <w:rFonts w:asciiTheme="minorHAnsi" w:hAnsiTheme="minorHAnsi" w:cstheme="minorHAnsi"/>
          <w:szCs w:val="22"/>
        </w:rPr>
        <w:t xml:space="preserve">renbecken - oder -Kelchtumoren </w:t>
      </w:r>
      <w:r w:rsidR="00594EB1" w:rsidRPr="006676BC">
        <w:rPr>
          <w:rFonts w:asciiTheme="minorHAnsi" w:hAnsiTheme="minorHAnsi" w:cstheme="minorHAnsi"/>
          <w:szCs w:val="22"/>
        </w:rPr>
        <w:t>(Komplettresektion anzustreben)</w:t>
      </w:r>
      <w:r w:rsidR="00327FCC" w:rsidRPr="006676BC">
        <w:rPr>
          <w:rFonts w:asciiTheme="minorHAnsi" w:hAnsiTheme="minorHAnsi" w:cstheme="minorHAnsi"/>
          <w:szCs w:val="22"/>
        </w:rPr>
        <w:t>.</w:t>
      </w:r>
      <w:r w:rsidRPr="006676BC">
        <w:rPr>
          <w:rFonts w:asciiTheme="minorHAnsi" w:hAnsiTheme="minorHAnsi" w:cstheme="minorHAnsi"/>
          <w:szCs w:val="22"/>
        </w:rPr>
        <w:t xml:space="preserve"> </w:t>
      </w:r>
    </w:p>
    <w:p w14:paraId="2A56BF3F" w14:textId="77777777" w:rsidR="001F2BEC" w:rsidRPr="006676BC" w:rsidRDefault="00897F82" w:rsidP="00000DC0">
      <w:pPr>
        <w:pStyle w:val="Textkrper-Einzug2"/>
        <w:numPr>
          <w:ilvl w:val="0"/>
          <w:numId w:val="4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 xml:space="preserve">Zweitlinientherapie </w:t>
      </w:r>
      <w:r w:rsidR="000657C6" w:rsidRPr="006676BC">
        <w:rPr>
          <w:rFonts w:asciiTheme="minorHAnsi" w:hAnsiTheme="minorHAnsi" w:cstheme="minorHAnsi"/>
          <w:szCs w:val="22"/>
        </w:rPr>
        <w:t xml:space="preserve">bei Relapse </w:t>
      </w:r>
      <w:r w:rsidRPr="006676BC">
        <w:rPr>
          <w:rFonts w:asciiTheme="minorHAnsi" w:hAnsiTheme="minorHAnsi" w:cstheme="minorHAnsi"/>
          <w:szCs w:val="22"/>
        </w:rPr>
        <w:t>nach lokalem Standard</w:t>
      </w:r>
      <w:r w:rsidR="007450F9" w:rsidRPr="006676BC">
        <w:rPr>
          <w:rFonts w:asciiTheme="minorHAnsi" w:hAnsiTheme="minorHAnsi" w:cstheme="minorHAnsi"/>
          <w:szCs w:val="22"/>
        </w:rPr>
        <w:t>.</w:t>
      </w:r>
    </w:p>
    <w:p w14:paraId="5CF3A7BB" w14:textId="77777777" w:rsidR="007070A2" w:rsidRPr="006676BC" w:rsidRDefault="007070A2" w:rsidP="00897F82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0A769498" w14:textId="77777777" w:rsidR="006D4DAC" w:rsidRPr="00A54338" w:rsidRDefault="00534643" w:rsidP="00534643">
      <w:pPr>
        <w:pStyle w:val="berschrift1"/>
      </w:pPr>
      <w:bookmarkStart w:id="30" w:name="_Toc367183619"/>
      <w:bookmarkStart w:id="31" w:name="_Toc367183857"/>
      <w:bookmarkStart w:id="32" w:name="_Toc92971154"/>
      <w:r w:rsidRPr="00A54338">
        <w:t>5</w:t>
      </w:r>
      <w:r w:rsidRPr="00A54338">
        <w:tab/>
      </w:r>
      <w:r w:rsidR="0049768A" w:rsidRPr="00A54338">
        <w:t xml:space="preserve">Verlaufskontrolle und </w:t>
      </w:r>
      <w:r w:rsidR="006D4DAC" w:rsidRPr="00A54338">
        <w:t>Nachsorge</w:t>
      </w:r>
      <w:bookmarkEnd w:id="30"/>
      <w:bookmarkEnd w:id="31"/>
      <w:bookmarkEnd w:id="32"/>
    </w:p>
    <w:p w14:paraId="022F2EAA" w14:textId="77777777" w:rsidR="00A54338" w:rsidRPr="00A54338" w:rsidRDefault="00A54338" w:rsidP="00A54338">
      <w:pPr>
        <w:pStyle w:val="berschrift2"/>
        <w:numPr>
          <w:ilvl w:val="0"/>
          <w:numId w:val="0"/>
        </w:numPr>
        <w:ind w:left="576" w:hanging="576"/>
        <w:rPr>
          <w:b w:val="0"/>
        </w:rPr>
      </w:pPr>
      <w:bookmarkStart w:id="33" w:name="_Toc92971155"/>
      <w:bookmarkStart w:id="34" w:name="_Toc367183620"/>
      <w:bookmarkStart w:id="35" w:name="_Toc367183858"/>
      <w:r>
        <w:t>5.1</w:t>
      </w:r>
      <w:r>
        <w:tab/>
      </w:r>
      <w:r w:rsidRPr="00A54338">
        <w:t>Verlaufskontrolle und Nachsorge</w:t>
      </w:r>
      <w:r w:rsidRPr="00A54338">
        <w:rPr>
          <w:b w:val="0"/>
        </w:rPr>
        <w:t xml:space="preserve"> </w:t>
      </w:r>
      <w:r w:rsidRPr="00390F60">
        <w:rPr>
          <w:rFonts w:asciiTheme="minorHAnsi" w:hAnsiTheme="minorHAnsi" w:cstheme="minorHAnsi"/>
          <w:b w:val="0"/>
          <w:i w:val="0"/>
          <w:sz w:val="22"/>
          <w:szCs w:val="22"/>
        </w:rPr>
        <w:t>(mit schwacher EAU Empfehlung)</w:t>
      </w:r>
      <w:bookmarkEnd w:id="33"/>
    </w:p>
    <w:p w14:paraId="671DE002" w14:textId="77777777" w:rsidR="00A54338" w:rsidRPr="00A54338" w:rsidRDefault="00A54338" w:rsidP="00A54338">
      <w:pPr>
        <w:pStyle w:val="Default"/>
        <w:rPr>
          <w:b/>
          <w:sz w:val="22"/>
          <w:szCs w:val="22"/>
        </w:rPr>
      </w:pPr>
      <w:r w:rsidRPr="00A54338">
        <w:rPr>
          <w:b/>
          <w:sz w:val="22"/>
          <w:szCs w:val="22"/>
        </w:rPr>
        <w:t>NMIBC</w:t>
      </w:r>
    </w:p>
    <w:p w14:paraId="0027AC09" w14:textId="77777777" w:rsidR="00A54338" w:rsidRDefault="00A54338" w:rsidP="00A54338">
      <w:pPr>
        <w:pStyle w:val="Default"/>
        <w:rPr>
          <w:sz w:val="22"/>
          <w:szCs w:val="22"/>
        </w:rPr>
      </w:pPr>
      <w:r w:rsidRPr="00A54338">
        <w:rPr>
          <w:sz w:val="22"/>
          <w:szCs w:val="22"/>
          <w:u w:val="single"/>
        </w:rPr>
        <w:t>Low Risk: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Zystoskopie nach 3 + 9 Monaten, dann jährlich</w:t>
      </w:r>
    </w:p>
    <w:p w14:paraId="0CFF90B1" w14:textId="77777777" w:rsidR="00A54338" w:rsidRDefault="00A54338" w:rsidP="00A54338">
      <w:pPr>
        <w:pStyle w:val="Default"/>
        <w:spacing w:after="240"/>
        <w:rPr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>
        <w:rPr>
          <w:sz w:val="22"/>
          <w:szCs w:val="22"/>
        </w:rPr>
        <w:tab/>
        <w:t>Blasensonographie ausreichend, wenn Zystoskopie nicht möglich (Ta LG)</w:t>
      </w:r>
    </w:p>
    <w:p w14:paraId="435E8B5A" w14:textId="77777777" w:rsidR="00A54338" w:rsidRDefault="00A54338" w:rsidP="00A54338">
      <w:pPr>
        <w:pStyle w:val="Default"/>
        <w:rPr>
          <w:sz w:val="22"/>
          <w:szCs w:val="22"/>
        </w:rPr>
      </w:pPr>
      <w:r w:rsidRPr="00A54338">
        <w:rPr>
          <w:sz w:val="22"/>
          <w:szCs w:val="22"/>
          <w:u w:val="single"/>
        </w:rPr>
        <w:t>High Risk: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 xml:space="preserve">Zystoskopie und Zytologie nach 3 Monaten, dann 3-monatlich für 2 Jahre, </w:t>
      </w:r>
    </w:p>
    <w:p w14:paraId="1D14D4A1" w14:textId="77777777" w:rsidR="00A54338" w:rsidRDefault="00A54338" w:rsidP="00A5433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tab/>
        <w:t>6-monatlich für 5 Jahre, dann jährlich</w:t>
      </w:r>
    </w:p>
    <w:p w14:paraId="432DDFFB" w14:textId="77777777" w:rsidR="00A54338" w:rsidRDefault="00A54338" w:rsidP="00A54338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                 </w:t>
      </w:r>
      <w:r>
        <w:rPr>
          <w:sz w:val="22"/>
          <w:szCs w:val="22"/>
        </w:rPr>
        <w:tab/>
        <w:t>Jährliche CT-Urographie für oberen Harntrakt</w:t>
      </w:r>
    </w:p>
    <w:p w14:paraId="51F68290" w14:textId="77777777" w:rsidR="00A54338" w:rsidRDefault="00A54338" w:rsidP="00A54338">
      <w:pPr>
        <w:pStyle w:val="Default"/>
        <w:rPr>
          <w:sz w:val="22"/>
          <w:szCs w:val="22"/>
        </w:rPr>
      </w:pPr>
    </w:p>
    <w:p w14:paraId="78FBBB1B" w14:textId="77777777" w:rsidR="00A54338" w:rsidRPr="00A54338" w:rsidRDefault="00A54338" w:rsidP="00A54338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Zystoskopie mit PDD und Biopsie (Mapping) bei verdächtiger Zytologie und unklarer oder negativer Endoskopie mit Abklärung des oberen Harntrakts</w:t>
      </w:r>
    </w:p>
    <w:p w14:paraId="6C45F11E" w14:textId="59476A07" w:rsidR="00EE31C2" w:rsidRDefault="00EE31C2" w:rsidP="00416926"/>
    <w:p w14:paraId="23BB7040" w14:textId="31FEBF3D" w:rsidR="00000DC0" w:rsidRDefault="00000DC0" w:rsidP="00416926"/>
    <w:p w14:paraId="14FB55B0" w14:textId="7C9CF912" w:rsidR="00000DC0" w:rsidRDefault="00000DC0" w:rsidP="00416926"/>
    <w:p w14:paraId="2D0C1011" w14:textId="2896D5B4" w:rsidR="00000DC0" w:rsidRDefault="00000DC0" w:rsidP="00416926"/>
    <w:p w14:paraId="3D912146" w14:textId="77777777" w:rsidR="00000DC0" w:rsidRPr="00A54338" w:rsidRDefault="00000DC0" w:rsidP="00416926"/>
    <w:tbl>
      <w:tblPr>
        <w:tblpPr w:leftFromText="141" w:rightFromText="141" w:bottomFromText="160" w:vertAnchor="page" w:horzAnchor="margin" w:tblpY="2031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6"/>
        <w:gridCol w:w="1377"/>
        <w:gridCol w:w="3339"/>
        <w:gridCol w:w="3402"/>
      </w:tblGrid>
      <w:tr w:rsidR="00000DC0" w:rsidRPr="006676BC" w14:paraId="1C50E4EA" w14:textId="77777777" w:rsidTr="00000DC0">
        <w:trPr>
          <w:trHeight w:val="348"/>
        </w:trPr>
        <w:tc>
          <w:tcPr>
            <w:tcW w:w="2893" w:type="dxa"/>
            <w:gridSpan w:val="2"/>
            <w:shd w:val="clear" w:color="auto" w:fill="FBD4B4" w:themeFill="accent6" w:themeFillTint="66"/>
          </w:tcPr>
          <w:p w14:paraId="35662CF5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bookmarkStart w:id="36" w:name="_Toc92971156"/>
          </w:p>
        </w:tc>
        <w:tc>
          <w:tcPr>
            <w:tcW w:w="3339" w:type="dxa"/>
            <w:shd w:val="clear" w:color="auto" w:fill="FBD4B4" w:themeFill="accent6" w:themeFillTint="66"/>
            <w:hideMark/>
          </w:tcPr>
          <w:p w14:paraId="2BD79623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</w:rPr>
              <w:t xml:space="preserve">ESMO </w:t>
            </w:r>
          </w:p>
        </w:tc>
        <w:tc>
          <w:tcPr>
            <w:tcW w:w="3402" w:type="dxa"/>
            <w:shd w:val="clear" w:color="auto" w:fill="FBD4B4" w:themeFill="accent6" w:themeFillTint="66"/>
            <w:hideMark/>
          </w:tcPr>
          <w:p w14:paraId="08A77C1C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</w:rPr>
              <w:t xml:space="preserve">EAU </w:t>
            </w:r>
          </w:p>
        </w:tc>
      </w:tr>
      <w:tr w:rsidR="00000DC0" w:rsidRPr="00384979" w14:paraId="4B87E733" w14:textId="77777777" w:rsidTr="00000DC0">
        <w:trPr>
          <w:trHeight w:val="1382"/>
        </w:trPr>
        <w:tc>
          <w:tcPr>
            <w:tcW w:w="2893" w:type="dxa"/>
            <w:gridSpan w:val="2"/>
            <w:shd w:val="clear" w:color="auto" w:fill="FBD4B4" w:themeFill="accent6" w:themeFillTint="66"/>
            <w:hideMark/>
          </w:tcPr>
          <w:p w14:paraId="666A94F6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</w:rPr>
              <w:t>Follow-up after cystectomy</w:t>
            </w:r>
          </w:p>
        </w:tc>
        <w:tc>
          <w:tcPr>
            <w:tcW w:w="3339" w:type="dxa"/>
            <w:hideMark/>
          </w:tcPr>
          <w:p w14:paraId="21E184CD" w14:textId="77777777" w:rsidR="00000DC0" w:rsidRPr="006676BC" w:rsidRDefault="00000DC0" w:rsidP="00000DC0">
            <w:pPr>
              <w:numPr>
                <w:ilvl w:val="0"/>
                <w:numId w:val="7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>Ab/UT/Ch every 3-6 months for 2 years and thereafter based on risk of recurrence</w:t>
            </w:r>
          </w:p>
          <w:p w14:paraId="63B0615F" w14:textId="77777777" w:rsidR="00000DC0" w:rsidRPr="006676BC" w:rsidRDefault="00000DC0" w:rsidP="00000DC0">
            <w:pPr>
              <w:numPr>
                <w:ilvl w:val="0"/>
                <w:numId w:val="7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>Urethral wash every 3-6 months if urethrectomy was not carried out or there is history of CIS</w:t>
            </w:r>
          </w:p>
        </w:tc>
        <w:tc>
          <w:tcPr>
            <w:tcW w:w="3402" w:type="dxa"/>
            <w:hideMark/>
          </w:tcPr>
          <w:p w14:paraId="00945C7F" w14:textId="77777777" w:rsidR="00000DC0" w:rsidRPr="006676BC" w:rsidRDefault="00000DC0" w:rsidP="00000DC0">
            <w:pPr>
              <w:numPr>
                <w:ilvl w:val="0"/>
                <w:numId w:val="7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>CT every 6 months until third year and annually thereafter</w:t>
            </w:r>
          </w:p>
          <w:p w14:paraId="56AD2597" w14:textId="77777777" w:rsidR="00000DC0" w:rsidRPr="006676BC" w:rsidRDefault="00000DC0" w:rsidP="00000DC0">
            <w:pPr>
              <w:numPr>
                <w:ilvl w:val="0"/>
                <w:numId w:val="7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>In patients with multifocal disease, NMIBC, positive ureteral margin (risk of UTUC) monitoring the UUT is mandatory (&gt;3 years)</w:t>
            </w:r>
          </w:p>
        </w:tc>
      </w:tr>
      <w:tr w:rsidR="00000DC0" w:rsidRPr="006676BC" w14:paraId="7E6FC9BB" w14:textId="77777777" w:rsidTr="00000DC0">
        <w:trPr>
          <w:trHeight w:val="364"/>
        </w:trPr>
        <w:tc>
          <w:tcPr>
            <w:tcW w:w="1516" w:type="dxa"/>
            <w:vMerge w:val="restart"/>
            <w:shd w:val="clear" w:color="auto" w:fill="FBD4B4" w:themeFill="accent6" w:themeFillTint="66"/>
            <w:hideMark/>
          </w:tcPr>
          <w:p w14:paraId="37BD708F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  <w:lang w:val="en-US"/>
              </w:rPr>
              <w:t>Follow-up after trimodality bladder preservation treatment</w:t>
            </w:r>
          </w:p>
        </w:tc>
        <w:tc>
          <w:tcPr>
            <w:tcW w:w="1377" w:type="dxa"/>
            <w:shd w:val="clear" w:color="auto" w:fill="FBD4B4" w:themeFill="accent6" w:themeFillTint="66"/>
            <w:hideMark/>
          </w:tcPr>
          <w:p w14:paraId="79940067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</w:rPr>
              <w:t>Cystoscopy</w:t>
            </w:r>
          </w:p>
        </w:tc>
        <w:tc>
          <w:tcPr>
            <w:tcW w:w="3339" w:type="dxa"/>
            <w:hideMark/>
          </w:tcPr>
          <w:p w14:paraId="3DE0632F" w14:textId="77777777" w:rsidR="00000DC0" w:rsidRPr="006676BC" w:rsidRDefault="00000DC0" w:rsidP="00000DC0">
            <w:pPr>
              <w:numPr>
                <w:ilvl w:val="0"/>
                <w:numId w:val="8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</w:rPr>
            </w:pPr>
            <w:r w:rsidRPr="006676BC">
              <w:rPr>
                <w:rFonts w:asciiTheme="minorHAnsi" w:hAnsiTheme="minorHAnsi" w:cstheme="minorHAnsi"/>
                <w:sz w:val="20"/>
              </w:rPr>
              <w:t>Every 3-6 months for 2 years</w:t>
            </w:r>
          </w:p>
        </w:tc>
        <w:tc>
          <w:tcPr>
            <w:tcW w:w="3402" w:type="dxa"/>
            <w:hideMark/>
          </w:tcPr>
          <w:p w14:paraId="6449CDFA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6676BC">
              <w:rPr>
                <w:rFonts w:asciiTheme="minorHAnsi" w:hAnsiTheme="minorHAnsi" w:cstheme="minorHAnsi"/>
                <w:sz w:val="20"/>
              </w:rPr>
              <w:t>NA</w:t>
            </w:r>
          </w:p>
        </w:tc>
      </w:tr>
      <w:tr w:rsidR="00000DC0" w:rsidRPr="006676BC" w14:paraId="48825592" w14:textId="77777777" w:rsidTr="00000DC0">
        <w:trPr>
          <w:trHeight w:val="1103"/>
        </w:trPr>
        <w:tc>
          <w:tcPr>
            <w:tcW w:w="0" w:type="auto"/>
            <w:vMerge/>
            <w:vAlign w:val="center"/>
            <w:hideMark/>
          </w:tcPr>
          <w:p w14:paraId="219B09F0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7" w:type="dxa"/>
            <w:shd w:val="clear" w:color="auto" w:fill="FBD4B4" w:themeFill="accent6" w:themeFillTint="66"/>
            <w:hideMark/>
          </w:tcPr>
          <w:p w14:paraId="53D91188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b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b/>
                <w:sz w:val="20"/>
                <w:lang w:val="en-US"/>
              </w:rPr>
              <w:t>Imaging</w:t>
            </w: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 xml:space="preserve"> </w:t>
            </w:r>
          </w:p>
        </w:tc>
        <w:tc>
          <w:tcPr>
            <w:tcW w:w="3339" w:type="dxa"/>
            <w:hideMark/>
          </w:tcPr>
          <w:p w14:paraId="498263F9" w14:textId="77777777" w:rsidR="00000DC0" w:rsidRPr="006676BC" w:rsidRDefault="00000DC0" w:rsidP="00000DC0">
            <w:pPr>
              <w:numPr>
                <w:ilvl w:val="0"/>
                <w:numId w:val="8"/>
              </w:numPr>
              <w:spacing w:after="160" w:line="240" w:lineRule="auto"/>
              <w:jc w:val="left"/>
              <w:rPr>
                <w:rFonts w:asciiTheme="minorHAnsi" w:hAnsiTheme="minorHAnsi" w:cstheme="minorHAnsi"/>
                <w:sz w:val="20"/>
                <w:lang w:val="en-US"/>
              </w:rPr>
            </w:pPr>
            <w:r w:rsidRPr="006676BC">
              <w:rPr>
                <w:rFonts w:asciiTheme="minorHAnsi" w:hAnsiTheme="minorHAnsi" w:cstheme="minorHAnsi"/>
                <w:sz w:val="20"/>
                <w:lang w:val="en-US"/>
              </w:rPr>
              <w:t>Same follow-up regimen as for cystectomy</w:t>
            </w:r>
          </w:p>
        </w:tc>
        <w:tc>
          <w:tcPr>
            <w:tcW w:w="3402" w:type="dxa"/>
            <w:hideMark/>
          </w:tcPr>
          <w:p w14:paraId="2A4231EF" w14:textId="77777777" w:rsidR="00000DC0" w:rsidRPr="006676BC" w:rsidRDefault="00000DC0" w:rsidP="00000DC0">
            <w:pPr>
              <w:spacing w:line="240" w:lineRule="auto"/>
              <w:rPr>
                <w:rFonts w:asciiTheme="minorHAnsi" w:hAnsiTheme="minorHAnsi" w:cstheme="minorHAnsi"/>
                <w:sz w:val="20"/>
              </w:rPr>
            </w:pPr>
            <w:r w:rsidRPr="006676BC">
              <w:rPr>
                <w:rFonts w:asciiTheme="minorHAnsi" w:hAnsiTheme="minorHAnsi" w:cstheme="minorHAnsi"/>
                <w:sz w:val="20"/>
              </w:rPr>
              <w:t>NA</w:t>
            </w:r>
          </w:p>
        </w:tc>
      </w:tr>
    </w:tbl>
    <w:p w14:paraId="3BF3789B" w14:textId="0A783103" w:rsidR="00A54338" w:rsidRDefault="00A54338" w:rsidP="00A54338">
      <w:pPr>
        <w:pStyle w:val="berschrift2"/>
        <w:numPr>
          <w:ilvl w:val="0"/>
          <w:numId w:val="0"/>
        </w:numPr>
        <w:ind w:left="576" w:hanging="576"/>
        <w:rPr>
          <w:lang w:val="en-GB"/>
        </w:rPr>
      </w:pPr>
      <w:r w:rsidRPr="00A54338">
        <w:rPr>
          <w:lang w:val="en-GB"/>
        </w:rPr>
        <w:t>5.2</w:t>
      </w:r>
      <w:r w:rsidRPr="00A54338">
        <w:rPr>
          <w:lang w:val="en-GB"/>
        </w:rPr>
        <w:tab/>
        <w:t xml:space="preserve">Follow up </w:t>
      </w:r>
      <w:r w:rsidR="00551A3E">
        <w:rPr>
          <w:lang w:val="en-GB"/>
        </w:rPr>
        <w:t>nach Z</w:t>
      </w:r>
      <w:r w:rsidRPr="00A54338">
        <w:rPr>
          <w:lang w:val="en-GB"/>
        </w:rPr>
        <w:t>ystectomie</w:t>
      </w:r>
      <w:bookmarkEnd w:id="36"/>
    </w:p>
    <w:p w14:paraId="0666A70E" w14:textId="77777777" w:rsidR="00390F60" w:rsidRDefault="00390F60" w:rsidP="00390F60">
      <w:pPr>
        <w:rPr>
          <w:sz w:val="4"/>
          <w:szCs w:val="4"/>
          <w:lang w:val="en-GB"/>
        </w:rPr>
      </w:pPr>
    </w:p>
    <w:p w14:paraId="2B238846" w14:textId="77777777" w:rsidR="00A54338" w:rsidRPr="006676BC" w:rsidRDefault="00A54338" w:rsidP="00390F60">
      <w:pPr>
        <w:spacing w:line="240" w:lineRule="auto"/>
        <w:jc w:val="left"/>
        <w:rPr>
          <w:rFonts w:asciiTheme="minorHAnsi" w:hAnsiTheme="minorHAnsi" w:cstheme="minorHAnsi"/>
          <w:sz w:val="18"/>
          <w:szCs w:val="18"/>
          <w:lang w:val="en-GB"/>
        </w:rPr>
      </w:pPr>
      <w:r>
        <w:rPr>
          <w:rFonts w:asciiTheme="minorHAnsi" w:hAnsiTheme="minorHAnsi" w:cstheme="minorHAnsi"/>
          <w:sz w:val="18"/>
          <w:szCs w:val="18"/>
          <w:lang w:val="en-GB"/>
        </w:rPr>
        <w:t>A</w:t>
      </w:r>
      <w:r w:rsidRPr="006676BC">
        <w:rPr>
          <w:rFonts w:asciiTheme="minorHAnsi" w:hAnsiTheme="minorHAnsi" w:cstheme="minorHAnsi"/>
          <w:sz w:val="18"/>
          <w:szCs w:val="18"/>
          <w:lang w:val="en-GB"/>
        </w:rPr>
        <w:t>b, abdomen imaging; Ch, chest imaging; CIS, carcinoma in situ; CT, computed tomography; EAU, European NA, not available; NCCN, National Comprehensive Cancer Network; NMIBC, non-muscle-invasive bladder cancer; UT, upper tract imaging; UTUC, upper urinary tract urothelial carcinomas; UUT, upper urinary tract. [nach: EAU Guidelines:Grad C Recommendation]</w:t>
      </w:r>
    </w:p>
    <w:p w14:paraId="0D2FA426" w14:textId="77777777" w:rsidR="00A54338" w:rsidRDefault="00A54338" w:rsidP="007070A2">
      <w:pPr>
        <w:rPr>
          <w:lang w:val="en-GB"/>
        </w:rPr>
      </w:pPr>
    </w:p>
    <w:p w14:paraId="77B8FA8D" w14:textId="77777777" w:rsidR="00A54338" w:rsidRDefault="00A54338" w:rsidP="007070A2">
      <w:pPr>
        <w:rPr>
          <w:lang w:val="en-GB"/>
        </w:rPr>
      </w:pPr>
    </w:p>
    <w:p w14:paraId="3DF68D53" w14:textId="77777777" w:rsidR="00A54338" w:rsidRDefault="00A54338" w:rsidP="003C6610">
      <w:pPr>
        <w:jc w:val="both"/>
        <w:rPr>
          <w:lang w:val="en-GB"/>
        </w:rPr>
      </w:pPr>
    </w:p>
    <w:p w14:paraId="369881A5" w14:textId="77777777" w:rsidR="006D4DAC" w:rsidRPr="00A54338" w:rsidRDefault="006D4DAC" w:rsidP="007F3064">
      <w:pPr>
        <w:pStyle w:val="berschrift1"/>
        <w:rPr>
          <w:lang w:val="en-GB"/>
        </w:rPr>
      </w:pPr>
      <w:bookmarkStart w:id="37" w:name="_Toc92971157"/>
      <w:r w:rsidRPr="00A54338">
        <w:rPr>
          <w:lang w:val="en-GB"/>
        </w:rPr>
        <w:t>6</w:t>
      </w:r>
      <w:r w:rsidRPr="00A54338">
        <w:rPr>
          <w:lang w:val="en-GB"/>
        </w:rPr>
        <w:tab/>
        <w:t>Dokumentation und Qualitätsparameter</w:t>
      </w:r>
      <w:bookmarkEnd w:id="34"/>
      <w:bookmarkEnd w:id="35"/>
      <w:bookmarkEnd w:id="37"/>
    </w:p>
    <w:p w14:paraId="13B25E47" w14:textId="77777777" w:rsidR="001212D5" w:rsidRPr="00A54338" w:rsidRDefault="001212D5" w:rsidP="007070A2">
      <w:pPr>
        <w:pStyle w:val="Textkrper-Einzug2"/>
        <w:spacing w:after="0" w:line="276" w:lineRule="auto"/>
        <w:jc w:val="both"/>
        <w:rPr>
          <w:rFonts w:asciiTheme="minorHAnsi" w:hAnsiTheme="minorHAnsi" w:cstheme="minorHAnsi"/>
          <w:sz w:val="8"/>
          <w:szCs w:val="8"/>
          <w:lang w:val="en-GB"/>
        </w:rPr>
      </w:pPr>
    </w:p>
    <w:p w14:paraId="3CD77A46" w14:textId="77777777" w:rsidR="001212D5" w:rsidRPr="006676BC" w:rsidRDefault="001212D5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 xml:space="preserve">OP: Standardisierte Erstresektion (Goldstandard) = Separate Histologie aus: Exophyt, Tumorgrund &amp; Tumorrändern. </w:t>
      </w:r>
    </w:p>
    <w:p w14:paraId="317A96EA" w14:textId="77777777" w:rsidR="001212D5" w:rsidRPr="006676BC" w:rsidRDefault="001212D5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Bei kleinen gestielten Papillomen ≤1cm „Single-Cut“ en bloc - Resektion ausreichend</w:t>
      </w:r>
    </w:p>
    <w:p w14:paraId="46FC4D6C" w14:textId="77777777" w:rsidR="001212D5" w:rsidRPr="006676BC" w:rsidRDefault="001212D5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Vor Zystektomie (insbesondere bei geplanter Neoblasenanlage): Harnröhrenbiopsie</w:t>
      </w:r>
    </w:p>
    <w:p w14:paraId="58330DD6" w14:textId="77777777" w:rsidR="001212D5" w:rsidRPr="006676BC" w:rsidRDefault="001212D5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Muskulatur muss am histologischen Präparat präsent sein, um ein korrektes pathologischen Staging zu ermöglichen.</w:t>
      </w:r>
    </w:p>
    <w:p w14:paraId="39A6B045" w14:textId="77777777" w:rsidR="007F3064" w:rsidRPr="006676BC" w:rsidRDefault="001212D5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Eintragung der Resektionsstellen in ein Blasenkartogramm</w:t>
      </w:r>
    </w:p>
    <w:p w14:paraId="4AC525A0" w14:textId="77777777" w:rsidR="00327FCC" w:rsidRPr="006676BC" w:rsidRDefault="00327FCC" w:rsidP="00E07CDE">
      <w:pPr>
        <w:pStyle w:val="Textkrper-Einzug2"/>
        <w:numPr>
          <w:ilvl w:val="0"/>
          <w:numId w:val="4"/>
        </w:numPr>
        <w:spacing w:after="0" w:line="276" w:lineRule="auto"/>
        <w:ind w:left="284" w:hanging="284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>Dokumentation in celsius37.</w:t>
      </w:r>
    </w:p>
    <w:p w14:paraId="08414DCF" w14:textId="0B624BB4" w:rsidR="001F2BEC" w:rsidRDefault="001F2BEC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54FEF9CD" w14:textId="6BAE50A4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9588A75" w14:textId="3C046FAD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13D242E" w14:textId="45363691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4BD828EC" w14:textId="29FB537C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29BE773E" w14:textId="3379B00E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5E63DB6E" w14:textId="312E47C1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57839632" w14:textId="79D1EC0E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0559C243" w14:textId="31C6A457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2C9B6F21" w14:textId="16095F6F" w:rsidR="00000DC0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009EEC83" w14:textId="77777777" w:rsidR="00000DC0" w:rsidRPr="006676BC" w:rsidRDefault="00000DC0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1CBBDCE8" w14:textId="77777777" w:rsidR="006D4DAC" w:rsidRPr="006676BC" w:rsidRDefault="006D4DAC" w:rsidP="007F3064">
      <w:pPr>
        <w:pStyle w:val="berschrift1"/>
      </w:pPr>
      <w:bookmarkStart w:id="38" w:name="_Toc367183621"/>
      <w:bookmarkStart w:id="39" w:name="_Toc367183859"/>
      <w:bookmarkStart w:id="40" w:name="_Toc92971158"/>
      <w:r w:rsidRPr="006676BC">
        <w:lastRenderedPageBreak/>
        <w:t>7</w:t>
      </w:r>
      <w:r w:rsidRPr="006676BC">
        <w:tab/>
        <w:t>Literatur/Quellenangaben</w:t>
      </w:r>
      <w:bookmarkEnd w:id="38"/>
      <w:bookmarkEnd w:id="39"/>
      <w:bookmarkEnd w:id="40"/>
    </w:p>
    <w:p w14:paraId="6E168459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A54338">
        <w:rPr>
          <w:rFonts w:asciiTheme="minorHAnsi" w:hAnsiTheme="minorHAnsi" w:cstheme="minorHAnsi"/>
          <w:szCs w:val="22"/>
        </w:rPr>
        <w:t xml:space="preserve">EAU Guidelines 2020 </w:t>
      </w:r>
    </w:p>
    <w:p w14:paraId="70E042E4" w14:textId="020555AE" w:rsidR="00A54338" w:rsidRPr="00A54338" w:rsidRDefault="00384979" w:rsidP="00551A3E">
      <w:pPr>
        <w:pStyle w:val="Textkrper-Einzug2"/>
        <w:spacing w:line="276" w:lineRule="auto"/>
        <w:ind w:left="284"/>
        <w:jc w:val="both"/>
        <w:rPr>
          <w:rFonts w:asciiTheme="minorHAnsi" w:hAnsiTheme="minorHAnsi" w:cstheme="minorHAnsi"/>
          <w:szCs w:val="22"/>
        </w:rPr>
      </w:pPr>
      <w:hyperlink r:id="rId29" w:history="1">
        <w:r w:rsidR="00A54338" w:rsidRPr="00155E0C">
          <w:rPr>
            <w:rStyle w:val="Hyperlink"/>
            <w:rFonts w:asciiTheme="minorHAnsi" w:hAnsiTheme="minorHAnsi" w:cstheme="minorHAnsi"/>
            <w:szCs w:val="22"/>
          </w:rPr>
          <w:t>https://uroweb.org/guideline/non-muscle-invasive-bladder-cancer/</w:t>
        </w:r>
      </w:hyperlink>
      <w:r w:rsidR="00A54338">
        <w:rPr>
          <w:rFonts w:asciiTheme="minorHAnsi" w:hAnsiTheme="minorHAnsi" w:cstheme="minorHAnsi"/>
          <w:szCs w:val="22"/>
        </w:rPr>
        <w:t xml:space="preserve"> </w:t>
      </w:r>
    </w:p>
    <w:p w14:paraId="667308B5" w14:textId="21B49688" w:rsidR="00A54338" w:rsidRPr="00A54338" w:rsidRDefault="00384979" w:rsidP="00551A3E">
      <w:pPr>
        <w:pStyle w:val="Textkrper-Einzug2"/>
        <w:spacing w:line="276" w:lineRule="auto"/>
        <w:ind w:left="284"/>
        <w:jc w:val="both"/>
        <w:rPr>
          <w:rFonts w:asciiTheme="minorHAnsi" w:hAnsiTheme="minorHAnsi" w:cstheme="minorHAnsi"/>
          <w:szCs w:val="22"/>
        </w:rPr>
      </w:pPr>
      <w:hyperlink r:id="rId30" w:history="1">
        <w:r w:rsidR="00A54338" w:rsidRPr="00155E0C">
          <w:rPr>
            <w:rStyle w:val="Hyperlink"/>
            <w:rFonts w:asciiTheme="minorHAnsi" w:hAnsiTheme="minorHAnsi" w:cstheme="minorHAnsi"/>
            <w:szCs w:val="22"/>
          </w:rPr>
          <w:t>https://uroweb.org/guideline/upper-urinary-tract-urothelial-cell-carcinoma/</w:t>
        </w:r>
      </w:hyperlink>
      <w:r w:rsidR="00A54338">
        <w:rPr>
          <w:rFonts w:asciiTheme="minorHAnsi" w:hAnsiTheme="minorHAnsi" w:cstheme="minorHAnsi"/>
          <w:szCs w:val="22"/>
        </w:rPr>
        <w:t xml:space="preserve"> </w:t>
      </w:r>
    </w:p>
    <w:p w14:paraId="6621E689" w14:textId="27FF9A3B" w:rsidR="00A54338" w:rsidRPr="00A54338" w:rsidRDefault="00384979" w:rsidP="00551A3E">
      <w:pPr>
        <w:pStyle w:val="Textkrper-Einzug2"/>
        <w:spacing w:line="276" w:lineRule="auto"/>
        <w:ind w:left="284"/>
        <w:jc w:val="both"/>
        <w:rPr>
          <w:rFonts w:asciiTheme="minorHAnsi" w:hAnsiTheme="minorHAnsi" w:cstheme="minorHAnsi"/>
          <w:szCs w:val="22"/>
        </w:rPr>
      </w:pPr>
      <w:hyperlink r:id="rId31" w:history="1">
        <w:r w:rsidR="00A54338" w:rsidRPr="00155E0C">
          <w:rPr>
            <w:rStyle w:val="Hyperlink"/>
            <w:rFonts w:asciiTheme="minorHAnsi" w:hAnsiTheme="minorHAnsi" w:cstheme="minorHAnsi"/>
            <w:szCs w:val="22"/>
          </w:rPr>
          <w:t>https://uroweb.org/guideline/bladder-cancer-muscle-invasive-and-metastatic/</w:t>
        </w:r>
      </w:hyperlink>
      <w:r w:rsidR="00A54338">
        <w:rPr>
          <w:rFonts w:asciiTheme="minorHAnsi" w:hAnsiTheme="minorHAnsi" w:cstheme="minorHAnsi"/>
          <w:szCs w:val="22"/>
        </w:rPr>
        <w:t xml:space="preserve"> </w:t>
      </w:r>
    </w:p>
    <w:p w14:paraId="3D960D5B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>ESMO Guidelines 2020</w:t>
      </w:r>
    </w:p>
    <w:p w14:paraId="408B3200" w14:textId="13CC841B" w:rsidR="00A54338" w:rsidRPr="00A54338" w:rsidRDefault="00384979" w:rsidP="00551A3E">
      <w:pPr>
        <w:pStyle w:val="Textkrper-Einzug2"/>
        <w:spacing w:line="276" w:lineRule="auto"/>
        <w:ind w:left="284"/>
        <w:jc w:val="both"/>
        <w:rPr>
          <w:rFonts w:asciiTheme="minorHAnsi" w:hAnsiTheme="minorHAnsi" w:cstheme="minorHAnsi"/>
          <w:szCs w:val="22"/>
          <w:lang w:val="en-GB"/>
        </w:rPr>
      </w:pPr>
      <w:hyperlink r:id="rId32" w:history="1">
        <w:r w:rsidR="00551A3E" w:rsidRPr="00E5418F">
          <w:rPr>
            <w:rStyle w:val="Hyperlink"/>
            <w:rFonts w:asciiTheme="minorHAnsi" w:hAnsiTheme="minorHAnsi" w:cstheme="minorHAnsi"/>
            <w:szCs w:val="22"/>
            <w:lang w:val="en-GB"/>
          </w:rPr>
          <w:t>https://www.esmo.org/guidelines/genitourinary-cancers/bladder-cancer</w:t>
        </w:r>
      </w:hyperlink>
      <w:r w:rsidR="00A54338">
        <w:rPr>
          <w:rFonts w:asciiTheme="minorHAnsi" w:hAnsiTheme="minorHAnsi" w:cstheme="minorHAnsi"/>
          <w:szCs w:val="22"/>
          <w:lang w:val="en-GB"/>
        </w:rPr>
        <w:t xml:space="preserve"> </w:t>
      </w:r>
    </w:p>
    <w:p w14:paraId="370A10F4" w14:textId="77777777" w:rsidR="00390F60" w:rsidRPr="00390F60" w:rsidRDefault="00390F60" w:rsidP="00390F60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390F60">
        <w:rPr>
          <w:rFonts w:asciiTheme="minorHAnsi" w:hAnsiTheme="minorHAnsi" w:cstheme="minorHAnsi"/>
          <w:szCs w:val="22"/>
          <w:lang w:val="en-GB"/>
        </w:rPr>
        <w:t>Kamal, JCO 2016 ; Lerner, Bladder Cancer 2016 ; FDA Guidance Document 2018</w:t>
      </w:r>
    </w:p>
    <w:p w14:paraId="18392A26" w14:textId="77777777" w:rsidR="00390F60" w:rsidRPr="00390F60" w:rsidRDefault="00390F60" w:rsidP="00390F60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390F60">
        <w:rPr>
          <w:rFonts w:asciiTheme="minorHAnsi" w:hAnsiTheme="minorHAnsi" w:cstheme="minorHAnsi"/>
          <w:szCs w:val="22"/>
          <w:lang w:val="en-GB"/>
        </w:rPr>
        <w:t>Raccioppi M; BMC Cancer 2019; 18: 1224</w:t>
      </w:r>
    </w:p>
    <w:p w14:paraId="6412AE8C" w14:textId="77777777" w:rsidR="00390F60" w:rsidRPr="00390F60" w:rsidRDefault="00390F60" w:rsidP="00390F60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390F60">
        <w:rPr>
          <w:rFonts w:asciiTheme="minorHAnsi" w:hAnsiTheme="minorHAnsi" w:cstheme="minorHAnsi"/>
          <w:szCs w:val="22"/>
          <w:lang w:val="en-GB"/>
        </w:rPr>
        <w:t>Van Valenberg; Bladder Cancer 2018, 4; 365-76</w:t>
      </w:r>
    </w:p>
    <w:p w14:paraId="3BBF1A49" w14:textId="77777777" w:rsidR="00A54338" w:rsidRPr="00995E5F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995E5F">
        <w:rPr>
          <w:rFonts w:asciiTheme="minorHAnsi" w:hAnsiTheme="minorHAnsi" w:cstheme="minorHAnsi"/>
          <w:szCs w:val="22"/>
        </w:rPr>
        <w:t xml:space="preserve">Steinberg RL; JUrol 2020; Vol. 203, 902-909 </w:t>
      </w:r>
    </w:p>
    <w:p w14:paraId="2D602BCD" w14:textId="77777777" w:rsidR="00A54338" w:rsidRPr="00995E5F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995E5F">
        <w:rPr>
          <w:rFonts w:asciiTheme="minorHAnsi" w:hAnsiTheme="minorHAnsi" w:cstheme="minorHAnsi"/>
          <w:szCs w:val="22"/>
        </w:rPr>
        <w:t xml:space="preserve">Bellmunt J; NEJM 2017, 376, 11: 1015-26 </w:t>
      </w:r>
    </w:p>
    <w:p w14:paraId="5D7D23AC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 xml:space="preserve">Sharma P; Lancet Oncol 2017; 18: 312 </w:t>
      </w:r>
    </w:p>
    <w:p w14:paraId="24CE7346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 xml:space="preserve">Balar AV; 2017 Lancet 389: 67-76 </w:t>
      </w:r>
    </w:p>
    <w:p w14:paraId="1F290C97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>De Wit R ; KN 057 ASCO 2019</w:t>
      </w:r>
    </w:p>
    <w:p w14:paraId="04D4AD43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 xml:space="preserve">Sharma P; Lancet Oncol 2017; 18: 312 </w:t>
      </w:r>
    </w:p>
    <w:p w14:paraId="6E07A3DA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>Powles T ; N Engl J Med. 2020 Sep 24;383(13):1218-1230</w:t>
      </w:r>
    </w:p>
    <w:p w14:paraId="3625CB19" w14:textId="77777777" w:rsidR="00A54338" w:rsidRPr="00995E5F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995E5F">
        <w:rPr>
          <w:rFonts w:asciiTheme="minorHAnsi" w:hAnsiTheme="minorHAnsi" w:cstheme="minorHAnsi"/>
          <w:szCs w:val="22"/>
        </w:rPr>
        <w:t xml:space="preserve">Seisen T, Krasnow RE, Bellmunt J, et al: J Clin Oncol 35:852-860, 2017. </w:t>
      </w:r>
    </w:p>
    <w:p w14:paraId="62ED3CF2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 xml:space="preserve">James N, NEJM 2012;366:1477-88; BC 2001 Studie. </w:t>
      </w:r>
    </w:p>
    <w:p w14:paraId="4247F8F7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>A. Birtle: Lancet 2020;18;395(10232):1268-1277</w:t>
      </w:r>
    </w:p>
    <w:p w14:paraId="5E26E888" w14:textId="77777777" w:rsidR="00A54338" w:rsidRP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A54338">
        <w:rPr>
          <w:rFonts w:asciiTheme="minorHAnsi" w:hAnsiTheme="minorHAnsi" w:cstheme="minorHAnsi"/>
          <w:szCs w:val="22"/>
          <w:lang w:val="en-GB"/>
        </w:rPr>
        <w:t>Fang D; Urol Int, 2013. 91: 291</w:t>
      </w:r>
    </w:p>
    <w:p w14:paraId="15B38A37" w14:textId="77777777" w:rsidR="007070A2" w:rsidRPr="00DB5B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fr-FR"/>
        </w:rPr>
      </w:pPr>
      <w:r w:rsidRPr="00A54338">
        <w:rPr>
          <w:rFonts w:asciiTheme="minorHAnsi" w:hAnsiTheme="minorHAnsi" w:cstheme="minorHAnsi"/>
          <w:szCs w:val="22"/>
          <w:lang w:val="en-GB"/>
        </w:rPr>
        <w:t xml:space="preserve">Ito </w:t>
      </w:r>
      <w:r>
        <w:rPr>
          <w:rFonts w:asciiTheme="minorHAnsi" w:hAnsiTheme="minorHAnsi" w:cstheme="minorHAnsi"/>
          <w:szCs w:val="22"/>
          <w:lang w:val="en-GB"/>
        </w:rPr>
        <w:t xml:space="preserve">A; J Clin Oncol, 2013. </w:t>
      </w:r>
      <w:r w:rsidRPr="00DB5B38">
        <w:rPr>
          <w:rFonts w:asciiTheme="minorHAnsi" w:hAnsiTheme="minorHAnsi" w:cstheme="minorHAnsi"/>
          <w:szCs w:val="22"/>
          <w:lang w:val="fr-FR"/>
        </w:rPr>
        <w:t>31: 1422</w:t>
      </w:r>
    </w:p>
    <w:p w14:paraId="23CA2D89" w14:textId="77777777" w:rsidR="00551A3E" w:rsidRPr="00DB5B38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fr-FR"/>
        </w:rPr>
      </w:pPr>
      <w:r w:rsidRPr="00DB5B38">
        <w:rPr>
          <w:rFonts w:asciiTheme="minorHAnsi" w:hAnsiTheme="minorHAnsi" w:cstheme="minorHAnsi"/>
          <w:szCs w:val="22"/>
          <w:lang w:val="fr-FR"/>
        </w:rPr>
        <w:t>Sylvester R, https://doi.org/10.1016/j.eururo.2020.12.033; Eur Urol 2021 Apr;79(4):480-488</w:t>
      </w:r>
    </w:p>
    <w:p w14:paraId="1E41942C" w14:textId="77777777" w:rsidR="00551A3E" w:rsidRPr="00DB5B38" w:rsidRDefault="00551A3E" w:rsidP="00551A3E">
      <w:pPr>
        <w:pStyle w:val="Textkrper-Einzug2"/>
        <w:spacing w:line="276" w:lineRule="auto"/>
        <w:jc w:val="both"/>
        <w:rPr>
          <w:rFonts w:asciiTheme="minorHAnsi" w:hAnsiTheme="minorHAnsi" w:cstheme="minorHAnsi"/>
          <w:szCs w:val="22"/>
          <w:lang w:val="fr-FR"/>
        </w:rPr>
      </w:pPr>
    </w:p>
    <w:p w14:paraId="54DE26B0" w14:textId="77777777" w:rsidR="00551A3E" w:rsidRPr="00DB5B38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fr-FR"/>
        </w:rPr>
      </w:pPr>
      <w:r w:rsidRPr="00DB5B38">
        <w:rPr>
          <w:rFonts w:asciiTheme="minorHAnsi" w:hAnsiTheme="minorHAnsi" w:cstheme="minorHAnsi"/>
          <w:szCs w:val="22"/>
          <w:lang w:val="fr-FR"/>
        </w:rPr>
        <w:t>Sylvester R.J. et al. Eur Urol, 2006. 49: 466.</w:t>
      </w:r>
    </w:p>
    <w:p w14:paraId="697F0B72" w14:textId="77777777" w:rsidR="00551A3E" w:rsidRPr="00DB5B38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fr-FR"/>
        </w:rPr>
      </w:pPr>
      <w:r w:rsidRPr="00DB5B38">
        <w:rPr>
          <w:rFonts w:asciiTheme="minorHAnsi" w:hAnsiTheme="minorHAnsi" w:cstheme="minorHAnsi"/>
          <w:szCs w:val="22"/>
          <w:lang w:val="fr-FR"/>
        </w:rPr>
        <w:t>Cambier S. et al. Eur Urol, 2016. 69: 60.</w:t>
      </w:r>
    </w:p>
    <w:p w14:paraId="49E708A1" w14:textId="77777777" w:rsidR="00551A3E" w:rsidRPr="00551A3E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DB5B38">
        <w:rPr>
          <w:rFonts w:asciiTheme="minorHAnsi" w:hAnsiTheme="minorHAnsi" w:cstheme="minorHAnsi"/>
          <w:szCs w:val="22"/>
          <w:lang w:val="fr-FR"/>
        </w:rPr>
        <w:t xml:space="preserve">Fernandez-Gomez J. et al. </w:t>
      </w:r>
      <w:r w:rsidRPr="00551A3E">
        <w:rPr>
          <w:rFonts w:asciiTheme="minorHAnsi" w:hAnsiTheme="minorHAnsi" w:cstheme="minorHAnsi"/>
          <w:szCs w:val="22"/>
        </w:rPr>
        <w:t>J Urol, 2009. 182: 2195.</w:t>
      </w:r>
    </w:p>
    <w:p w14:paraId="3F42D7C3" w14:textId="77777777" w:rsidR="00551A3E" w:rsidRPr="00995E5F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551A3E">
        <w:rPr>
          <w:rFonts w:asciiTheme="minorHAnsi" w:hAnsiTheme="minorHAnsi" w:cstheme="minorHAnsi"/>
          <w:szCs w:val="22"/>
        </w:rPr>
        <w:t xml:space="preserve">Hoskin PJ, Rojas AM, Bentzen SM et al. </w:t>
      </w:r>
      <w:r w:rsidRPr="00995E5F">
        <w:rPr>
          <w:rFonts w:asciiTheme="minorHAnsi" w:hAnsiTheme="minorHAnsi" w:cstheme="minorHAnsi"/>
          <w:szCs w:val="22"/>
          <w:lang w:val="en-GB"/>
        </w:rPr>
        <w:t>J Clin Oncol 2010; 28 (33): 4912-4918</w:t>
      </w:r>
    </w:p>
    <w:p w14:paraId="025C346D" w14:textId="77777777" w:rsidR="00551A3E" w:rsidRPr="00995E5F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  <w:r w:rsidRPr="00995E5F">
        <w:rPr>
          <w:rFonts w:asciiTheme="minorHAnsi" w:hAnsiTheme="minorHAnsi" w:cstheme="minorHAnsi"/>
          <w:szCs w:val="22"/>
          <w:lang w:val="en-GB"/>
        </w:rPr>
        <w:t>Pfister Ch; EurUrol 2021; 79; 214-21</w:t>
      </w:r>
    </w:p>
    <w:p w14:paraId="2653F23F" w14:textId="77777777" w:rsidR="00A54338" w:rsidRPr="00551A3E" w:rsidRDefault="00551A3E" w:rsidP="00551A3E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  <w:r w:rsidRPr="00551A3E">
        <w:rPr>
          <w:rFonts w:asciiTheme="minorHAnsi" w:hAnsiTheme="minorHAnsi" w:cstheme="minorHAnsi"/>
          <w:szCs w:val="22"/>
        </w:rPr>
        <w:t>Pfister Ch, 2021 ESMO #6520</w:t>
      </w:r>
    </w:p>
    <w:p w14:paraId="7D811AA6" w14:textId="05C40062" w:rsidR="00A54338" w:rsidRDefault="00A54338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4B4F548A" w14:textId="77777777" w:rsidR="00000DC0" w:rsidRPr="00551A3E" w:rsidRDefault="00000DC0" w:rsidP="00A54338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</w:rPr>
      </w:pPr>
    </w:p>
    <w:p w14:paraId="5CE85940" w14:textId="77777777" w:rsidR="00450568" w:rsidRPr="00551A3E" w:rsidRDefault="00450568" w:rsidP="00450568">
      <w:pPr>
        <w:pStyle w:val="berschrift1"/>
      </w:pPr>
      <w:bookmarkStart w:id="41" w:name="_Toc92971159"/>
      <w:r w:rsidRPr="00551A3E">
        <w:lastRenderedPageBreak/>
        <w:t xml:space="preserve">Anhang: </w:t>
      </w:r>
      <w:r w:rsidR="00551A3E" w:rsidRPr="00551A3E">
        <w:t>T</w:t>
      </w:r>
      <w:r w:rsidRPr="00551A3E">
        <w:t>herapieprotokolle</w:t>
      </w:r>
      <w:bookmarkEnd w:id="41"/>
    </w:p>
    <w:p w14:paraId="58B4CB55" w14:textId="77777777" w:rsidR="006C3BD4" w:rsidRPr="00B865E1" w:rsidRDefault="006C3BD4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B865E1">
        <w:rPr>
          <w:rFonts w:asciiTheme="minorHAnsi" w:hAnsiTheme="minorHAnsi" w:cstheme="minorHAnsi"/>
          <w:b/>
          <w:szCs w:val="22"/>
        </w:rPr>
        <w:t>Chemoinstillation</w:t>
      </w:r>
    </w:p>
    <w:p w14:paraId="2AE968FA" w14:textId="77777777" w:rsidR="006C3BD4" w:rsidRPr="006676BC" w:rsidRDefault="002047C9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en-US"/>
        </w:rPr>
      </w:pPr>
      <w:r w:rsidRPr="006676BC">
        <w:rPr>
          <w:rFonts w:asciiTheme="minorHAnsi" w:hAnsiTheme="minorHAnsi" w:cstheme="minorHAnsi"/>
          <w:szCs w:val="22"/>
          <w:lang w:val="en-US"/>
        </w:rPr>
        <w:t xml:space="preserve">Single-Instillation: </w:t>
      </w:r>
    </w:p>
    <w:p w14:paraId="576D0447" w14:textId="77777777" w:rsidR="002047C9" w:rsidRPr="006676BC" w:rsidRDefault="00396FE2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US"/>
        </w:rPr>
      </w:pPr>
      <w:r>
        <w:rPr>
          <w:rFonts w:asciiTheme="minorHAnsi" w:hAnsiTheme="minorHAnsi" w:cstheme="minorHAnsi"/>
          <w:szCs w:val="22"/>
          <w:lang w:val="en-US"/>
        </w:rPr>
        <w:t xml:space="preserve"> Doxorubicin (</w:t>
      </w:r>
      <w:r w:rsidR="002047C9" w:rsidRPr="006676BC">
        <w:rPr>
          <w:rFonts w:asciiTheme="minorHAnsi" w:hAnsiTheme="minorHAnsi" w:cstheme="minorHAnsi"/>
          <w:szCs w:val="22"/>
          <w:lang w:val="en-US"/>
        </w:rPr>
        <w:t>Epirubicin</w:t>
      </w:r>
      <w:r>
        <w:rPr>
          <w:rFonts w:asciiTheme="minorHAnsi" w:hAnsiTheme="minorHAnsi" w:cstheme="minorHAnsi"/>
          <w:szCs w:val="22"/>
          <w:lang w:val="en-US"/>
        </w:rPr>
        <w:t>)</w:t>
      </w:r>
      <w:r w:rsidR="002047C9" w:rsidRPr="006676BC">
        <w:rPr>
          <w:rFonts w:asciiTheme="minorHAnsi" w:hAnsiTheme="minorHAnsi" w:cstheme="minorHAnsi"/>
          <w:szCs w:val="22"/>
          <w:lang w:val="en-US"/>
        </w:rPr>
        <w:t xml:space="preserve">  50 mg bis 6h postoperativ ( intravesical für 6o min )</w:t>
      </w:r>
    </w:p>
    <w:p w14:paraId="0C4A003F" w14:textId="77777777" w:rsidR="00AB407E" w:rsidRPr="00D001DC" w:rsidRDefault="00AB407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</w:rPr>
      </w:pPr>
      <w:r w:rsidRPr="00D001DC">
        <w:rPr>
          <w:rFonts w:asciiTheme="minorHAnsi" w:hAnsiTheme="minorHAnsi" w:cstheme="minorHAnsi"/>
          <w:szCs w:val="22"/>
        </w:rPr>
        <w:t>Mitomycin C 20 mg (bis 6 Stunden postoperativ intravesical für 60-120 Min.)</w:t>
      </w:r>
    </w:p>
    <w:p w14:paraId="0DF82C4F" w14:textId="77777777" w:rsidR="006C3BD4" w:rsidRPr="006676BC" w:rsidRDefault="002047C9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 xml:space="preserve">Instillationsserie: </w:t>
      </w:r>
    </w:p>
    <w:p w14:paraId="04C887C1" w14:textId="77777777" w:rsidR="002047C9" w:rsidRPr="006676BC" w:rsidRDefault="002047C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 xml:space="preserve">Mitomycin </w:t>
      </w:r>
      <w:r w:rsidR="00AB407E" w:rsidRPr="006676BC">
        <w:rPr>
          <w:rFonts w:asciiTheme="minorHAnsi" w:hAnsiTheme="minorHAnsi" w:cstheme="minorHAnsi"/>
          <w:szCs w:val="22"/>
          <w:lang w:val="de-DE"/>
        </w:rPr>
        <w:t xml:space="preserve">C </w:t>
      </w:r>
      <w:r w:rsidRPr="006676BC">
        <w:rPr>
          <w:rFonts w:asciiTheme="minorHAnsi" w:hAnsiTheme="minorHAnsi" w:cstheme="minorHAnsi"/>
          <w:szCs w:val="22"/>
          <w:lang w:val="de-DE"/>
        </w:rPr>
        <w:t>20</w:t>
      </w:r>
      <w:r w:rsidR="00AB407E" w:rsidRPr="006676BC">
        <w:rPr>
          <w:rFonts w:asciiTheme="minorHAnsi" w:hAnsiTheme="minorHAnsi" w:cstheme="minorHAnsi"/>
          <w:szCs w:val="22"/>
          <w:lang w:val="de-DE"/>
        </w:rPr>
        <w:t>-40</w:t>
      </w:r>
      <w:r w:rsidRPr="006676BC">
        <w:rPr>
          <w:rFonts w:asciiTheme="minorHAnsi" w:hAnsiTheme="minorHAnsi" w:cstheme="minorHAnsi"/>
          <w:szCs w:val="22"/>
          <w:lang w:val="de-DE"/>
        </w:rPr>
        <w:t>mg nach Schema</w:t>
      </w:r>
    </w:p>
    <w:p w14:paraId="1C0C9B4E" w14:textId="77777777" w:rsidR="002047C9" w:rsidRPr="006676BC" w:rsidRDefault="00396FE2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 xml:space="preserve">Doxorubicin </w:t>
      </w:r>
      <w:r w:rsidR="002047C9" w:rsidRPr="006676BC">
        <w:rPr>
          <w:rFonts w:asciiTheme="minorHAnsi" w:hAnsiTheme="minorHAnsi" w:cstheme="minorHAnsi"/>
          <w:szCs w:val="22"/>
          <w:lang w:val="de-DE"/>
        </w:rPr>
        <w:t xml:space="preserve"> 50 mg nach Schema</w:t>
      </w:r>
    </w:p>
    <w:p w14:paraId="2AAECEE9" w14:textId="77777777" w:rsidR="002047C9" w:rsidRPr="006676BC" w:rsidRDefault="002047C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Gemcitabine 2000mg nach Schema</w:t>
      </w:r>
    </w:p>
    <w:p w14:paraId="0F4496BE" w14:textId="77777777" w:rsidR="002047C9" w:rsidRDefault="002047C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BCG Instillation</w:t>
      </w:r>
    </w:p>
    <w:p w14:paraId="55579F2F" w14:textId="77777777" w:rsidR="00A54338" w:rsidRPr="001B435B" w:rsidRDefault="00BD5515" w:rsidP="001B435B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>
        <w:rPr>
          <w:rFonts w:asciiTheme="minorHAnsi" w:hAnsiTheme="minorHAnsi" w:cstheme="minorHAnsi"/>
          <w:szCs w:val="22"/>
          <w:lang w:val="de-DE"/>
        </w:rPr>
        <w:t>Gemc</w:t>
      </w:r>
      <w:r w:rsidR="00A54338" w:rsidRPr="00A54338">
        <w:rPr>
          <w:rFonts w:asciiTheme="minorHAnsi" w:hAnsiTheme="minorHAnsi" w:cstheme="minorHAnsi"/>
          <w:szCs w:val="22"/>
          <w:lang w:val="de-DE"/>
        </w:rPr>
        <w:t>itabin</w:t>
      </w:r>
      <w:r>
        <w:rPr>
          <w:rFonts w:asciiTheme="minorHAnsi" w:hAnsiTheme="minorHAnsi" w:cstheme="minorHAnsi"/>
          <w:szCs w:val="22"/>
          <w:lang w:val="de-DE"/>
        </w:rPr>
        <w:t>e</w:t>
      </w:r>
      <w:r w:rsidR="001B435B">
        <w:rPr>
          <w:rFonts w:asciiTheme="minorHAnsi" w:hAnsiTheme="minorHAnsi" w:cstheme="minorHAnsi"/>
          <w:szCs w:val="22"/>
          <w:lang w:val="de-DE"/>
        </w:rPr>
        <w:t xml:space="preserve"> 2g ad</w:t>
      </w:r>
      <w:r w:rsidR="00A54338" w:rsidRPr="00A54338">
        <w:rPr>
          <w:rFonts w:asciiTheme="minorHAnsi" w:hAnsiTheme="minorHAnsi" w:cstheme="minorHAnsi"/>
          <w:szCs w:val="22"/>
          <w:lang w:val="de-DE"/>
        </w:rPr>
        <w:t xml:space="preserve"> 50ml </w:t>
      </w:r>
      <w:r w:rsidR="001B435B">
        <w:rPr>
          <w:rFonts w:asciiTheme="minorHAnsi" w:hAnsiTheme="minorHAnsi" w:cstheme="minorHAnsi"/>
          <w:szCs w:val="22"/>
          <w:lang w:val="de-DE"/>
        </w:rPr>
        <w:t xml:space="preserve">NaCl 0,9% </w:t>
      </w:r>
      <w:r w:rsidR="00A54338" w:rsidRPr="00A54338">
        <w:rPr>
          <w:rFonts w:asciiTheme="minorHAnsi" w:hAnsiTheme="minorHAnsi" w:cstheme="minorHAnsi"/>
          <w:szCs w:val="22"/>
          <w:lang w:val="de-DE"/>
        </w:rPr>
        <w:t xml:space="preserve"> für 90 min</w:t>
      </w:r>
      <w:r w:rsidR="00631FCB">
        <w:rPr>
          <w:rFonts w:asciiTheme="minorHAnsi" w:hAnsiTheme="minorHAnsi" w:cstheme="minorHAnsi"/>
          <w:szCs w:val="22"/>
          <w:lang w:val="de-DE"/>
        </w:rPr>
        <w:t xml:space="preserve">; </w:t>
      </w:r>
      <w:r w:rsidR="00A54338" w:rsidRPr="00A54338">
        <w:rPr>
          <w:rFonts w:asciiTheme="minorHAnsi" w:hAnsiTheme="minorHAnsi" w:cstheme="minorHAnsi"/>
          <w:szCs w:val="22"/>
          <w:lang w:val="de-DE"/>
        </w:rPr>
        <w:t>anschließende Blasendrainage</w:t>
      </w:r>
      <w:r w:rsidR="00631FCB">
        <w:rPr>
          <w:rFonts w:asciiTheme="minorHAnsi" w:hAnsiTheme="minorHAnsi" w:cstheme="minorHAnsi"/>
          <w:szCs w:val="22"/>
          <w:lang w:val="de-DE"/>
        </w:rPr>
        <w:t xml:space="preserve">; </w:t>
      </w:r>
      <w:r w:rsidR="00A54338" w:rsidRPr="00A54338">
        <w:rPr>
          <w:rFonts w:asciiTheme="minorHAnsi" w:hAnsiTheme="minorHAnsi" w:cstheme="minorHAnsi"/>
          <w:szCs w:val="22"/>
          <w:lang w:val="de-DE"/>
        </w:rPr>
        <w:t>Docetaxel</w:t>
      </w:r>
      <w:r w:rsidR="001B435B">
        <w:rPr>
          <w:rFonts w:asciiTheme="minorHAnsi" w:hAnsiTheme="minorHAnsi" w:cstheme="minorHAnsi"/>
          <w:szCs w:val="22"/>
          <w:lang w:val="de-DE"/>
        </w:rPr>
        <w:t xml:space="preserve"> 37,5 mg ad 50ml NaCl 0,9%</w:t>
      </w:r>
    </w:p>
    <w:p w14:paraId="1D82B5B4" w14:textId="77777777" w:rsidR="00390F60" w:rsidRPr="006676BC" w:rsidRDefault="00390F60" w:rsidP="00390F60">
      <w:pPr>
        <w:pStyle w:val="Textkrper-Einzug2"/>
        <w:spacing w:after="0" w:line="276" w:lineRule="auto"/>
        <w:ind w:left="720"/>
        <w:jc w:val="both"/>
        <w:rPr>
          <w:rFonts w:asciiTheme="minorHAnsi" w:hAnsiTheme="minorHAnsi" w:cstheme="minorHAnsi"/>
          <w:szCs w:val="22"/>
          <w:lang w:val="de-DE"/>
        </w:rPr>
      </w:pPr>
    </w:p>
    <w:p w14:paraId="3A8175E2" w14:textId="77777777" w:rsidR="002047C9" w:rsidRPr="006676BC" w:rsidRDefault="006C3BD4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de-DE"/>
        </w:rPr>
      </w:pPr>
      <w:r w:rsidRPr="006676BC">
        <w:rPr>
          <w:rFonts w:asciiTheme="minorHAnsi" w:hAnsiTheme="minorHAnsi" w:cstheme="minorHAnsi"/>
          <w:b/>
          <w:szCs w:val="22"/>
          <w:lang w:val="de-DE"/>
        </w:rPr>
        <w:t>Chemotherapieschema</w:t>
      </w:r>
    </w:p>
    <w:p w14:paraId="1394417C" w14:textId="77777777" w:rsidR="00FF1C1C" w:rsidRPr="006676BC" w:rsidRDefault="00FF1C1C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Gemcitabine 1250 mg/m2 d1,8,(15) + Cisplatin 70 mg/m2 d1 q3w ( q4w)</w:t>
      </w:r>
      <w:r w:rsidR="00755FA3" w:rsidRPr="006676BC">
        <w:rPr>
          <w:rFonts w:asciiTheme="minorHAnsi" w:hAnsiTheme="minorHAnsi" w:cstheme="minorHAnsi"/>
          <w:szCs w:val="22"/>
          <w:lang w:val="de-DE"/>
        </w:rPr>
        <w:t>: GFR &gt; 50</w:t>
      </w:r>
    </w:p>
    <w:p w14:paraId="39A0F87B" w14:textId="77777777" w:rsidR="007E34B9" w:rsidRPr="00DB5B38" w:rsidRDefault="007E34B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fr-FR"/>
        </w:rPr>
      </w:pPr>
      <w:r w:rsidRPr="00DB5B38">
        <w:rPr>
          <w:rFonts w:asciiTheme="minorHAnsi" w:hAnsiTheme="minorHAnsi" w:cstheme="minorHAnsi"/>
          <w:szCs w:val="22"/>
          <w:lang w:val="fr-FR"/>
        </w:rPr>
        <w:t>Gemcitabine 1</w:t>
      </w:r>
      <w:r w:rsidR="00DC3A43" w:rsidRPr="00DB5B38">
        <w:rPr>
          <w:rFonts w:asciiTheme="minorHAnsi" w:hAnsiTheme="minorHAnsi" w:cstheme="minorHAnsi"/>
          <w:szCs w:val="22"/>
          <w:lang w:val="fr-FR"/>
        </w:rPr>
        <w:t>000</w:t>
      </w:r>
      <w:r w:rsidRPr="00DB5B38">
        <w:rPr>
          <w:rFonts w:asciiTheme="minorHAnsi" w:hAnsiTheme="minorHAnsi" w:cstheme="minorHAnsi"/>
          <w:szCs w:val="22"/>
          <w:lang w:val="fr-FR"/>
        </w:rPr>
        <w:t xml:space="preserve"> mg/m2 d1,8 (15 ) + Carboplatin (AUC </w:t>
      </w:r>
      <w:r w:rsidR="00DC3A43" w:rsidRPr="00DB5B38">
        <w:rPr>
          <w:rFonts w:asciiTheme="minorHAnsi" w:hAnsiTheme="minorHAnsi" w:cstheme="minorHAnsi"/>
          <w:szCs w:val="22"/>
          <w:lang w:val="fr-FR"/>
        </w:rPr>
        <w:t>4-</w:t>
      </w:r>
      <w:r w:rsidRPr="00DB5B38">
        <w:rPr>
          <w:rFonts w:asciiTheme="minorHAnsi" w:hAnsiTheme="minorHAnsi" w:cstheme="minorHAnsi"/>
          <w:szCs w:val="22"/>
          <w:lang w:val="fr-FR"/>
        </w:rPr>
        <w:t>5) d1 q3w (q4w)</w:t>
      </w:r>
      <w:r w:rsidR="00390F60" w:rsidRPr="00DB5B38">
        <w:rPr>
          <w:rFonts w:asciiTheme="minorHAnsi" w:hAnsiTheme="minorHAnsi" w:cstheme="minorHAnsi"/>
          <w:szCs w:val="22"/>
          <w:lang w:val="fr-FR"/>
        </w:rPr>
        <w:t> : GFR &gt; 3</w:t>
      </w:r>
      <w:r w:rsidR="00BD5515" w:rsidRPr="00DB5B38">
        <w:rPr>
          <w:rFonts w:asciiTheme="minorHAnsi" w:hAnsiTheme="minorHAnsi" w:cstheme="minorHAnsi"/>
          <w:szCs w:val="22"/>
          <w:lang w:val="fr-FR"/>
        </w:rPr>
        <w:t>0</w:t>
      </w:r>
    </w:p>
    <w:p w14:paraId="6F6956A1" w14:textId="77777777" w:rsidR="00390F60" w:rsidRPr="00DB5B38" w:rsidRDefault="00390F60" w:rsidP="00390F60">
      <w:pPr>
        <w:pStyle w:val="Textkrper-Einzug2"/>
        <w:spacing w:after="0" w:line="276" w:lineRule="auto"/>
        <w:ind w:left="720"/>
        <w:jc w:val="both"/>
        <w:rPr>
          <w:rFonts w:asciiTheme="minorHAnsi" w:hAnsiTheme="minorHAnsi" w:cstheme="minorHAnsi"/>
          <w:szCs w:val="22"/>
          <w:lang w:val="fr-FR"/>
        </w:rPr>
      </w:pPr>
    </w:p>
    <w:p w14:paraId="372D576C" w14:textId="77777777" w:rsidR="00FF1C1C" w:rsidRPr="006676BC" w:rsidRDefault="006C3BD4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fr-FR"/>
        </w:rPr>
      </w:pPr>
      <w:r w:rsidRPr="006676BC">
        <w:rPr>
          <w:rFonts w:asciiTheme="minorHAnsi" w:hAnsiTheme="minorHAnsi" w:cstheme="minorHAnsi"/>
          <w:b/>
          <w:szCs w:val="22"/>
          <w:lang w:val="fr-FR"/>
        </w:rPr>
        <w:t>Dose Dense MVAC</w:t>
      </w:r>
    </w:p>
    <w:p w14:paraId="617FAAAA" w14:textId="77777777" w:rsidR="00FF1C1C" w:rsidRPr="00DB5B38" w:rsidRDefault="00FF1C1C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en-US"/>
        </w:rPr>
      </w:pPr>
      <w:r w:rsidRPr="00DB5B38">
        <w:rPr>
          <w:rFonts w:asciiTheme="minorHAnsi" w:hAnsiTheme="minorHAnsi" w:cstheme="minorHAnsi"/>
          <w:szCs w:val="22"/>
          <w:lang w:val="en-US"/>
        </w:rPr>
        <w:t>Methotrexat 30 mg/m2 d1 q2w</w:t>
      </w:r>
      <w:r w:rsidR="00FA7103" w:rsidRPr="00DB5B38">
        <w:rPr>
          <w:rFonts w:asciiTheme="minorHAnsi" w:hAnsiTheme="minorHAnsi" w:cstheme="minorHAnsi"/>
          <w:szCs w:val="22"/>
          <w:lang w:val="en-US"/>
        </w:rPr>
        <w:t xml:space="preserve"> ( 30 min )</w:t>
      </w:r>
    </w:p>
    <w:p w14:paraId="79C33331" w14:textId="77777777" w:rsidR="00FF1C1C" w:rsidRPr="00390F60" w:rsidRDefault="00FF1C1C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Velbe 3 mg/m2 d2 q2w</w:t>
      </w:r>
      <w:r w:rsidR="00FA7103" w:rsidRPr="00390F60">
        <w:rPr>
          <w:rFonts w:asciiTheme="minorHAnsi" w:hAnsiTheme="minorHAnsi" w:cstheme="minorHAnsi"/>
          <w:szCs w:val="22"/>
          <w:lang w:val="de-DE"/>
        </w:rPr>
        <w:t xml:space="preserve"> </w:t>
      </w:r>
    </w:p>
    <w:p w14:paraId="508FCD2B" w14:textId="77777777" w:rsidR="00FF1C1C" w:rsidRPr="00390F60" w:rsidRDefault="00FF1C1C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Doxorubicin 30mg/m2 d2 q2w</w:t>
      </w:r>
      <w:r w:rsidR="00FA7103" w:rsidRPr="00390F60">
        <w:rPr>
          <w:rFonts w:asciiTheme="minorHAnsi" w:hAnsiTheme="minorHAnsi" w:cstheme="minorHAnsi"/>
          <w:szCs w:val="22"/>
          <w:lang w:val="de-DE"/>
        </w:rPr>
        <w:t xml:space="preserve"> ( 15 min) </w:t>
      </w:r>
    </w:p>
    <w:p w14:paraId="37BED9E4" w14:textId="77777777" w:rsidR="007D0848" w:rsidRPr="00402C00" w:rsidRDefault="00FF1C1C" w:rsidP="00402C0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Cisplatin 70 mg/m2 d2 q2w</w:t>
      </w:r>
      <w:r w:rsidR="00FA7103" w:rsidRPr="006676BC">
        <w:rPr>
          <w:rFonts w:asciiTheme="minorHAnsi" w:hAnsiTheme="minorHAnsi" w:cstheme="minorHAnsi"/>
          <w:szCs w:val="22"/>
          <w:lang w:val="de-DE"/>
        </w:rPr>
        <w:t xml:space="preserve"> (120 min ) </w:t>
      </w:r>
      <w:r w:rsidR="00402C00" w:rsidRPr="00402C00">
        <w:rPr>
          <w:rFonts w:asciiTheme="minorHAnsi" w:hAnsiTheme="minorHAnsi" w:cstheme="minorHAnsi"/>
          <w:szCs w:val="22"/>
          <w:lang w:val="de-DE"/>
        </w:rPr>
        <w:t>(</w:t>
      </w:r>
      <w:r w:rsidR="00FA7103" w:rsidRPr="00402C00">
        <w:rPr>
          <w:rFonts w:asciiTheme="minorHAnsi" w:hAnsiTheme="minorHAnsi" w:cstheme="minorHAnsi"/>
          <w:szCs w:val="22"/>
          <w:lang w:val="de-DE"/>
        </w:rPr>
        <w:t>mit GCSF Tag 3-7 ( oder 1 x pegGCSF q3w)</w:t>
      </w:r>
      <w:r w:rsidR="00402C00">
        <w:rPr>
          <w:rFonts w:asciiTheme="minorHAnsi" w:hAnsiTheme="minorHAnsi" w:cstheme="minorHAnsi"/>
          <w:szCs w:val="22"/>
          <w:lang w:val="de-DE"/>
        </w:rPr>
        <w:t>)</w:t>
      </w:r>
    </w:p>
    <w:p w14:paraId="2FB9CF8E" w14:textId="77777777" w:rsidR="00390F60" w:rsidRPr="006676BC" w:rsidRDefault="00390F60" w:rsidP="00390F60">
      <w:pPr>
        <w:pStyle w:val="Textkrper-Einzug2"/>
        <w:spacing w:after="0" w:line="276" w:lineRule="auto"/>
        <w:ind w:left="720"/>
        <w:jc w:val="both"/>
        <w:rPr>
          <w:rFonts w:asciiTheme="minorHAnsi" w:hAnsiTheme="minorHAnsi" w:cstheme="minorHAnsi"/>
          <w:szCs w:val="22"/>
          <w:lang w:val="de-DE"/>
        </w:rPr>
      </w:pPr>
    </w:p>
    <w:p w14:paraId="065C3841" w14:textId="77777777" w:rsidR="003B7F5E" w:rsidRPr="006676BC" w:rsidRDefault="003B7F5E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6676BC">
        <w:rPr>
          <w:rFonts w:asciiTheme="minorHAnsi" w:hAnsiTheme="minorHAnsi" w:cstheme="minorHAnsi"/>
          <w:b/>
          <w:szCs w:val="22"/>
        </w:rPr>
        <w:t>Immuntherapie</w:t>
      </w:r>
    </w:p>
    <w:p w14:paraId="1AE6DBE6" w14:textId="77777777" w:rsidR="003B7F5E" w:rsidRPr="00390F60" w:rsidRDefault="003B7F5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 xml:space="preserve">Atezolizumab (Tecentriq): </w:t>
      </w:r>
      <w:r w:rsidR="00BD5515">
        <w:rPr>
          <w:rFonts w:asciiTheme="minorHAnsi" w:hAnsiTheme="minorHAnsi" w:cstheme="minorHAnsi"/>
          <w:szCs w:val="22"/>
          <w:lang w:val="de-DE"/>
        </w:rPr>
        <w:t>1200 mg q3w</w:t>
      </w:r>
    </w:p>
    <w:p w14:paraId="258EC892" w14:textId="77777777" w:rsidR="003B7F5E" w:rsidRPr="00390F60" w:rsidRDefault="003B7F5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Ni</w:t>
      </w:r>
      <w:r w:rsidR="00BD5515">
        <w:rPr>
          <w:rFonts w:asciiTheme="minorHAnsi" w:hAnsiTheme="minorHAnsi" w:cstheme="minorHAnsi"/>
          <w:szCs w:val="22"/>
          <w:lang w:val="de-DE"/>
        </w:rPr>
        <w:t>volumab (Opdivo):</w:t>
      </w:r>
      <w:r w:rsidR="000A7D28">
        <w:rPr>
          <w:rFonts w:asciiTheme="minorHAnsi" w:hAnsiTheme="minorHAnsi" w:cstheme="minorHAnsi"/>
          <w:szCs w:val="22"/>
          <w:lang w:val="de-DE"/>
        </w:rPr>
        <w:t xml:space="preserve"> 240mg</w:t>
      </w:r>
      <w:r w:rsidR="00BD5515">
        <w:rPr>
          <w:rFonts w:asciiTheme="minorHAnsi" w:hAnsiTheme="minorHAnsi" w:cstheme="minorHAnsi"/>
          <w:szCs w:val="22"/>
          <w:lang w:val="de-DE"/>
        </w:rPr>
        <w:t xml:space="preserve"> q2w</w:t>
      </w:r>
      <w:r w:rsidR="000A7D28">
        <w:rPr>
          <w:rFonts w:asciiTheme="minorHAnsi" w:hAnsiTheme="minorHAnsi" w:cstheme="minorHAnsi"/>
          <w:szCs w:val="22"/>
          <w:lang w:val="de-DE"/>
        </w:rPr>
        <w:t xml:space="preserve"> /480mg q4w</w:t>
      </w:r>
    </w:p>
    <w:p w14:paraId="71B13D7C" w14:textId="77777777" w:rsidR="003B7F5E" w:rsidRPr="00390F60" w:rsidRDefault="003B7F5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Pemb</w:t>
      </w:r>
      <w:r w:rsidR="00BD5515">
        <w:rPr>
          <w:rFonts w:asciiTheme="minorHAnsi" w:hAnsiTheme="minorHAnsi" w:cstheme="minorHAnsi"/>
          <w:szCs w:val="22"/>
          <w:lang w:val="de-DE"/>
        </w:rPr>
        <w:t>rolizumab (Keytruda): 200mg q3w/400mg q6w</w:t>
      </w:r>
    </w:p>
    <w:p w14:paraId="3790C3F2" w14:textId="77777777" w:rsidR="00631FCB" w:rsidRPr="00390F60" w:rsidRDefault="00390F60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Erhaltungstherapie</w:t>
      </w:r>
      <w:r w:rsidR="00631FCB" w:rsidRPr="00390F60">
        <w:rPr>
          <w:rFonts w:asciiTheme="minorHAnsi" w:hAnsiTheme="minorHAnsi" w:cstheme="minorHAnsi"/>
          <w:szCs w:val="22"/>
          <w:lang w:val="de-DE"/>
        </w:rPr>
        <w:t xml:space="preserve"> mit Avelumab</w:t>
      </w:r>
      <w:r w:rsidR="00C4546E">
        <w:rPr>
          <w:rFonts w:asciiTheme="minorHAnsi" w:hAnsiTheme="minorHAnsi" w:cstheme="minorHAnsi"/>
          <w:szCs w:val="22"/>
          <w:lang w:val="de-DE"/>
        </w:rPr>
        <w:t xml:space="preserve"> 800mg d1; q2w</w:t>
      </w:r>
      <w:r w:rsidR="00631FCB" w:rsidRPr="00390F60">
        <w:rPr>
          <w:rFonts w:asciiTheme="minorHAnsi" w:hAnsiTheme="minorHAnsi" w:cstheme="minorHAnsi"/>
          <w:szCs w:val="22"/>
          <w:lang w:val="de-DE"/>
        </w:rPr>
        <w:t xml:space="preserve"> nach platinbasierter Chemotherapie</w:t>
      </w:r>
    </w:p>
    <w:p w14:paraId="47B9E52B" w14:textId="77777777" w:rsidR="00390F60" w:rsidRPr="006676BC" w:rsidRDefault="00390F60" w:rsidP="00390F60">
      <w:pPr>
        <w:rPr>
          <w:rFonts w:asciiTheme="minorHAnsi" w:hAnsiTheme="minorHAnsi" w:cstheme="minorHAnsi"/>
          <w:szCs w:val="22"/>
        </w:rPr>
      </w:pPr>
    </w:p>
    <w:p w14:paraId="41997CAF" w14:textId="77777777" w:rsidR="003B7F5E" w:rsidRPr="006676BC" w:rsidRDefault="003B7F5E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  <w:lang w:val="de-DE"/>
        </w:rPr>
      </w:pPr>
      <w:r w:rsidRPr="006676BC">
        <w:rPr>
          <w:rFonts w:asciiTheme="minorHAnsi" w:hAnsiTheme="minorHAnsi" w:cstheme="minorHAnsi"/>
          <w:b/>
          <w:szCs w:val="22"/>
          <w:lang w:val="de-DE"/>
        </w:rPr>
        <w:t>Monotherapie</w:t>
      </w:r>
      <w:r w:rsidR="00A90E2A" w:rsidRPr="006676BC">
        <w:rPr>
          <w:rFonts w:asciiTheme="minorHAnsi" w:hAnsiTheme="minorHAnsi" w:cstheme="minorHAnsi"/>
          <w:b/>
          <w:szCs w:val="22"/>
          <w:lang w:val="de-DE"/>
        </w:rPr>
        <w:t>n</w:t>
      </w:r>
    </w:p>
    <w:p w14:paraId="38512C27" w14:textId="77777777" w:rsidR="00FA7103" w:rsidRPr="006676BC" w:rsidRDefault="00FA7103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 xml:space="preserve">Vinflunine ( Javlor ): 320 mg/m2 q3w ( 20 min ) ( 280 mg/m2 bei Niereninsuffizienz </w:t>
      </w:r>
      <w:r w:rsidR="00BD5515">
        <w:rPr>
          <w:rFonts w:asciiTheme="minorHAnsi" w:hAnsiTheme="minorHAnsi" w:cstheme="minorHAnsi"/>
          <w:szCs w:val="22"/>
          <w:lang w:val="de-DE"/>
        </w:rPr>
        <w:t xml:space="preserve">GFR </w:t>
      </w:r>
      <w:r w:rsidRPr="006676BC">
        <w:rPr>
          <w:rFonts w:asciiTheme="minorHAnsi" w:hAnsiTheme="minorHAnsi" w:cstheme="minorHAnsi"/>
          <w:szCs w:val="22"/>
          <w:lang w:val="de-DE"/>
        </w:rPr>
        <w:t>&lt;60 ml/min)</w:t>
      </w:r>
    </w:p>
    <w:p w14:paraId="1D17A132" w14:textId="77777777" w:rsidR="004A6499" w:rsidRPr="006676BC" w:rsidRDefault="004A649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Paclita</w:t>
      </w:r>
      <w:r w:rsidR="00BD5515">
        <w:rPr>
          <w:rFonts w:asciiTheme="minorHAnsi" w:hAnsiTheme="minorHAnsi" w:cstheme="minorHAnsi"/>
          <w:szCs w:val="22"/>
          <w:lang w:val="de-DE"/>
        </w:rPr>
        <w:t>xel Monotherapie 175 mg/m2 q3w</w:t>
      </w:r>
    </w:p>
    <w:p w14:paraId="2E8FCA84" w14:textId="77777777" w:rsidR="004A6499" w:rsidRPr="00DB5B38" w:rsidRDefault="004A649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fr-FR"/>
        </w:rPr>
      </w:pPr>
      <w:r w:rsidRPr="00DB5B38">
        <w:rPr>
          <w:rFonts w:asciiTheme="minorHAnsi" w:hAnsiTheme="minorHAnsi" w:cstheme="minorHAnsi"/>
          <w:szCs w:val="22"/>
          <w:lang w:val="fr-FR"/>
        </w:rPr>
        <w:t>Gemc</w:t>
      </w:r>
      <w:r w:rsidR="00BD5515" w:rsidRPr="00DB5B38">
        <w:rPr>
          <w:rFonts w:asciiTheme="minorHAnsi" w:hAnsiTheme="minorHAnsi" w:cstheme="minorHAnsi"/>
          <w:szCs w:val="22"/>
          <w:lang w:val="fr-FR"/>
        </w:rPr>
        <w:t>itabine Mono 750-1250 mg/m2</w:t>
      </w:r>
      <w:r w:rsidR="00C4546E" w:rsidRPr="00DB5B38">
        <w:rPr>
          <w:rFonts w:asciiTheme="minorHAnsi" w:hAnsiTheme="minorHAnsi" w:cstheme="minorHAnsi"/>
          <w:szCs w:val="22"/>
          <w:lang w:val="fr-FR"/>
        </w:rPr>
        <w:t xml:space="preserve"> d1,8,15</w:t>
      </w:r>
      <w:r w:rsidR="00A62C37" w:rsidRPr="00DB5B38">
        <w:rPr>
          <w:rFonts w:asciiTheme="minorHAnsi" w:hAnsiTheme="minorHAnsi" w:cstheme="minorHAnsi"/>
          <w:szCs w:val="22"/>
          <w:lang w:val="fr-FR"/>
        </w:rPr>
        <w:t>; q</w:t>
      </w:r>
      <w:r w:rsidR="00D610A7" w:rsidRPr="00DB5B38">
        <w:rPr>
          <w:rFonts w:asciiTheme="minorHAnsi" w:hAnsiTheme="minorHAnsi" w:cstheme="minorHAnsi"/>
          <w:szCs w:val="22"/>
          <w:lang w:val="fr-FR"/>
        </w:rPr>
        <w:t>4</w:t>
      </w:r>
      <w:r w:rsidR="00A62C37" w:rsidRPr="00DB5B38">
        <w:rPr>
          <w:rFonts w:asciiTheme="minorHAnsi" w:hAnsiTheme="minorHAnsi" w:cstheme="minorHAnsi"/>
          <w:szCs w:val="22"/>
          <w:lang w:val="fr-FR"/>
        </w:rPr>
        <w:t>w</w:t>
      </w:r>
    </w:p>
    <w:p w14:paraId="5D58EB24" w14:textId="77777777" w:rsidR="003B7F5E" w:rsidRDefault="003B7F5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6676BC">
        <w:rPr>
          <w:rFonts w:asciiTheme="minorHAnsi" w:hAnsiTheme="minorHAnsi" w:cstheme="minorHAnsi"/>
          <w:szCs w:val="22"/>
          <w:lang w:val="de-DE"/>
        </w:rPr>
        <w:t>Docetaxel 75 mg/m2 q3w</w:t>
      </w:r>
    </w:p>
    <w:p w14:paraId="37419EF8" w14:textId="65AF3DF5" w:rsidR="00551A3E" w:rsidRDefault="00551A3E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551A3E">
        <w:rPr>
          <w:rFonts w:asciiTheme="minorHAnsi" w:hAnsiTheme="minorHAnsi" w:cstheme="minorHAnsi"/>
          <w:szCs w:val="22"/>
          <w:lang w:val="de-DE"/>
        </w:rPr>
        <w:t>Enfortumab-Vedotin (Padzev) i.v. 1,25mg/kg KG d1,8,15 q4w</w:t>
      </w:r>
    </w:p>
    <w:p w14:paraId="1717D2A6" w14:textId="77777777" w:rsidR="00384979" w:rsidRPr="00551A3E" w:rsidRDefault="00384979" w:rsidP="00384979">
      <w:pPr>
        <w:pStyle w:val="Textkrper-Einzug2"/>
        <w:spacing w:after="0" w:line="276" w:lineRule="auto"/>
        <w:ind w:left="360"/>
        <w:jc w:val="both"/>
        <w:rPr>
          <w:rFonts w:asciiTheme="minorHAnsi" w:hAnsiTheme="minorHAnsi" w:cstheme="minorHAnsi"/>
          <w:szCs w:val="22"/>
          <w:lang w:val="de-DE"/>
        </w:rPr>
      </w:pPr>
      <w:bookmarkStart w:id="42" w:name="_GoBack"/>
      <w:bookmarkEnd w:id="42"/>
    </w:p>
    <w:p w14:paraId="6B7C503B" w14:textId="77777777" w:rsidR="007D0848" w:rsidRPr="006676BC" w:rsidRDefault="00092365" w:rsidP="00416926">
      <w:pPr>
        <w:pStyle w:val="Textkrper-Einzug2"/>
        <w:spacing w:after="0" w:line="276" w:lineRule="auto"/>
        <w:ind w:left="0"/>
        <w:jc w:val="both"/>
        <w:rPr>
          <w:rFonts w:asciiTheme="minorHAnsi" w:hAnsiTheme="minorHAnsi" w:cstheme="minorHAnsi"/>
          <w:b/>
          <w:szCs w:val="22"/>
        </w:rPr>
      </w:pPr>
      <w:r w:rsidRPr="006676BC">
        <w:rPr>
          <w:rFonts w:asciiTheme="minorHAnsi" w:hAnsiTheme="minorHAnsi" w:cstheme="minorHAnsi"/>
          <w:b/>
          <w:szCs w:val="22"/>
        </w:rPr>
        <w:t>Trimodale Therapie</w:t>
      </w:r>
      <w:r w:rsidR="00A90E2A" w:rsidRPr="006676BC">
        <w:rPr>
          <w:rFonts w:asciiTheme="minorHAnsi" w:hAnsiTheme="minorHAnsi" w:cstheme="minorHAnsi"/>
          <w:b/>
          <w:szCs w:val="22"/>
        </w:rPr>
        <w:t xml:space="preserve"> – R</w:t>
      </w:r>
      <w:r w:rsidR="00783EA4">
        <w:rPr>
          <w:rFonts w:asciiTheme="minorHAnsi" w:hAnsiTheme="minorHAnsi" w:cstheme="minorHAnsi"/>
          <w:b/>
          <w:szCs w:val="22"/>
        </w:rPr>
        <w:t>a</w:t>
      </w:r>
      <w:r w:rsidR="00A90E2A" w:rsidRPr="006676BC">
        <w:rPr>
          <w:rFonts w:asciiTheme="minorHAnsi" w:hAnsiTheme="minorHAnsi" w:cstheme="minorHAnsi"/>
          <w:b/>
          <w:szCs w:val="22"/>
        </w:rPr>
        <w:t>diosensitizer Schemata</w:t>
      </w:r>
    </w:p>
    <w:p w14:paraId="1B1ED3DB" w14:textId="77777777" w:rsidR="007E34B9" w:rsidRPr="00390F60" w:rsidRDefault="007E34B9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Cisplatin 25mg/m2 in der Bestrahlungswoche 1 und 5 für 5 Tage</w:t>
      </w:r>
    </w:p>
    <w:p w14:paraId="08B24C1B" w14:textId="77777777" w:rsidR="00A90E2A" w:rsidRPr="00390F60" w:rsidRDefault="007D0848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5</w:t>
      </w:r>
      <w:r w:rsidR="00A90E2A" w:rsidRPr="00390F60">
        <w:rPr>
          <w:rFonts w:asciiTheme="minorHAnsi" w:hAnsiTheme="minorHAnsi" w:cstheme="minorHAnsi"/>
          <w:szCs w:val="22"/>
          <w:lang w:val="de-DE"/>
        </w:rPr>
        <w:t>-</w:t>
      </w:r>
      <w:r w:rsidRPr="00390F60">
        <w:rPr>
          <w:rFonts w:asciiTheme="minorHAnsi" w:hAnsiTheme="minorHAnsi" w:cstheme="minorHAnsi"/>
          <w:szCs w:val="22"/>
          <w:lang w:val="de-DE"/>
        </w:rPr>
        <w:t>FU</w:t>
      </w:r>
      <w:r w:rsidR="00A90E2A" w:rsidRPr="00390F60">
        <w:rPr>
          <w:rFonts w:asciiTheme="minorHAnsi" w:hAnsiTheme="minorHAnsi" w:cstheme="minorHAnsi"/>
          <w:szCs w:val="22"/>
          <w:lang w:val="de-DE"/>
        </w:rPr>
        <w:t xml:space="preserve"> als kontinuierliche Infusion mit 500mg/m2</w:t>
      </w:r>
      <w:r w:rsidRPr="00390F60">
        <w:rPr>
          <w:rFonts w:asciiTheme="minorHAnsi" w:hAnsiTheme="minorHAnsi" w:cstheme="minorHAnsi"/>
          <w:szCs w:val="22"/>
          <w:lang w:val="de-DE"/>
        </w:rPr>
        <w:t>/</w:t>
      </w:r>
      <w:r w:rsidR="00A90E2A" w:rsidRPr="00390F60">
        <w:rPr>
          <w:rFonts w:asciiTheme="minorHAnsi" w:hAnsiTheme="minorHAnsi" w:cstheme="minorHAnsi"/>
          <w:szCs w:val="22"/>
          <w:lang w:val="de-DE"/>
        </w:rPr>
        <w:t>d während Radiotherapiefraktionen</w:t>
      </w:r>
      <w:r w:rsidR="00390F60">
        <w:rPr>
          <w:rFonts w:asciiTheme="minorHAnsi" w:hAnsiTheme="minorHAnsi" w:cstheme="minorHAnsi"/>
          <w:szCs w:val="22"/>
          <w:lang w:val="de-DE"/>
        </w:rPr>
        <w:t xml:space="preserve"> 1 </w:t>
      </w:r>
      <w:r w:rsidR="00A90E2A" w:rsidRPr="00390F60">
        <w:rPr>
          <w:rFonts w:asciiTheme="minorHAnsi" w:hAnsiTheme="minorHAnsi" w:cstheme="minorHAnsi"/>
          <w:szCs w:val="22"/>
          <w:lang w:val="de-DE"/>
        </w:rPr>
        <w:t>bis 5 und 16-20 (insgesamt 10 Tage) und</w:t>
      </w:r>
      <w:r w:rsidR="00390F60" w:rsidRPr="00390F60">
        <w:rPr>
          <w:rFonts w:asciiTheme="minorHAnsi" w:hAnsiTheme="minorHAnsi" w:cstheme="minorHAnsi"/>
          <w:szCs w:val="22"/>
          <w:lang w:val="de-DE"/>
        </w:rPr>
        <w:t xml:space="preserve"> </w:t>
      </w:r>
      <w:r w:rsidR="00A90E2A" w:rsidRPr="00390F60">
        <w:rPr>
          <w:rFonts w:asciiTheme="minorHAnsi" w:hAnsiTheme="minorHAnsi" w:cstheme="minorHAnsi"/>
          <w:szCs w:val="22"/>
          <w:lang w:val="de-DE"/>
        </w:rPr>
        <w:t>Mitomycin C Bolus 12 mg/m2/d1</w:t>
      </w:r>
    </w:p>
    <w:p w14:paraId="3B1E6F97" w14:textId="77777777" w:rsidR="00A90E2A" w:rsidRPr="00390F60" w:rsidRDefault="00A90E2A" w:rsidP="00390F60">
      <w:pPr>
        <w:pStyle w:val="Textkrper-Einzug2"/>
        <w:numPr>
          <w:ilvl w:val="0"/>
          <w:numId w:val="10"/>
        </w:numPr>
        <w:spacing w:after="0" w:line="276" w:lineRule="auto"/>
        <w:jc w:val="both"/>
        <w:rPr>
          <w:rFonts w:asciiTheme="minorHAnsi" w:hAnsiTheme="minorHAnsi" w:cstheme="minorHAnsi"/>
          <w:szCs w:val="22"/>
          <w:lang w:val="de-DE"/>
        </w:rPr>
      </w:pPr>
      <w:r w:rsidRPr="00390F60">
        <w:rPr>
          <w:rFonts w:asciiTheme="minorHAnsi" w:hAnsiTheme="minorHAnsi" w:cstheme="minorHAnsi"/>
          <w:szCs w:val="22"/>
          <w:lang w:val="de-DE"/>
        </w:rPr>
        <w:t>Gemcitabine 100mg/m2/Woche oder  2 x 40mg/m2/Woche</w:t>
      </w:r>
    </w:p>
    <w:p w14:paraId="19ABCE26" w14:textId="24694717" w:rsidR="007D0848" w:rsidRDefault="00A90E2A" w:rsidP="00416926">
      <w:pPr>
        <w:pStyle w:val="Textkrper-Einzug2"/>
        <w:spacing w:line="276" w:lineRule="auto"/>
        <w:ind w:left="0" w:firstLine="708"/>
        <w:jc w:val="both"/>
        <w:rPr>
          <w:rFonts w:asciiTheme="minorHAnsi" w:hAnsiTheme="minorHAnsi" w:cstheme="minorHAnsi"/>
          <w:szCs w:val="22"/>
        </w:rPr>
      </w:pPr>
      <w:r w:rsidRPr="006676BC">
        <w:rPr>
          <w:rFonts w:asciiTheme="minorHAnsi" w:hAnsiTheme="minorHAnsi" w:cstheme="minorHAnsi"/>
          <w:szCs w:val="22"/>
        </w:rPr>
        <w:tab/>
      </w:r>
    </w:p>
    <w:p w14:paraId="75D90AC1" w14:textId="77777777" w:rsidR="00000DC0" w:rsidRDefault="00000DC0" w:rsidP="00416926">
      <w:pPr>
        <w:pStyle w:val="Textkrper-Einzug2"/>
        <w:spacing w:line="276" w:lineRule="auto"/>
        <w:ind w:left="0" w:firstLine="708"/>
        <w:jc w:val="both"/>
        <w:rPr>
          <w:rFonts w:asciiTheme="minorHAnsi" w:hAnsiTheme="minorHAnsi" w:cstheme="minorHAnsi"/>
          <w:szCs w:val="22"/>
        </w:rPr>
      </w:pPr>
    </w:p>
    <w:p w14:paraId="6F10368F" w14:textId="77777777" w:rsidR="00631FCB" w:rsidRPr="006676BC" w:rsidRDefault="00631FCB" w:rsidP="00416926">
      <w:pPr>
        <w:pStyle w:val="Textkrper-Einzug2"/>
        <w:spacing w:line="276" w:lineRule="auto"/>
        <w:ind w:left="0" w:firstLine="708"/>
        <w:jc w:val="both"/>
        <w:rPr>
          <w:rFonts w:asciiTheme="minorHAnsi" w:hAnsiTheme="minorHAnsi" w:cstheme="minorHAnsi"/>
          <w:szCs w:val="22"/>
        </w:rPr>
      </w:pPr>
    </w:p>
    <w:p w14:paraId="5C09F2F9" w14:textId="77777777" w:rsidR="00A6435E" w:rsidRPr="006676BC" w:rsidRDefault="00A6435E" w:rsidP="007F3064">
      <w:pPr>
        <w:pStyle w:val="berschrift1"/>
      </w:pPr>
      <w:bookmarkStart w:id="43" w:name="_Anhang:_Studienblatt_(optional)"/>
      <w:bookmarkStart w:id="44" w:name="_Toc92971160"/>
      <w:bookmarkStart w:id="45" w:name="_Toc367183622"/>
      <w:bookmarkStart w:id="46" w:name="_Toc367183860"/>
      <w:bookmarkEnd w:id="43"/>
      <w:r w:rsidRPr="006676BC">
        <w:lastRenderedPageBreak/>
        <w:t>Anhang</w:t>
      </w:r>
      <w:r w:rsidR="00B96F18" w:rsidRPr="006676BC">
        <w:t>:</w:t>
      </w:r>
      <w:r w:rsidRPr="006676BC">
        <w:t xml:space="preserve"> Studienblatt</w:t>
      </w:r>
      <w:bookmarkEnd w:id="44"/>
      <w:r w:rsidR="00ED24ED" w:rsidRPr="006676BC">
        <w:t xml:space="preserve"> </w:t>
      </w:r>
      <w:bookmarkEnd w:id="45"/>
      <w:bookmarkEnd w:id="46"/>
    </w:p>
    <w:p w14:paraId="04BB315F" w14:textId="77777777" w:rsidR="001F0136" w:rsidRDefault="001F0136" w:rsidP="001F013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szCs w:val="22"/>
          <w:u w:val="single"/>
        </w:rPr>
      </w:pPr>
      <w:r>
        <w:rPr>
          <w:rFonts w:asciiTheme="minorHAnsi" w:hAnsiTheme="minorHAnsi" w:cstheme="minorHAnsi"/>
          <w:b/>
          <w:szCs w:val="22"/>
          <w:u w:val="single"/>
        </w:rPr>
        <w:t>Rekrutierende Studien Ordensklinikum Linz</w:t>
      </w:r>
    </w:p>
    <w:tbl>
      <w:tblPr>
        <w:tblStyle w:val="Tabellenraster"/>
        <w:tblpPr w:leftFromText="142" w:rightFromText="142" w:vertAnchor="text" w:horzAnchor="margin" w:tblpY="1"/>
        <w:tblOverlap w:val="never"/>
        <w:tblW w:w="0" w:type="dxa"/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3685"/>
      </w:tblGrid>
      <w:tr w:rsidR="001F0136" w14:paraId="1D80DFEB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1C61C71B" w14:textId="77777777" w:rsidR="001F0136" w:rsidRDefault="001F0136">
            <w:pPr>
              <w:jc w:val="left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Studie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E20161F" w14:textId="77777777" w:rsidR="001F0136" w:rsidRDefault="001F0136">
            <w:pPr>
              <w:jc w:val="both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Präparat/Intervention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5FFD8FC2" w14:textId="77777777" w:rsidR="001F0136" w:rsidRDefault="001F0136">
            <w:pPr>
              <w:jc w:val="both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Indikation</w:t>
            </w:r>
          </w:p>
        </w:tc>
      </w:tr>
      <w:tr w:rsidR="001F0136" w:rsidRPr="00384979" w14:paraId="700DD1A6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41AF70F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DZB-CS-201 (FIDES-02)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984FF99" w14:textId="77777777" w:rsidR="001F0136" w:rsidRPr="00995E5F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GB"/>
              </w:rPr>
            </w:pPr>
            <w:r w:rsidRPr="00995E5F">
              <w:rPr>
                <w:rFonts w:asciiTheme="minorHAnsi" w:hAnsiTheme="minorHAnsi" w:cs="Arial"/>
                <w:sz w:val="20"/>
                <w:lang w:val="en-GB"/>
              </w:rPr>
              <w:t xml:space="preserve">1st line: Dearazantinib vs. Derazantinib+Atezo 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br/>
              <w:t>2nd/3rd line: Derazantinib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br/>
              <w:t>3rd line: Dearazantinib vs. Derazantinib+Atezo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E4E61E2" w14:textId="77777777" w:rsidR="001F0136" w:rsidRPr="00995E5F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GB"/>
              </w:rPr>
            </w:pPr>
            <w:r w:rsidRPr="00995E5F">
              <w:rPr>
                <w:rFonts w:asciiTheme="minorHAnsi" w:hAnsiTheme="minorHAnsi" w:cs="Arial"/>
                <w:sz w:val="20"/>
                <w:lang w:val="en-GB"/>
              </w:rPr>
              <w:t>UCC, FGFR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br/>
            </w:r>
            <w:r w:rsidRPr="00995E5F">
              <w:rPr>
                <w:rFonts w:asciiTheme="minorHAnsi" w:hAnsiTheme="minorHAnsi" w:cs="Arial"/>
                <w:b/>
                <w:sz w:val="20"/>
                <w:lang w:val="en-GB"/>
              </w:rPr>
              <w:t>Subprotokoll.1: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t xml:space="preserve"> M1, post Chemo und/oder Antikörpertherapie, FGFR positiv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br/>
            </w:r>
            <w:r w:rsidRPr="00995E5F">
              <w:rPr>
                <w:rFonts w:asciiTheme="minorHAnsi" w:hAnsiTheme="minorHAnsi" w:cs="Arial"/>
                <w:b/>
                <w:sz w:val="20"/>
                <w:lang w:val="en-GB"/>
              </w:rPr>
              <w:t xml:space="preserve">Subpro.3: 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t>cisplatin inelegible, first line, M1, FGFR und PDL positiv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br/>
            </w:r>
            <w:r w:rsidRPr="00995E5F">
              <w:rPr>
                <w:rFonts w:asciiTheme="minorHAnsi" w:hAnsiTheme="minorHAnsi" w:cs="Arial"/>
                <w:b/>
                <w:sz w:val="20"/>
                <w:lang w:val="en-GB"/>
              </w:rPr>
              <w:t>Subpro.4:</w:t>
            </w:r>
            <w:r w:rsidRPr="00995E5F">
              <w:rPr>
                <w:rFonts w:asciiTheme="minorHAnsi" w:hAnsiTheme="minorHAnsi" w:cs="Arial"/>
                <w:sz w:val="20"/>
                <w:lang w:val="en-GB"/>
              </w:rPr>
              <w:t xml:space="preserve"> M1, post Chemo und Antikörpertherapie, post FGFR-Therapie</w:t>
            </w:r>
          </w:p>
        </w:tc>
      </w:tr>
      <w:tr w:rsidR="001F0136" w:rsidRPr="00384979" w14:paraId="2440698C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D30B022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BMS, CA017-078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FE1F8AC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Neoadjuvant Chemo vs. Chemo+Nivo vs. Nivo+BMS-986205 (IDO-Inh.) dann OP, adjuvant Nivo vs. Nivo+IDO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0B0D9CAE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UCC, neoadjuvant + adjuvant, muscle-invasive</w:t>
            </w:r>
          </w:p>
        </w:tc>
      </w:tr>
      <w:tr w:rsidR="001F0136" w14:paraId="2C701D5F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61DEB63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Janssen, THOR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4DC1266" w14:textId="77777777" w:rsidR="001F0136" w:rsidRPr="00995E5F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GB"/>
              </w:rPr>
            </w:pPr>
            <w:r w:rsidRPr="00995E5F">
              <w:rPr>
                <w:rFonts w:asciiTheme="minorHAnsi" w:hAnsiTheme="minorHAnsi" w:cs="Arial"/>
                <w:sz w:val="20"/>
                <w:lang w:val="en-GB"/>
              </w:rPr>
              <w:t>Erdafitinib vs. Vinflunine (prior PD-(L)1) od. Erdafitinib vs. Pembrolizumab (no prior PD-(L) 1)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9BAC04E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UCC, M1, 2/3. Linie, FGFR-positiv, post Cisplatin und/oder post Antikörpertherapie</w:t>
            </w:r>
          </w:p>
        </w:tc>
      </w:tr>
      <w:tr w:rsidR="001F0136" w14:paraId="2E41E1C7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4237F5B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KEYNOTE-676 (MK-3475)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D9A897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Pembrolizumab + BCG  vs. BCG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9257D39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UCC, non-muscle-invasive, highgrade, noch kein BCG oder BCG unresponsive nach BCG-Induktion</w:t>
            </w:r>
          </w:p>
        </w:tc>
      </w:tr>
      <w:tr w:rsidR="001F0136" w14:paraId="762FE7D3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07F62B0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Immunomedics, IMMU-132-13 (Ph 3)</w:t>
            </w:r>
            <w:r>
              <w:rPr>
                <w:rFonts w:asciiTheme="minorHAnsi" w:hAnsiTheme="minorHAnsi" w:cs="Arial"/>
                <w:sz w:val="20"/>
                <w:lang w:val="de-DE"/>
              </w:rPr>
              <w:br/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1F9DA26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 xml:space="preserve">Sacituzumab Govitecan versus Treatment of Physician’s Choice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09329FFA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UCC, M1, 3. Linie, post Cisplatin, post Antikörpertherapie</w:t>
            </w:r>
          </w:p>
        </w:tc>
      </w:tr>
      <w:tr w:rsidR="001F0136" w:rsidRPr="00DB5B38" w14:paraId="6DC9B065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6DD77B9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Janssen, Sunrise 2: 17000139BLC3001 (Ph 3)</w:t>
            </w:r>
          </w:p>
          <w:p w14:paraId="1946C79B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B643F27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TAR-200 in Combination with an anti-PD-1 antibody (Cetrelimab - JNJ-63723283) versus Concurrent Chemoradiotherapy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5FD79DB2" w14:textId="77777777" w:rsidR="001F0136" w:rsidRPr="00995E5F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</w:rPr>
            </w:pPr>
            <w:r w:rsidRPr="00995E5F">
              <w:rPr>
                <w:rFonts w:asciiTheme="minorHAnsi" w:hAnsiTheme="minorHAnsi" w:cs="Arial"/>
                <w:sz w:val="20"/>
              </w:rPr>
              <w:t>Muskelinvasives Urothelkarzinom, M0, statt Zystektomie</w:t>
            </w:r>
          </w:p>
        </w:tc>
      </w:tr>
    </w:tbl>
    <w:p w14:paraId="6D8100C2" w14:textId="77777777" w:rsidR="001F0136" w:rsidRPr="00995E5F" w:rsidRDefault="001F0136" w:rsidP="001F0136">
      <w:pPr>
        <w:spacing w:line="240" w:lineRule="auto"/>
        <w:jc w:val="left"/>
        <w:rPr>
          <w:rFonts w:asciiTheme="minorHAnsi" w:hAnsiTheme="minorHAnsi" w:cstheme="minorHAnsi"/>
          <w:b/>
          <w:bCs/>
          <w:szCs w:val="22"/>
        </w:rPr>
      </w:pPr>
    </w:p>
    <w:p w14:paraId="09070C3D" w14:textId="77777777" w:rsidR="001F0136" w:rsidRDefault="001F0136" w:rsidP="001F013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szCs w:val="22"/>
          <w:u w:val="single"/>
        </w:rPr>
      </w:pPr>
      <w:r>
        <w:rPr>
          <w:rFonts w:asciiTheme="minorHAnsi" w:hAnsiTheme="minorHAnsi" w:cstheme="minorHAnsi"/>
          <w:b/>
          <w:szCs w:val="22"/>
          <w:u w:val="single"/>
        </w:rPr>
        <w:t>Studien in Planung Ordensklinikum Linz</w:t>
      </w:r>
    </w:p>
    <w:tbl>
      <w:tblPr>
        <w:tblStyle w:val="Tabellenraster"/>
        <w:tblpPr w:leftFromText="142" w:rightFromText="142" w:vertAnchor="text" w:horzAnchor="margin" w:tblpY="1"/>
        <w:tblW w:w="0" w:type="dxa"/>
        <w:tblLayout w:type="fixed"/>
        <w:tblLook w:val="04A0" w:firstRow="1" w:lastRow="0" w:firstColumn="1" w:lastColumn="0" w:noHBand="0" w:noVBand="1"/>
      </w:tblPr>
      <w:tblGrid>
        <w:gridCol w:w="2518"/>
        <w:gridCol w:w="3544"/>
        <w:gridCol w:w="3685"/>
      </w:tblGrid>
      <w:tr w:rsidR="001F0136" w14:paraId="1DA2874D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E6D3A14" w14:textId="77777777" w:rsidR="001F0136" w:rsidRDefault="001F0136">
            <w:pPr>
              <w:spacing w:line="240" w:lineRule="auto"/>
              <w:jc w:val="both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 xml:space="preserve">Studie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F59FAC3" w14:textId="77777777" w:rsidR="001F0136" w:rsidRDefault="001F0136">
            <w:pPr>
              <w:spacing w:line="240" w:lineRule="auto"/>
              <w:jc w:val="both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Präparat/Intervention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hideMark/>
          </w:tcPr>
          <w:p w14:paraId="69F60173" w14:textId="77777777" w:rsidR="001F0136" w:rsidRDefault="001F0136">
            <w:pPr>
              <w:spacing w:line="240" w:lineRule="auto"/>
              <w:jc w:val="both"/>
              <w:rPr>
                <w:rFonts w:asciiTheme="minorHAnsi" w:hAnsiTheme="minorHAnsi" w:cs="Arial"/>
                <w:b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Indikation</w:t>
            </w:r>
          </w:p>
        </w:tc>
      </w:tr>
      <w:tr w:rsidR="001F0136" w:rsidRPr="00384979" w14:paraId="1AD6A559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7F2D455F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sz w:val="20"/>
                <w:lang w:val="de-DE"/>
              </w:rPr>
              <w:t>VOLGA</w:t>
            </w:r>
          </w:p>
          <w:p w14:paraId="06CB5AC1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de-DE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geplanter Start:</w:t>
            </w:r>
            <w:r>
              <w:rPr>
                <w:rFonts w:asciiTheme="minorHAnsi" w:hAnsiTheme="minorHAnsi" w:cs="Arial"/>
                <w:sz w:val="20"/>
                <w:lang w:val="de-DE"/>
              </w:rPr>
              <w:t xml:space="preserve"> Q2/2022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26560BA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Durva + Tremelimumab + EV or Durva + EV (perioperatvie treatment)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63C8567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Perioperative Treatment in Patients Ineligible for Cisplatin Undergoing Radical Cystectomy for Muscle Invasive Bladder Cancer</w:t>
            </w:r>
          </w:p>
        </w:tc>
      </w:tr>
      <w:tr w:rsidR="001F0136" w14:paraId="454BEA42" w14:textId="77777777" w:rsidTr="001F0136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37921482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 xml:space="preserve">Steba Biotech </w:t>
            </w:r>
          </w:p>
          <w:p w14:paraId="7A299C82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b/>
                <w:sz w:val="20"/>
                <w:lang w:val="de-DE"/>
              </w:rPr>
              <w:t>geplanter Start:</w:t>
            </w:r>
            <w:r>
              <w:rPr>
                <w:rFonts w:asciiTheme="minorHAnsi" w:hAnsiTheme="minorHAnsi" w:cs="Arial"/>
                <w:sz w:val="20"/>
                <w:lang w:val="de-DE"/>
              </w:rPr>
              <w:t xml:space="preserve"> Q1/2022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29662CE6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TOOKAD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hideMark/>
          </w:tcPr>
          <w:p w14:paraId="4FD54F31" w14:textId="77777777" w:rsidR="001F0136" w:rsidRDefault="001F0136">
            <w:pPr>
              <w:spacing w:line="240" w:lineRule="auto"/>
              <w:jc w:val="left"/>
              <w:rPr>
                <w:rFonts w:asciiTheme="minorHAnsi" w:hAnsiTheme="minorHAnsi" w:cs="Arial"/>
                <w:sz w:val="20"/>
                <w:lang w:val="en-US"/>
              </w:rPr>
            </w:pPr>
            <w:r>
              <w:rPr>
                <w:rFonts w:asciiTheme="minorHAnsi" w:hAnsiTheme="minorHAnsi" w:cs="Arial"/>
                <w:sz w:val="20"/>
                <w:lang w:val="en-US"/>
              </w:rPr>
              <w:t>UTUC</w:t>
            </w:r>
          </w:p>
        </w:tc>
      </w:tr>
    </w:tbl>
    <w:p w14:paraId="0C66CF8E" w14:textId="77777777" w:rsidR="001F0136" w:rsidRDefault="001F0136" w:rsidP="001F0136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b/>
          <w:bCs/>
          <w:szCs w:val="22"/>
          <w:lang w:val="en-US"/>
        </w:rPr>
      </w:pPr>
    </w:p>
    <w:p w14:paraId="5F352B70" w14:textId="77777777" w:rsidR="00416926" w:rsidRPr="006676BC" w:rsidRDefault="00416926" w:rsidP="007F3064">
      <w:pPr>
        <w:pStyle w:val="Textkrper-Einzug2"/>
        <w:spacing w:line="276" w:lineRule="auto"/>
        <w:ind w:left="0"/>
        <w:jc w:val="both"/>
        <w:rPr>
          <w:rFonts w:asciiTheme="minorHAnsi" w:hAnsiTheme="minorHAnsi" w:cstheme="minorHAnsi"/>
          <w:szCs w:val="22"/>
          <w:lang w:val="en-GB"/>
        </w:rPr>
      </w:pPr>
    </w:p>
    <w:p w14:paraId="15D05203" w14:textId="77777777" w:rsidR="00A6435E" w:rsidRPr="00E344D4" w:rsidRDefault="00A6435E" w:rsidP="007F3064">
      <w:pPr>
        <w:pStyle w:val="berschrift1"/>
      </w:pPr>
      <w:bookmarkStart w:id="47" w:name="_Toc367183623"/>
      <w:bookmarkStart w:id="48" w:name="_Toc367183861"/>
      <w:bookmarkStart w:id="49" w:name="_Toc92971161"/>
      <w:r w:rsidRPr="006676BC">
        <w:t>Anhang: Wirtschaftliche Analyse</w:t>
      </w:r>
      <w:r w:rsidR="00ED24ED" w:rsidRPr="006676BC">
        <w:t xml:space="preserve"> (optional)</w:t>
      </w:r>
      <w:bookmarkEnd w:id="47"/>
      <w:bookmarkEnd w:id="48"/>
      <w:bookmarkEnd w:id="49"/>
    </w:p>
    <w:sectPr w:rsidR="00A6435E" w:rsidRPr="00E344D4" w:rsidSect="001D11C7">
      <w:headerReference w:type="even" r:id="rId33"/>
      <w:footerReference w:type="even" r:id="rId34"/>
      <w:headerReference w:type="first" r:id="rId35"/>
      <w:footerReference w:type="first" r:id="rId36"/>
      <w:pgSz w:w="11906" w:h="16838"/>
      <w:pgMar w:top="743" w:right="1106" w:bottom="1134" w:left="1418" w:header="567" w:footer="4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FB654" w14:textId="77777777" w:rsidR="00995E5F" w:rsidRDefault="00995E5F">
      <w:r>
        <w:separator/>
      </w:r>
    </w:p>
    <w:p w14:paraId="08D28C69" w14:textId="77777777" w:rsidR="00995E5F" w:rsidRDefault="00995E5F"/>
    <w:p w14:paraId="10614E19" w14:textId="77777777" w:rsidR="00995E5F" w:rsidRDefault="00995E5F"/>
  </w:endnote>
  <w:endnote w:type="continuationSeparator" w:id="0">
    <w:p w14:paraId="44C1F61B" w14:textId="77777777" w:rsidR="00995E5F" w:rsidRDefault="00995E5F">
      <w:r>
        <w:continuationSeparator/>
      </w:r>
    </w:p>
    <w:p w14:paraId="600B448C" w14:textId="77777777" w:rsidR="00995E5F" w:rsidRDefault="00995E5F"/>
    <w:p w14:paraId="2B51876D" w14:textId="77777777" w:rsidR="00995E5F" w:rsidRDefault="00995E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EF489C" w14:textId="189AD758" w:rsidR="00995E5F" w:rsidRDefault="00995E5F" w:rsidP="00951BE2">
    <w:pPr>
      <w:pStyle w:val="Fuzeile"/>
      <w:pBdr>
        <w:top w:val="single" w:sz="4" w:space="1" w:color="000000"/>
      </w:pBdr>
      <w:tabs>
        <w:tab w:val="clear" w:pos="9072"/>
        <w:tab w:val="right" w:pos="9356"/>
      </w:tabs>
    </w:pPr>
    <w:r>
      <w:rPr>
        <w:sz w:val="18"/>
        <w:szCs w:val="18"/>
      </w:rPr>
      <w:tab/>
    </w:r>
    <w:r>
      <w:rPr>
        <w:sz w:val="18"/>
        <w:szCs w:val="18"/>
      </w:rPr>
      <w:tab/>
      <w:t xml:space="preserve">Seite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PAGE </w:instrText>
    </w:r>
    <w:r>
      <w:rPr>
        <w:sz w:val="18"/>
        <w:szCs w:val="18"/>
      </w:rPr>
      <w:fldChar w:fldCharType="separate"/>
    </w:r>
    <w:r w:rsidR="00384979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von </w:t>
    </w: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NUMPAGES \*Arabic </w:instrText>
    </w:r>
    <w:r>
      <w:rPr>
        <w:sz w:val="18"/>
        <w:szCs w:val="18"/>
      </w:rPr>
      <w:fldChar w:fldCharType="separate"/>
    </w:r>
    <w:r w:rsidR="00384979">
      <w:rPr>
        <w:noProof/>
        <w:sz w:val="18"/>
        <w:szCs w:val="18"/>
      </w:rPr>
      <w:t>23</w:t>
    </w:r>
    <w:r>
      <w:rPr>
        <w:sz w:val="18"/>
        <w:szCs w:val="18"/>
      </w:rPr>
      <w:fldChar w:fldCharType="end"/>
    </w:r>
  </w:p>
  <w:p w14:paraId="78C17491" w14:textId="77777777" w:rsidR="00995E5F" w:rsidRPr="00B6342E" w:rsidRDefault="00995E5F" w:rsidP="00B6342E">
    <w:pPr>
      <w:pStyle w:val="Fuzeile"/>
      <w:jc w:val="both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99A78" w14:textId="42DFB2D5" w:rsidR="00995E5F" w:rsidRDefault="00995E5F">
    <w:pPr>
      <w:pStyle w:val="Fuzeile"/>
      <w:jc w:val="left"/>
    </w:pPr>
    <w:r>
      <w:rPr>
        <w:snapToGrid w:val="0"/>
        <w:sz w:val="18"/>
      </w:rPr>
      <w:t xml:space="preserve">Abgelegt in: </w:t>
    </w:r>
    <w:r>
      <w:rPr>
        <w:snapToGrid w:val="0"/>
        <w:sz w:val="18"/>
      </w:rPr>
      <w:fldChar w:fldCharType="begin"/>
    </w:r>
    <w:r>
      <w:rPr>
        <w:snapToGrid w:val="0"/>
        <w:sz w:val="18"/>
      </w:rPr>
      <w:instrText xml:space="preserve"> FILENAME \p </w:instrText>
    </w:r>
    <w:r>
      <w:rPr>
        <w:snapToGrid w:val="0"/>
        <w:sz w:val="18"/>
      </w:rPr>
      <w:fldChar w:fldCharType="separate"/>
    </w:r>
    <w:r w:rsidR="00E506C7">
      <w:rPr>
        <w:noProof/>
        <w:snapToGrid w:val="0"/>
        <w:sz w:val="18"/>
      </w:rPr>
      <w:t>https://ooeg.info/dokumente/Lists/KH_Tumorzentrum_Extern/Leitlinie Urothelkarzinome.docx</w:t>
    </w:r>
    <w:r>
      <w:rPr>
        <w:snapToGrid w:val="0"/>
        <w:sz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C563F" w14:textId="77777777" w:rsidR="00995E5F" w:rsidRDefault="00995E5F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42DECE" w14:textId="77777777" w:rsidR="00995E5F" w:rsidRDefault="00995E5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B75169" w14:textId="77777777" w:rsidR="00995E5F" w:rsidRDefault="00995E5F">
      <w:r>
        <w:separator/>
      </w:r>
    </w:p>
    <w:p w14:paraId="3FBADB92" w14:textId="77777777" w:rsidR="00995E5F" w:rsidRDefault="00995E5F"/>
    <w:p w14:paraId="7E86533E" w14:textId="77777777" w:rsidR="00995E5F" w:rsidRDefault="00995E5F"/>
  </w:footnote>
  <w:footnote w:type="continuationSeparator" w:id="0">
    <w:p w14:paraId="2E105FF1" w14:textId="77777777" w:rsidR="00995E5F" w:rsidRDefault="00995E5F">
      <w:r>
        <w:continuationSeparator/>
      </w:r>
    </w:p>
    <w:p w14:paraId="453D7E37" w14:textId="77777777" w:rsidR="00995E5F" w:rsidRDefault="00995E5F"/>
    <w:p w14:paraId="631FD068" w14:textId="77777777" w:rsidR="00995E5F" w:rsidRDefault="00995E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67C991" w14:textId="76B3B388" w:rsidR="00995E5F" w:rsidRDefault="00995E5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E506C7">
      <w:rPr>
        <w:rStyle w:val="Seitenzahl"/>
        <w:noProof/>
      </w:rPr>
      <w:t>23</w:t>
    </w:r>
    <w:r>
      <w:rPr>
        <w:rStyle w:val="Seitenzahl"/>
      </w:rPr>
      <w:fldChar w:fldCharType="end"/>
    </w:r>
  </w:p>
  <w:p w14:paraId="5FAC9578" w14:textId="77777777" w:rsidR="00995E5F" w:rsidRDefault="00995E5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10348" w:type="dxa"/>
      <w:tblInd w:w="-567" w:type="dxa"/>
      <w:tblBorders>
        <w:top w:val="none" w:sz="0" w:space="0" w:color="auto"/>
        <w:left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87"/>
      <w:gridCol w:w="3118"/>
      <w:gridCol w:w="3543"/>
    </w:tblGrid>
    <w:tr w:rsidR="00995E5F" w14:paraId="3EE90E00" w14:textId="77777777" w:rsidTr="007E3A58">
      <w:tc>
        <w:tcPr>
          <w:tcW w:w="3687" w:type="dxa"/>
        </w:tcPr>
        <w:p w14:paraId="3C51336B" w14:textId="77777777" w:rsidR="00995E5F" w:rsidRDefault="00995E5F" w:rsidP="00155D10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ind w:left="-74" w:right="357"/>
            <w:jc w:val="left"/>
          </w:pPr>
          <w:r>
            <w:rPr>
              <w:noProof/>
              <w:lang w:eastAsia="de-AT"/>
            </w:rPr>
            <w:drawing>
              <wp:inline distT="0" distB="0" distL="0" distR="0" wp14:anchorId="41813CA0" wp14:editId="15FFA55D">
                <wp:extent cx="1080760" cy="469557"/>
                <wp:effectExtent l="0" t="0" r="5715" b="6985"/>
                <wp:docPr id="205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312" b="12928"/>
                        <a:stretch/>
                      </pic:blipFill>
                      <pic:spPr bwMode="auto">
                        <a:xfrm>
                          <a:off x="0" y="0"/>
                          <a:ext cx="1106179" cy="4806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122E704F" w14:textId="77777777" w:rsidR="00995E5F" w:rsidRDefault="00995E5F" w:rsidP="00155D10">
          <w:pPr>
            <w:tabs>
              <w:tab w:val="center" w:pos="4536"/>
              <w:tab w:val="right" w:pos="9072"/>
            </w:tabs>
            <w:spacing w:line="240" w:lineRule="auto"/>
            <w:rPr>
              <w:rFonts w:cs="Arial"/>
              <w:b/>
              <w:sz w:val="18"/>
              <w:szCs w:val="18"/>
              <w:lang w:val="de-DE" w:eastAsia="ar-SA"/>
            </w:rPr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Gültigkeitsbereich:</w:t>
          </w:r>
        </w:p>
        <w:p w14:paraId="1A973169" w14:textId="77777777" w:rsidR="00995E5F" w:rsidRDefault="00995E5F" w:rsidP="00155D10">
          <w:pPr>
            <w:tabs>
              <w:tab w:val="center" w:pos="4536"/>
              <w:tab w:val="right" w:pos="9072"/>
            </w:tabs>
            <w:spacing w:line="240" w:lineRule="auto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Tumorzentrum Oberösterreich</w:t>
          </w:r>
        </w:p>
      </w:tc>
      <w:tc>
        <w:tcPr>
          <w:tcW w:w="3543" w:type="dxa"/>
          <w:vAlign w:val="center"/>
        </w:tcPr>
        <w:p w14:paraId="354F5127" w14:textId="77777777" w:rsidR="00995E5F" w:rsidRDefault="00995E5F" w:rsidP="00155D10">
          <w:pPr>
            <w:pStyle w:val="Kopfzeile"/>
            <w:tabs>
              <w:tab w:val="clear" w:pos="4536"/>
              <w:tab w:val="clear" w:pos="9072"/>
              <w:tab w:val="left" w:pos="7537"/>
            </w:tabs>
            <w:spacing w:line="240" w:lineRule="auto"/>
            <w:jc w:val="right"/>
          </w:pPr>
          <w:r>
            <w:rPr>
              <w:rFonts w:cs="Arial"/>
              <w:b/>
              <w:sz w:val="18"/>
              <w:szCs w:val="18"/>
              <w:lang w:val="de-DE" w:eastAsia="ar-SA"/>
            </w:rPr>
            <w:t>Leitlinie</w:t>
          </w:r>
          <w:r w:rsidRPr="008544D2">
            <w:rPr>
              <w:rFonts w:cs="Arial"/>
              <w:b/>
              <w:sz w:val="18"/>
              <w:szCs w:val="18"/>
              <w:lang w:val="de-DE" w:eastAsia="ar-SA"/>
            </w:rPr>
            <w:br/>
          </w:r>
          <w:sdt>
            <w:sdtPr>
              <w:rPr>
                <w:rFonts w:cs="Arial"/>
                <w:sz w:val="18"/>
                <w:szCs w:val="18"/>
                <w:lang w:val="de-DE" w:eastAsia="ar-SA"/>
              </w:rPr>
              <w:alias w:val="Titel"/>
              <w:tag w:val=""/>
              <w:id w:val="-421801756"/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rPr>
                  <w:rFonts w:cs="Arial"/>
                  <w:sz w:val="18"/>
                  <w:szCs w:val="18"/>
                  <w:lang w:val="de-DE" w:eastAsia="ar-SA"/>
                </w:rPr>
                <w:t>Urothelkarzinome</w:t>
              </w:r>
            </w:sdtContent>
          </w:sdt>
        </w:p>
      </w:tc>
    </w:tr>
  </w:tbl>
  <w:p w14:paraId="0DCADEC2" w14:textId="77777777" w:rsidR="00995E5F" w:rsidRDefault="00995E5F" w:rsidP="00F74762">
    <w:pPr>
      <w:pStyle w:val="Kopfzeile"/>
      <w:tabs>
        <w:tab w:val="clear" w:pos="4536"/>
        <w:tab w:val="clear" w:pos="9072"/>
        <w:tab w:val="left" w:pos="7537"/>
      </w:tabs>
      <w:spacing w:line="240" w:lineRule="auto"/>
      <w:ind w:right="357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6C4C74" w14:textId="27DCB4AD" w:rsidR="00995E5F" w:rsidRDefault="00995E5F">
    <w:pPr>
      <w:pStyle w:val="Kopfzeile"/>
      <w:jc w:val="right"/>
    </w:pPr>
    <w:r>
      <w:rPr>
        <w:noProof/>
        <w:sz w:val="20"/>
        <w:lang w:eastAsia="de-AT"/>
      </w:rPr>
      <w:drawing>
        <wp:anchor distT="0" distB="0" distL="114300" distR="114300" simplePos="0" relativeHeight="251656192" behindDoc="0" locked="0" layoutInCell="1" allowOverlap="1" wp14:anchorId="0B778F18" wp14:editId="04B948F0">
          <wp:simplePos x="0" y="0"/>
          <wp:positionH relativeFrom="column">
            <wp:posOffset>-48895</wp:posOffset>
          </wp:positionH>
          <wp:positionV relativeFrom="paragraph">
            <wp:posOffset>-14605</wp:posOffset>
          </wp:positionV>
          <wp:extent cx="1010920" cy="310515"/>
          <wp:effectExtent l="0" t="0" r="0" b="0"/>
          <wp:wrapSquare wrapText="bothSides"/>
          <wp:docPr id="5" name="Bild 1" descr="Logo Qualitaetsmanagement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Qualitaetsmanagement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920" cy="310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Seitenzahl"/>
        <w:sz w:val="18"/>
      </w:rPr>
      <w:t xml:space="preserve">Seite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PAGE  </w:instrText>
    </w:r>
    <w:r>
      <w:rPr>
        <w:rStyle w:val="Seitenzahl"/>
        <w:sz w:val="18"/>
      </w:rPr>
      <w:fldChar w:fldCharType="separate"/>
    </w:r>
    <w:r w:rsidR="00E506C7">
      <w:rPr>
        <w:rStyle w:val="Seitenzahl"/>
        <w:noProof/>
        <w:sz w:val="18"/>
      </w:rPr>
      <w:t>23</w:t>
    </w:r>
    <w:r>
      <w:rPr>
        <w:rStyle w:val="Seitenzahl"/>
        <w:sz w:val="18"/>
      </w:rPr>
      <w:fldChar w:fldCharType="end"/>
    </w:r>
    <w:r>
      <w:rPr>
        <w:rStyle w:val="Seitenzahl"/>
        <w:sz w:val="18"/>
      </w:rPr>
      <w:t xml:space="preserve"> von </w:t>
    </w:r>
    <w:r>
      <w:rPr>
        <w:rStyle w:val="Seitenzahl"/>
        <w:sz w:val="18"/>
      </w:rPr>
      <w:fldChar w:fldCharType="begin"/>
    </w:r>
    <w:r>
      <w:rPr>
        <w:rStyle w:val="Seitenzahl"/>
        <w:sz w:val="18"/>
      </w:rPr>
      <w:instrText xml:space="preserve"> NUMPAGES </w:instrText>
    </w:r>
    <w:r>
      <w:rPr>
        <w:rStyle w:val="Seitenzahl"/>
        <w:sz w:val="18"/>
      </w:rPr>
      <w:fldChar w:fldCharType="separate"/>
    </w:r>
    <w:r w:rsidR="00E506C7">
      <w:rPr>
        <w:rStyle w:val="Seitenzahl"/>
        <w:noProof/>
        <w:sz w:val="18"/>
      </w:rPr>
      <w:t>23</w:t>
    </w:r>
    <w:r>
      <w:rPr>
        <w:rStyle w:val="Seitenzahl"/>
        <w:sz w:val="18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8D3A3" w14:textId="77777777" w:rsidR="00995E5F" w:rsidRDefault="00995E5F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2BBD9" w14:textId="77777777" w:rsidR="00995E5F" w:rsidRDefault="00995E5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4555"/>
    <w:multiLevelType w:val="hybridMultilevel"/>
    <w:tmpl w:val="13BEAF4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20872"/>
    <w:multiLevelType w:val="hybridMultilevel"/>
    <w:tmpl w:val="37145CA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34D35"/>
    <w:multiLevelType w:val="multilevel"/>
    <w:tmpl w:val="78606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C0974A5"/>
    <w:multiLevelType w:val="hybridMultilevel"/>
    <w:tmpl w:val="CD1C1F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2863C6"/>
    <w:multiLevelType w:val="hybridMultilevel"/>
    <w:tmpl w:val="BD2E139E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4484F"/>
    <w:multiLevelType w:val="hybridMultilevel"/>
    <w:tmpl w:val="7E029276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172475"/>
    <w:multiLevelType w:val="multilevel"/>
    <w:tmpl w:val="DA4E6842"/>
    <w:lvl w:ilvl="0">
      <w:start w:val="1"/>
      <w:numFmt w:val="decimal"/>
      <w:lvlText w:val="%1."/>
      <w:lvlJc w:val="left"/>
      <w:pPr>
        <w:tabs>
          <w:tab w:val="num" w:pos="1429"/>
        </w:tabs>
        <w:ind w:left="1069" w:hanging="360"/>
      </w:pPr>
      <w:rPr>
        <w:rFonts w:hint="default"/>
      </w:rPr>
    </w:lvl>
    <w:lvl w:ilvl="1">
      <w:start w:val="1"/>
      <w:numFmt w:val="decimal"/>
      <w:pStyle w:val="Formatvorlageberschrift212pt"/>
      <w:lvlText w:val="%1.%2."/>
      <w:lvlJc w:val="left"/>
      <w:pPr>
        <w:tabs>
          <w:tab w:val="num" w:pos="2509"/>
        </w:tabs>
        <w:ind w:left="1501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89"/>
        </w:tabs>
        <w:ind w:left="1933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669"/>
        </w:tabs>
        <w:ind w:left="2437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389"/>
        </w:tabs>
        <w:ind w:left="2941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69"/>
        </w:tabs>
        <w:ind w:left="3445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549"/>
        </w:tabs>
        <w:ind w:left="3949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629"/>
        </w:tabs>
        <w:ind w:left="445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9349"/>
        </w:tabs>
        <w:ind w:left="5029" w:hanging="1440"/>
      </w:pPr>
      <w:rPr>
        <w:rFonts w:hint="default"/>
      </w:rPr>
    </w:lvl>
  </w:abstractNum>
  <w:abstractNum w:abstractNumId="7" w15:restartNumberingAfterBreak="0">
    <w:nsid w:val="170D0AD9"/>
    <w:multiLevelType w:val="multilevel"/>
    <w:tmpl w:val="FB32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00D5582"/>
    <w:multiLevelType w:val="multilevel"/>
    <w:tmpl w:val="CC546C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12963D5"/>
    <w:multiLevelType w:val="multilevel"/>
    <w:tmpl w:val="4F12E35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44A57CB"/>
    <w:multiLevelType w:val="multilevel"/>
    <w:tmpl w:val="BD305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284C2EF5"/>
    <w:multiLevelType w:val="multilevel"/>
    <w:tmpl w:val="496C3D4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D584E02"/>
    <w:multiLevelType w:val="multilevel"/>
    <w:tmpl w:val="DF0451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37CC44D5"/>
    <w:multiLevelType w:val="hybridMultilevel"/>
    <w:tmpl w:val="B44C37A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4F5CE8"/>
    <w:multiLevelType w:val="hybridMultilevel"/>
    <w:tmpl w:val="EF4E167A"/>
    <w:lvl w:ilvl="0" w:tplc="0C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C07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5" w15:restartNumberingAfterBreak="0">
    <w:nsid w:val="3BE916E9"/>
    <w:multiLevelType w:val="hybridMultilevel"/>
    <w:tmpl w:val="54D4E486"/>
    <w:lvl w:ilvl="0" w:tplc="0C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972D2"/>
    <w:multiLevelType w:val="multilevel"/>
    <w:tmpl w:val="644412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3CE14E11"/>
    <w:multiLevelType w:val="hybridMultilevel"/>
    <w:tmpl w:val="443639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203E1F"/>
    <w:multiLevelType w:val="multilevel"/>
    <w:tmpl w:val="9356D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•"/>
      <w:lvlJc w:val="left"/>
      <w:pPr>
        <w:ind w:left="1510" w:hanging="430"/>
      </w:pPr>
      <w:rPr>
        <w:rFonts w:ascii="Calibri" w:eastAsia="Times New Roman" w:hAnsi="Calibri" w:cs="Calibri"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B90F66"/>
    <w:multiLevelType w:val="hybridMultilevel"/>
    <w:tmpl w:val="DBFAC3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AF1D08"/>
    <w:multiLevelType w:val="hybridMultilevel"/>
    <w:tmpl w:val="E4486478"/>
    <w:lvl w:ilvl="0" w:tplc="0C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4DEC212C"/>
    <w:multiLevelType w:val="multilevel"/>
    <w:tmpl w:val="BDEED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D6B134F"/>
    <w:multiLevelType w:val="multilevel"/>
    <w:tmpl w:val="EA3ECDD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F1D1FCC"/>
    <w:multiLevelType w:val="multilevel"/>
    <w:tmpl w:val="F0F44D2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  <w:b w:val="0"/>
        <w:i w:val="0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1CB7412"/>
    <w:multiLevelType w:val="multilevel"/>
    <w:tmpl w:val="67FA4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30338B8"/>
    <w:multiLevelType w:val="hybridMultilevel"/>
    <w:tmpl w:val="6A92052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3893973"/>
    <w:multiLevelType w:val="multilevel"/>
    <w:tmpl w:val="CC546C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BF567FF"/>
    <w:multiLevelType w:val="hybridMultilevel"/>
    <w:tmpl w:val="C5E09A44"/>
    <w:lvl w:ilvl="0" w:tplc="0C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DFD49C1"/>
    <w:multiLevelType w:val="hybridMultilevel"/>
    <w:tmpl w:val="560A211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113AB3"/>
    <w:multiLevelType w:val="hybridMultilevel"/>
    <w:tmpl w:val="522611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916FAC"/>
    <w:multiLevelType w:val="hybridMultilevel"/>
    <w:tmpl w:val="D6DC732A"/>
    <w:lvl w:ilvl="0" w:tplc="04070005">
      <w:start w:val="1"/>
      <w:numFmt w:val="bullet"/>
      <w:lvlText w:val=""/>
      <w:lvlJc w:val="left"/>
      <w:pPr>
        <w:ind w:left="1003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3"/>
  </w:num>
  <w:num w:numId="3">
    <w:abstractNumId w:val="30"/>
  </w:num>
  <w:num w:numId="4">
    <w:abstractNumId w:val="28"/>
  </w:num>
  <w:num w:numId="5">
    <w:abstractNumId w:val="4"/>
  </w:num>
  <w:num w:numId="6">
    <w:abstractNumId w:val="12"/>
  </w:num>
  <w:num w:numId="7">
    <w:abstractNumId w:val="25"/>
  </w:num>
  <w:num w:numId="8">
    <w:abstractNumId w:val="5"/>
  </w:num>
  <w:num w:numId="9">
    <w:abstractNumId w:val="13"/>
  </w:num>
  <w:num w:numId="10">
    <w:abstractNumId w:val="15"/>
  </w:num>
  <w:num w:numId="11">
    <w:abstractNumId w:val="18"/>
  </w:num>
  <w:num w:numId="12">
    <w:abstractNumId w:val="8"/>
  </w:num>
  <w:num w:numId="13">
    <w:abstractNumId w:val="7"/>
  </w:num>
  <w:num w:numId="14">
    <w:abstractNumId w:val="23"/>
  </w:num>
  <w:num w:numId="15">
    <w:abstractNumId w:val="23"/>
  </w:num>
  <w:num w:numId="16">
    <w:abstractNumId w:val="19"/>
  </w:num>
  <w:num w:numId="17">
    <w:abstractNumId w:val="23"/>
  </w:num>
  <w:num w:numId="18">
    <w:abstractNumId w:val="0"/>
  </w:num>
  <w:num w:numId="19">
    <w:abstractNumId w:val="23"/>
  </w:num>
  <w:num w:numId="20">
    <w:abstractNumId w:val="9"/>
  </w:num>
  <w:num w:numId="21">
    <w:abstractNumId w:val="16"/>
  </w:num>
  <w:num w:numId="22">
    <w:abstractNumId w:val="17"/>
  </w:num>
  <w:num w:numId="23">
    <w:abstractNumId w:val="3"/>
  </w:num>
  <w:num w:numId="24">
    <w:abstractNumId w:val="23"/>
  </w:num>
  <w:num w:numId="25">
    <w:abstractNumId w:val="23"/>
  </w:num>
  <w:num w:numId="26">
    <w:abstractNumId w:val="23"/>
  </w:num>
  <w:num w:numId="27">
    <w:abstractNumId w:val="14"/>
  </w:num>
  <w:num w:numId="28">
    <w:abstractNumId w:val="20"/>
  </w:num>
  <w:num w:numId="29">
    <w:abstractNumId w:val="23"/>
  </w:num>
  <w:num w:numId="30">
    <w:abstractNumId w:val="23"/>
  </w:num>
  <w:num w:numId="31">
    <w:abstractNumId w:val="29"/>
  </w:num>
  <w:num w:numId="32">
    <w:abstractNumId w:val="23"/>
  </w:num>
  <w:num w:numId="33">
    <w:abstractNumId w:val="23"/>
  </w:num>
  <w:num w:numId="34">
    <w:abstractNumId w:val="10"/>
  </w:num>
  <w:num w:numId="35">
    <w:abstractNumId w:val="21"/>
  </w:num>
  <w:num w:numId="36">
    <w:abstractNumId w:val="11"/>
  </w:num>
  <w:num w:numId="37">
    <w:abstractNumId w:val="26"/>
  </w:num>
  <w:num w:numId="38">
    <w:abstractNumId w:val="24"/>
  </w:num>
  <w:num w:numId="39">
    <w:abstractNumId w:val="2"/>
  </w:num>
  <w:num w:numId="40">
    <w:abstractNumId w:val="1"/>
  </w:num>
  <w:num w:numId="41">
    <w:abstractNumId w:val="23"/>
  </w:num>
  <w:num w:numId="42">
    <w:abstractNumId w:val="22"/>
  </w:num>
  <w:num w:numId="43">
    <w:abstractNumId w:val="23"/>
  </w:num>
  <w:num w:numId="44">
    <w:abstractNumId w:val="2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hideSpellingErrors/>
  <w:hideGrammaticalErrors/>
  <w:activeWritingStyle w:appName="MSWord" w:lang="de-A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fr-FR" w:vendorID="64" w:dllVersion="6" w:nlCheck="1" w:checkStyle="0"/>
  <w:activeWritingStyle w:appName="MSWord" w:lang="de-AT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de-A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de-DE" w:vendorID="64" w:dllVersion="131078" w:nlCheck="1" w:checkStyle="0"/>
  <w:activeWritingStyle w:appName="MSWord" w:lang="fr-FR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3B47"/>
    <w:rsid w:val="0000084C"/>
    <w:rsid w:val="00000DC0"/>
    <w:rsid w:val="000046F3"/>
    <w:rsid w:val="0000675D"/>
    <w:rsid w:val="00007A0D"/>
    <w:rsid w:val="0002186C"/>
    <w:rsid w:val="000250A1"/>
    <w:rsid w:val="00026E16"/>
    <w:rsid w:val="00030D42"/>
    <w:rsid w:val="00045ABC"/>
    <w:rsid w:val="000657C6"/>
    <w:rsid w:val="000660ED"/>
    <w:rsid w:val="000728B1"/>
    <w:rsid w:val="00090105"/>
    <w:rsid w:val="00092365"/>
    <w:rsid w:val="0009476C"/>
    <w:rsid w:val="000A2694"/>
    <w:rsid w:val="000A309C"/>
    <w:rsid w:val="000A4AF2"/>
    <w:rsid w:val="000A7D28"/>
    <w:rsid w:val="000A7FCA"/>
    <w:rsid w:val="000C1C85"/>
    <w:rsid w:val="000D5C01"/>
    <w:rsid w:val="000E0A0E"/>
    <w:rsid w:val="000E3EFA"/>
    <w:rsid w:val="00115BB4"/>
    <w:rsid w:val="001212D5"/>
    <w:rsid w:val="001230AB"/>
    <w:rsid w:val="00127F85"/>
    <w:rsid w:val="00137388"/>
    <w:rsid w:val="0013753C"/>
    <w:rsid w:val="001411B6"/>
    <w:rsid w:val="001448E2"/>
    <w:rsid w:val="00147E4C"/>
    <w:rsid w:val="00152F3E"/>
    <w:rsid w:val="00155D10"/>
    <w:rsid w:val="00170FFF"/>
    <w:rsid w:val="00183CD1"/>
    <w:rsid w:val="001876E7"/>
    <w:rsid w:val="00193CEF"/>
    <w:rsid w:val="00195521"/>
    <w:rsid w:val="001A336E"/>
    <w:rsid w:val="001B222A"/>
    <w:rsid w:val="001B435B"/>
    <w:rsid w:val="001B6633"/>
    <w:rsid w:val="001C0BCD"/>
    <w:rsid w:val="001C26D1"/>
    <w:rsid w:val="001D11C7"/>
    <w:rsid w:val="001D34A4"/>
    <w:rsid w:val="001D37B7"/>
    <w:rsid w:val="001E7933"/>
    <w:rsid w:val="001F0136"/>
    <w:rsid w:val="001F2BEC"/>
    <w:rsid w:val="002047C9"/>
    <w:rsid w:val="00217C51"/>
    <w:rsid w:val="002201ED"/>
    <w:rsid w:val="002271FC"/>
    <w:rsid w:val="00230C08"/>
    <w:rsid w:val="00250E53"/>
    <w:rsid w:val="00261CC8"/>
    <w:rsid w:val="00270303"/>
    <w:rsid w:val="002758C3"/>
    <w:rsid w:val="002848B0"/>
    <w:rsid w:val="00287FD5"/>
    <w:rsid w:val="00292692"/>
    <w:rsid w:val="00297EB0"/>
    <w:rsid w:val="002A2023"/>
    <w:rsid w:val="002E4DD8"/>
    <w:rsid w:val="002E7743"/>
    <w:rsid w:val="002F296D"/>
    <w:rsid w:val="002F4C7D"/>
    <w:rsid w:val="003050D6"/>
    <w:rsid w:val="00313B47"/>
    <w:rsid w:val="00327D55"/>
    <w:rsid w:val="00327FCC"/>
    <w:rsid w:val="00330AFE"/>
    <w:rsid w:val="00332A40"/>
    <w:rsid w:val="00342146"/>
    <w:rsid w:val="003474D9"/>
    <w:rsid w:val="003532C1"/>
    <w:rsid w:val="00361E09"/>
    <w:rsid w:val="0037040B"/>
    <w:rsid w:val="00370DE1"/>
    <w:rsid w:val="00372B4A"/>
    <w:rsid w:val="00384979"/>
    <w:rsid w:val="00390F60"/>
    <w:rsid w:val="00396FE2"/>
    <w:rsid w:val="003A70E3"/>
    <w:rsid w:val="003B5DF6"/>
    <w:rsid w:val="003B7F5E"/>
    <w:rsid w:val="003C182E"/>
    <w:rsid w:val="003C4308"/>
    <w:rsid w:val="003C6310"/>
    <w:rsid w:val="003C6610"/>
    <w:rsid w:val="003D245A"/>
    <w:rsid w:val="003D65D1"/>
    <w:rsid w:val="003F6954"/>
    <w:rsid w:val="00402C00"/>
    <w:rsid w:val="00416926"/>
    <w:rsid w:val="004252AA"/>
    <w:rsid w:val="00450568"/>
    <w:rsid w:val="00452B0F"/>
    <w:rsid w:val="0045594E"/>
    <w:rsid w:val="0047045A"/>
    <w:rsid w:val="00470F84"/>
    <w:rsid w:val="00480033"/>
    <w:rsid w:val="00486C3A"/>
    <w:rsid w:val="00491093"/>
    <w:rsid w:val="0049768A"/>
    <w:rsid w:val="004A6499"/>
    <w:rsid w:val="004A6D00"/>
    <w:rsid w:val="004D2BA0"/>
    <w:rsid w:val="004D5CA7"/>
    <w:rsid w:val="004E1BC2"/>
    <w:rsid w:val="004E4069"/>
    <w:rsid w:val="004F0D6D"/>
    <w:rsid w:val="004F5E04"/>
    <w:rsid w:val="00501A3A"/>
    <w:rsid w:val="005163F4"/>
    <w:rsid w:val="00516467"/>
    <w:rsid w:val="00522FFB"/>
    <w:rsid w:val="00524A45"/>
    <w:rsid w:val="00534643"/>
    <w:rsid w:val="00536C84"/>
    <w:rsid w:val="00545067"/>
    <w:rsid w:val="00551A3E"/>
    <w:rsid w:val="00566E32"/>
    <w:rsid w:val="005716B3"/>
    <w:rsid w:val="00571EF4"/>
    <w:rsid w:val="005847E4"/>
    <w:rsid w:val="005915C3"/>
    <w:rsid w:val="00592BA2"/>
    <w:rsid w:val="00594EB1"/>
    <w:rsid w:val="005973BD"/>
    <w:rsid w:val="005A3EDD"/>
    <w:rsid w:val="005C2135"/>
    <w:rsid w:val="005C5568"/>
    <w:rsid w:val="005D23B9"/>
    <w:rsid w:val="005D5403"/>
    <w:rsid w:val="005E0058"/>
    <w:rsid w:val="00601C83"/>
    <w:rsid w:val="0062318C"/>
    <w:rsid w:val="00631F01"/>
    <w:rsid w:val="00631FCB"/>
    <w:rsid w:val="00632D4B"/>
    <w:rsid w:val="006460D7"/>
    <w:rsid w:val="006676BC"/>
    <w:rsid w:val="00667CC3"/>
    <w:rsid w:val="00670B44"/>
    <w:rsid w:val="0067150E"/>
    <w:rsid w:val="00671A8B"/>
    <w:rsid w:val="00684F0F"/>
    <w:rsid w:val="006A0570"/>
    <w:rsid w:val="006A5DF9"/>
    <w:rsid w:val="006B3CC6"/>
    <w:rsid w:val="006B5A8C"/>
    <w:rsid w:val="006B65FD"/>
    <w:rsid w:val="006C3BD4"/>
    <w:rsid w:val="006C5EB4"/>
    <w:rsid w:val="006D4DAC"/>
    <w:rsid w:val="006D6C87"/>
    <w:rsid w:val="006F70FB"/>
    <w:rsid w:val="00701184"/>
    <w:rsid w:val="007070A2"/>
    <w:rsid w:val="007132F1"/>
    <w:rsid w:val="007153C6"/>
    <w:rsid w:val="007172A6"/>
    <w:rsid w:val="00733408"/>
    <w:rsid w:val="00734878"/>
    <w:rsid w:val="00734CE0"/>
    <w:rsid w:val="0074310F"/>
    <w:rsid w:val="007450F9"/>
    <w:rsid w:val="007473D9"/>
    <w:rsid w:val="00755FA3"/>
    <w:rsid w:val="00783EA4"/>
    <w:rsid w:val="00784585"/>
    <w:rsid w:val="00793157"/>
    <w:rsid w:val="00794700"/>
    <w:rsid w:val="007B1972"/>
    <w:rsid w:val="007B4721"/>
    <w:rsid w:val="007B73D8"/>
    <w:rsid w:val="007C18C9"/>
    <w:rsid w:val="007D0848"/>
    <w:rsid w:val="007D30DE"/>
    <w:rsid w:val="007E34B9"/>
    <w:rsid w:val="007E3A58"/>
    <w:rsid w:val="007F0A54"/>
    <w:rsid w:val="007F3064"/>
    <w:rsid w:val="00800B21"/>
    <w:rsid w:val="0080777F"/>
    <w:rsid w:val="00822E59"/>
    <w:rsid w:val="00836EC1"/>
    <w:rsid w:val="00837FDE"/>
    <w:rsid w:val="008456E6"/>
    <w:rsid w:val="00851C51"/>
    <w:rsid w:val="008544D2"/>
    <w:rsid w:val="008553A5"/>
    <w:rsid w:val="00862471"/>
    <w:rsid w:val="00864E4B"/>
    <w:rsid w:val="00875503"/>
    <w:rsid w:val="008772E0"/>
    <w:rsid w:val="008775DC"/>
    <w:rsid w:val="00880B3B"/>
    <w:rsid w:val="0088307A"/>
    <w:rsid w:val="00896154"/>
    <w:rsid w:val="00897F82"/>
    <w:rsid w:val="008A1E23"/>
    <w:rsid w:val="008A3694"/>
    <w:rsid w:val="008A7324"/>
    <w:rsid w:val="008B0942"/>
    <w:rsid w:val="008B2595"/>
    <w:rsid w:val="008B2917"/>
    <w:rsid w:val="008B69CF"/>
    <w:rsid w:val="008C48D2"/>
    <w:rsid w:val="008D1390"/>
    <w:rsid w:val="008E2288"/>
    <w:rsid w:val="008E2521"/>
    <w:rsid w:val="008E459C"/>
    <w:rsid w:val="008F3AEF"/>
    <w:rsid w:val="008F3C62"/>
    <w:rsid w:val="008F4D5E"/>
    <w:rsid w:val="00900461"/>
    <w:rsid w:val="00913D1D"/>
    <w:rsid w:val="009229DF"/>
    <w:rsid w:val="00932ADE"/>
    <w:rsid w:val="00934CFE"/>
    <w:rsid w:val="0095092F"/>
    <w:rsid w:val="00951BE2"/>
    <w:rsid w:val="009530AC"/>
    <w:rsid w:val="0096742E"/>
    <w:rsid w:val="0097046C"/>
    <w:rsid w:val="00971105"/>
    <w:rsid w:val="00975B45"/>
    <w:rsid w:val="0099254E"/>
    <w:rsid w:val="009952D0"/>
    <w:rsid w:val="00995E5F"/>
    <w:rsid w:val="00996D15"/>
    <w:rsid w:val="009A01D6"/>
    <w:rsid w:val="009A42E1"/>
    <w:rsid w:val="009A56A9"/>
    <w:rsid w:val="009A6678"/>
    <w:rsid w:val="009C1F85"/>
    <w:rsid w:val="009C39DC"/>
    <w:rsid w:val="009D6795"/>
    <w:rsid w:val="009F46C3"/>
    <w:rsid w:val="00A06BB0"/>
    <w:rsid w:val="00A24E96"/>
    <w:rsid w:val="00A34AB1"/>
    <w:rsid w:val="00A54338"/>
    <w:rsid w:val="00A55FD5"/>
    <w:rsid w:val="00A62C37"/>
    <w:rsid w:val="00A6435E"/>
    <w:rsid w:val="00A76551"/>
    <w:rsid w:val="00A90E2A"/>
    <w:rsid w:val="00A96DE0"/>
    <w:rsid w:val="00AA0D47"/>
    <w:rsid w:val="00AA1DE3"/>
    <w:rsid w:val="00AA5041"/>
    <w:rsid w:val="00AA7B86"/>
    <w:rsid w:val="00AB010D"/>
    <w:rsid w:val="00AB20C4"/>
    <w:rsid w:val="00AB407E"/>
    <w:rsid w:val="00AC7335"/>
    <w:rsid w:val="00AD1B8D"/>
    <w:rsid w:val="00AD45F3"/>
    <w:rsid w:val="00AD5ECF"/>
    <w:rsid w:val="00AF1596"/>
    <w:rsid w:val="00B00C98"/>
    <w:rsid w:val="00B44259"/>
    <w:rsid w:val="00B558AF"/>
    <w:rsid w:val="00B63247"/>
    <w:rsid w:val="00B6342E"/>
    <w:rsid w:val="00B74BA6"/>
    <w:rsid w:val="00B76073"/>
    <w:rsid w:val="00B76C7B"/>
    <w:rsid w:val="00B80CD1"/>
    <w:rsid w:val="00B865E1"/>
    <w:rsid w:val="00B96F18"/>
    <w:rsid w:val="00BA5D35"/>
    <w:rsid w:val="00BA617B"/>
    <w:rsid w:val="00BA6342"/>
    <w:rsid w:val="00BA6854"/>
    <w:rsid w:val="00BB0871"/>
    <w:rsid w:val="00BB2674"/>
    <w:rsid w:val="00BB2D1D"/>
    <w:rsid w:val="00BD259B"/>
    <w:rsid w:val="00BD2FE2"/>
    <w:rsid w:val="00BD5515"/>
    <w:rsid w:val="00C02676"/>
    <w:rsid w:val="00C12E87"/>
    <w:rsid w:val="00C1459C"/>
    <w:rsid w:val="00C206CC"/>
    <w:rsid w:val="00C207FC"/>
    <w:rsid w:val="00C25D53"/>
    <w:rsid w:val="00C26F7E"/>
    <w:rsid w:val="00C43598"/>
    <w:rsid w:val="00C4546E"/>
    <w:rsid w:val="00C45D4E"/>
    <w:rsid w:val="00C46AF6"/>
    <w:rsid w:val="00C47A83"/>
    <w:rsid w:val="00C529CA"/>
    <w:rsid w:val="00C56CEE"/>
    <w:rsid w:val="00C709F4"/>
    <w:rsid w:val="00C758E7"/>
    <w:rsid w:val="00C80423"/>
    <w:rsid w:val="00C81BA8"/>
    <w:rsid w:val="00C86F05"/>
    <w:rsid w:val="00C90FB9"/>
    <w:rsid w:val="00CA21EC"/>
    <w:rsid w:val="00CA5727"/>
    <w:rsid w:val="00CA5AAA"/>
    <w:rsid w:val="00CA75DF"/>
    <w:rsid w:val="00CD38F4"/>
    <w:rsid w:val="00CD5D8C"/>
    <w:rsid w:val="00CD6389"/>
    <w:rsid w:val="00CE09EE"/>
    <w:rsid w:val="00CE59DE"/>
    <w:rsid w:val="00CF0EFD"/>
    <w:rsid w:val="00CF3031"/>
    <w:rsid w:val="00D001DC"/>
    <w:rsid w:val="00D02334"/>
    <w:rsid w:val="00D03B7B"/>
    <w:rsid w:val="00D04FEC"/>
    <w:rsid w:val="00D3712A"/>
    <w:rsid w:val="00D40055"/>
    <w:rsid w:val="00D55214"/>
    <w:rsid w:val="00D570ED"/>
    <w:rsid w:val="00D57F20"/>
    <w:rsid w:val="00D60E5E"/>
    <w:rsid w:val="00D610A7"/>
    <w:rsid w:val="00D777C4"/>
    <w:rsid w:val="00D85B76"/>
    <w:rsid w:val="00D923DA"/>
    <w:rsid w:val="00D95C87"/>
    <w:rsid w:val="00D960A9"/>
    <w:rsid w:val="00D96E54"/>
    <w:rsid w:val="00DA784B"/>
    <w:rsid w:val="00DB3EB6"/>
    <w:rsid w:val="00DB5B38"/>
    <w:rsid w:val="00DB67BC"/>
    <w:rsid w:val="00DC3A43"/>
    <w:rsid w:val="00DC65EB"/>
    <w:rsid w:val="00DD7B03"/>
    <w:rsid w:val="00DF62C6"/>
    <w:rsid w:val="00E036CC"/>
    <w:rsid w:val="00E07CDE"/>
    <w:rsid w:val="00E12F9B"/>
    <w:rsid w:val="00E31903"/>
    <w:rsid w:val="00E344D4"/>
    <w:rsid w:val="00E416EC"/>
    <w:rsid w:val="00E41F72"/>
    <w:rsid w:val="00E475D2"/>
    <w:rsid w:val="00E506C7"/>
    <w:rsid w:val="00E55456"/>
    <w:rsid w:val="00E62655"/>
    <w:rsid w:val="00E63272"/>
    <w:rsid w:val="00E651C5"/>
    <w:rsid w:val="00E67988"/>
    <w:rsid w:val="00EA6511"/>
    <w:rsid w:val="00ED1117"/>
    <w:rsid w:val="00ED24ED"/>
    <w:rsid w:val="00ED4C03"/>
    <w:rsid w:val="00EE1ADB"/>
    <w:rsid w:val="00EE31C2"/>
    <w:rsid w:val="00EF0F48"/>
    <w:rsid w:val="00EF1CB0"/>
    <w:rsid w:val="00EF46F8"/>
    <w:rsid w:val="00F06619"/>
    <w:rsid w:val="00F31FAD"/>
    <w:rsid w:val="00F42468"/>
    <w:rsid w:val="00F442FD"/>
    <w:rsid w:val="00F443D5"/>
    <w:rsid w:val="00F54D35"/>
    <w:rsid w:val="00F55814"/>
    <w:rsid w:val="00F55B3C"/>
    <w:rsid w:val="00F70285"/>
    <w:rsid w:val="00F72AC8"/>
    <w:rsid w:val="00F73C57"/>
    <w:rsid w:val="00F74762"/>
    <w:rsid w:val="00F74E28"/>
    <w:rsid w:val="00F81A4F"/>
    <w:rsid w:val="00F87B38"/>
    <w:rsid w:val="00FA0941"/>
    <w:rsid w:val="00FA5241"/>
    <w:rsid w:val="00FA7103"/>
    <w:rsid w:val="00FA7DC8"/>
    <w:rsid w:val="00FD6D58"/>
    <w:rsid w:val="00FE2DE2"/>
    <w:rsid w:val="00FF1C1C"/>
    <w:rsid w:val="00FF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BC5E81"/>
  <w15:docId w15:val="{FABD245F-2844-4FBF-99AE-A0117EC11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544D2"/>
    <w:pPr>
      <w:spacing w:line="360" w:lineRule="auto"/>
      <w:jc w:val="center"/>
    </w:pPr>
    <w:rPr>
      <w:rFonts w:ascii="Arial" w:hAnsi="Arial"/>
      <w:sz w:val="22"/>
      <w:lang w:eastAsia="de-DE"/>
    </w:rPr>
  </w:style>
  <w:style w:type="paragraph" w:styleId="berschrift1">
    <w:name w:val="heading 1"/>
    <w:aliases w:val="Überschrift 1 Leitlinien"/>
    <w:basedOn w:val="Standard"/>
    <w:next w:val="Standard"/>
    <w:qFormat/>
    <w:rsid w:val="007F3064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2F2F2" w:themeFill="background1" w:themeFillShade="F2"/>
      <w:spacing w:before="60" w:after="60" w:line="240" w:lineRule="auto"/>
      <w:jc w:val="left"/>
      <w:outlineLvl w:val="0"/>
    </w:pPr>
    <w:rPr>
      <w:rFonts w:asciiTheme="minorHAnsi" w:hAnsiTheme="minorHAnsi" w:cs="Arial"/>
      <w:b/>
      <w:bCs/>
      <w:kern w:val="32"/>
      <w:szCs w:val="32"/>
    </w:rPr>
  </w:style>
  <w:style w:type="paragraph" w:styleId="berschrift2">
    <w:name w:val="heading 2"/>
    <w:basedOn w:val="Standard"/>
    <w:next w:val="Standard"/>
    <w:qFormat/>
    <w:rsid w:val="00450568"/>
    <w:pPr>
      <w:keepNext/>
      <w:numPr>
        <w:ilvl w:val="1"/>
        <w:numId w:val="2"/>
      </w:numPr>
      <w:spacing w:before="240" w:after="60" w:line="276" w:lineRule="auto"/>
      <w:jc w:val="left"/>
      <w:outlineLvl w:val="1"/>
    </w:pPr>
    <w:rPr>
      <w:rFonts w:cs="Arial"/>
      <w:b/>
      <w:bCs/>
      <w:i/>
      <w:iCs/>
      <w:sz w:val="24"/>
      <w:szCs w:val="24"/>
    </w:rPr>
  </w:style>
  <w:style w:type="paragraph" w:styleId="berschrift3">
    <w:name w:val="heading 3"/>
    <w:basedOn w:val="Standard"/>
    <w:next w:val="Standard"/>
    <w:qFormat/>
    <w:rsid w:val="000250A1"/>
    <w:pPr>
      <w:keepNext/>
      <w:ind w:left="567" w:hanging="567"/>
      <w:jc w:val="left"/>
      <w:outlineLvl w:val="2"/>
    </w:pPr>
    <w:rPr>
      <w:b/>
      <w:bCs/>
    </w:rPr>
  </w:style>
  <w:style w:type="paragraph" w:styleId="berschrift4">
    <w:name w:val="heading 4"/>
    <w:basedOn w:val="Standard"/>
    <w:next w:val="Standard"/>
    <w:qFormat/>
    <w:rsid w:val="001411B6"/>
    <w:pPr>
      <w:keepNext/>
      <w:ind w:right="-142"/>
      <w:jc w:val="left"/>
      <w:outlineLvl w:val="3"/>
    </w:pPr>
    <w:rPr>
      <w:b/>
      <w:bCs/>
      <w:lang w:val="en-GB"/>
    </w:rPr>
  </w:style>
  <w:style w:type="paragraph" w:styleId="berschrift5">
    <w:name w:val="heading 5"/>
    <w:basedOn w:val="Standard"/>
    <w:next w:val="Standard"/>
    <w:qFormat/>
    <w:rsid w:val="003C182E"/>
    <w:pPr>
      <w:keepNext/>
      <w:numPr>
        <w:ilvl w:val="4"/>
        <w:numId w:val="2"/>
      </w:numPr>
      <w:tabs>
        <w:tab w:val="left" w:pos="2338"/>
        <w:tab w:val="left" w:pos="6449"/>
        <w:tab w:val="left" w:pos="9284"/>
      </w:tabs>
      <w:jc w:val="left"/>
      <w:outlineLvl w:val="4"/>
    </w:pPr>
    <w:rPr>
      <w:b/>
      <w:bCs/>
      <w:noProof/>
      <w:sz w:val="26"/>
    </w:rPr>
  </w:style>
  <w:style w:type="paragraph" w:styleId="berschrift6">
    <w:name w:val="heading 6"/>
    <w:basedOn w:val="Standard"/>
    <w:next w:val="Standard"/>
    <w:qFormat/>
    <w:rsid w:val="009952D0"/>
    <w:pPr>
      <w:numPr>
        <w:ilvl w:val="5"/>
        <w:numId w:val="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berschrift7">
    <w:name w:val="heading 7"/>
    <w:basedOn w:val="Standard"/>
    <w:next w:val="Standard"/>
    <w:qFormat/>
    <w:rsid w:val="009952D0"/>
    <w:pPr>
      <w:numPr>
        <w:ilvl w:val="6"/>
        <w:numId w:val="2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rsid w:val="009952D0"/>
    <w:pPr>
      <w:numPr>
        <w:ilvl w:val="7"/>
        <w:numId w:val="2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aliases w:val="Überschrift Leitlinie"/>
    <w:basedOn w:val="Standard"/>
    <w:next w:val="Standard"/>
    <w:qFormat/>
    <w:rsid w:val="00ED24ED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F2F2F2" w:themeFill="background1" w:themeFillShade="F2"/>
      <w:spacing w:before="240" w:after="60"/>
      <w:jc w:val="left"/>
      <w:outlineLvl w:val="8"/>
    </w:pPr>
    <w:rPr>
      <w:rFonts w:asciiTheme="minorHAnsi" w:hAnsiTheme="minorHAnsi"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3C182E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3C182E"/>
  </w:style>
  <w:style w:type="paragraph" w:styleId="Fuzeile">
    <w:name w:val="footer"/>
    <w:basedOn w:val="Standard"/>
    <w:rsid w:val="003C182E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uiPriority w:val="59"/>
    <w:rsid w:val="003C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inzug3">
    <w:name w:val="Body Text Indent 3"/>
    <w:basedOn w:val="Standard"/>
    <w:rsid w:val="00F74E28"/>
    <w:pPr>
      <w:widowControl w:val="0"/>
      <w:spacing w:before="100" w:after="100"/>
      <w:ind w:left="2410" w:hanging="2410"/>
      <w:jc w:val="both"/>
    </w:pPr>
    <w:rPr>
      <w:bCs/>
      <w:sz w:val="26"/>
      <w:lang w:val="de-DE"/>
    </w:rPr>
  </w:style>
  <w:style w:type="paragraph" w:customStyle="1" w:styleId="Formatvorlageberschrift212pt">
    <w:name w:val="Formatvorlage Überschrift 2 + 12 pt"/>
    <w:basedOn w:val="Standard"/>
    <w:rsid w:val="00BB2D1D"/>
    <w:pPr>
      <w:numPr>
        <w:ilvl w:val="1"/>
        <w:numId w:val="1"/>
      </w:numPr>
    </w:pPr>
  </w:style>
  <w:style w:type="paragraph" w:styleId="Textkrper-Einzug2">
    <w:name w:val="Body Text Indent 2"/>
    <w:basedOn w:val="Standard"/>
    <w:link w:val="Textkrper-Einzug2Zchn"/>
    <w:rsid w:val="00F74E28"/>
    <w:pPr>
      <w:spacing w:after="120" w:line="480" w:lineRule="auto"/>
      <w:ind w:left="283"/>
    </w:pPr>
  </w:style>
  <w:style w:type="paragraph" w:styleId="Titel">
    <w:name w:val="Title"/>
    <w:basedOn w:val="Standard"/>
    <w:qFormat/>
    <w:rsid w:val="008A7324"/>
    <w:pPr>
      <w:overflowPunct w:val="0"/>
      <w:autoSpaceDE w:val="0"/>
      <w:autoSpaceDN w:val="0"/>
      <w:adjustRightInd w:val="0"/>
      <w:spacing w:line="240" w:lineRule="auto"/>
      <w:textAlignment w:val="baseline"/>
    </w:pPr>
    <w:rPr>
      <w:sz w:val="36"/>
      <w:lang w:val="de-DE"/>
    </w:rPr>
  </w:style>
  <w:style w:type="paragraph" w:styleId="Sprechblasentext">
    <w:name w:val="Balloon Text"/>
    <w:basedOn w:val="Standard"/>
    <w:link w:val="SprechblasentextZchn"/>
    <w:rsid w:val="007845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784585"/>
    <w:rPr>
      <w:rFonts w:ascii="Tahoma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rsid w:val="00F54D35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rsid w:val="00F54D35"/>
    <w:rPr>
      <w:color w:val="800080" w:themeColor="followedHyperlink"/>
      <w:u w:val="single"/>
    </w:rPr>
  </w:style>
  <w:style w:type="character" w:customStyle="1" w:styleId="txtcontentsmall">
    <w:name w:val="txt_content_small"/>
    <w:basedOn w:val="Absatz-Standardschriftart"/>
    <w:rsid w:val="005163F4"/>
  </w:style>
  <w:style w:type="character" w:customStyle="1" w:styleId="Textkrper-Einzug2Zchn">
    <w:name w:val="Textkörper-Einzug 2 Zchn"/>
    <w:basedOn w:val="Absatz-Standardschriftart"/>
    <w:link w:val="Textkrper-Einzug2"/>
    <w:rsid w:val="005C5568"/>
    <w:rPr>
      <w:rFonts w:ascii="Arial" w:hAnsi="Arial"/>
      <w:sz w:val="22"/>
      <w:lang w:eastAsia="de-DE"/>
    </w:rPr>
  </w:style>
  <w:style w:type="table" w:customStyle="1" w:styleId="Tabellenraster1">
    <w:name w:val="Tabellenraster1"/>
    <w:basedOn w:val="NormaleTabelle"/>
    <w:next w:val="Tabellenraster"/>
    <w:rsid w:val="002E7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007A0D"/>
    <w:rPr>
      <w:color w:val="80808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D24ED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  <w:lang w:eastAsia="de-AT"/>
    </w:rPr>
  </w:style>
  <w:style w:type="paragraph" w:styleId="Verzeichnis9">
    <w:name w:val="toc 9"/>
    <w:basedOn w:val="Standard"/>
    <w:next w:val="Standard"/>
    <w:autoRedefine/>
    <w:uiPriority w:val="39"/>
    <w:rsid w:val="007F3064"/>
    <w:pPr>
      <w:spacing w:after="100"/>
      <w:ind w:left="1760"/>
    </w:pPr>
  </w:style>
  <w:style w:type="paragraph" w:styleId="Verzeichnis1">
    <w:name w:val="toc 1"/>
    <w:basedOn w:val="Standard"/>
    <w:next w:val="Standard"/>
    <w:autoRedefine/>
    <w:uiPriority w:val="39"/>
    <w:rsid w:val="00390F60"/>
    <w:pPr>
      <w:tabs>
        <w:tab w:val="left" w:pos="1134"/>
        <w:tab w:val="right" w:leader="dot" w:pos="9372"/>
      </w:tabs>
      <w:spacing w:after="100" w:line="276" w:lineRule="auto"/>
    </w:pPr>
    <w:rPr>
      <w:rFonts w:asciiTheme="minorHAnsi" w:hAnsiTheme="minorHAnsi" w:cstheme="minorHAnsi"/>
      <w:b/>
      <w:noProof/>
    </w:rPr>
  </w:style>
  <w:style w:type="paragraph" w:styleId="Listenabsatz">
    <w:name w:val="List Paragraph"/>
    <w:basedOn w:val="Standard"/>
    <w:uiPriority w:val="34"/>
    <w:qFormat/>
    <w:rsid w:val="00913D1D"/>
    <w:pPr>
      <w:ind w:left="720"/>
      <w:contextualSpacing/>
    </w:pPr>
  </w:style>
  <w:style w:type="paragraph" w:styleId="Verzeichnis2">
    <w:name w:val="toc 2"/>
    <w:basedOn w:val="Standard"/>
    <w:next w:val="Standard"/>
    <w:autoRedefine/>
    <w:uiPriority w:val="39"/>
    <w:rsid w:val="006460D7"/>
    <w:pPr>
      <w:tabs>
        <w:tab w:val="left" w:pos="1134"/>
        <w:tab w:val="right" w:leader="dot" w:pos="9372"/>
      </w:tabs>
      <w:spacing w:after="100" w:line="276" w:lineRule="auto"/>
      <w:ind w:left="142"/>
    </w:pPr>
    <w:rPr>
      <w:rFonts w:asciiTheme="minorHAnsi" w:hAnsiTheme="minorHAnsi" w:cstheme="minorHAnsi"/>
      <w:noProof/>
      <w:szCs w:val="22"/>
    </w:rPr>
  </w:style>
  <w:style w:type="paragraph" w:styleId="Verzeichnis3">
    <w:name w:val="toc 3"/>
    <w:basedOn w:val="Standard"/>
    <w:next w:val="Standard"/>
    <w:autoRedefine/>
    <w:uiPriority w:val="39"/>
    <w:rsid w:val="00390F60"/>
    <w:pPr>
      <w:tabs>
        <w:tab w:val="left" w:pos="1134"/>
        <w:tab w:val="left" w:pos="2069"/>
        <w:tab w:val="right" w:leader="dot" w:pos="9372"/>
      </w:tabs>
      <w:spacing w:after="100" w:line="276" w:lineRule="auto"/>
      <w:ind w:left="1276" w:hanging="992"/>
      <w:jc w:val="left"/>
    </w:pPr>
  </w:style>
  <w:style w:type="paragraph" w:customStyle="1" w:styleId="Default">
    <w:name w:val="Default"/>
    <w:rsid w:val="001212D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val="de-DE" w:eastAsia="en-US"/>
    </w:rPr>
  </w:style>
  <w:style w:type="character" w:customStyle="1" w:styleId="KopfzeileZchn">
    <w:name w:val="Kopfzeile Zchn"/>
    <w:basedOn w:val="Absatz-Standardschriftart"/>
    <w:link w:val="Kopfzeile"/>
    <w:rsid w:val="00155D10"/>
    <w:rPr>
      <w:rFonts w:ascii="Arial" w:hAnsi="Arial"/>
      <w:sz w:val="22"/>
      <w:lang w:eastAsia="de-DE"/>
    </w:rPr>
  </w:style>
  <w:style w:type="paragraph" w:customStyle="1" w:styleId="bodytekstbold">
    <w:name w:val="bodytekst_bold"/>
    <w:basedOn w:val="Standard"/>
    <w:rsid w:val="003F69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tabelbodytekstbold9pt">
    <w:name w:val="tabel_bodytekstbold_9pt"/>
    <w:basedOn w:val="Standard"/>
    <w:rsid w:val="003F69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tabelbodytekst9pt">
    <w:name w:val="tabel_bodytekst_9pt"/>
    <w:basedOn w:val="Standard"/>
    <w:rsid w:val="003F69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bodytekstitalicondertabel">
    <w:name w:val="bodytekst_italic_onder_tabel"/>
    <w:basedOn w:val="Standard"/>
    <w:rsid w:val="003F6954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default0">
    <w:name w:val="default"/>
    <w:basedOn w:val="Standard"/>
    <w:rsid w:val="00416926"/>
    <w:pPr>
      <w:spacing w:before="100" w:beforeAutospacing="1" w:after="100" w:afterAutospacing="1" w:line="240" w:lineRule="auto"/>
      <w:jc w:val="left"/>
    </w:pPr>
    <w:rPr>
      <w:rFonts w:ascii="Times New Roman" w:eastAsiaTheme="minorHAnsi" w:hAnsi="Times New Roman"/>
      <w:sz w:val="24"/>
      <w:szCs w:val="24"/>
      <w:lang w:eastAsia="de-AT"/>
    </w:rPr>
  </w:style>
  <w:style w:type="character" w:customStyle="1" w:styleId="apple-tab-span">
    <w:name w:val="apple-tab-span"/>
    <w:basedOn w:val="Absatz-Standardschriftart"/>
    <w:rsid w:val="00416926"/>
  </w:style>
  <w:style w:type="paragraph" w:customStyle="1" w:styleId="tabelbodytekst9ptbullet">
    <w:name w:val="tabel_bodytekst_9pt_bullet"/>
    <w:basedOn w:val="Standard"/>
    <w:rsid w:val="00BA617B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styleId="StandardWeb">
    <w:name w:val="Normal (Web)"/>
    <w:basedOn w:val="Standard"/>
    <w:uiPriority w:val="99"/>
    <w:semiHidden/>
    <w:unhideWhenUsed/>
    <w:rsid w:val="00E651C5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Kommentarzeichen">
    <w:name w:val="annotation reference"/>
    <w:basedOn w:val="Absatz-Standardschriftart"/>
    <w:semiHidden/>
    <w:unhideWhenUsed/>
    <w:rsid w:val="00C4546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C4546E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C4546E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C4546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4546E"/>
    <w:rPr>
      <w:rFonts w:ascii="Arial" w:hAnsi="Arial"/>
      <w:b/>
      <w:bCs/>
      <w:lang w:eastAsia="de-DE"/>
    </w:rPr>
  </w:style>
  <w:style w:type="character" w:customStyle="1" w:styleId="apple-converted-space">
    <w:name w:val="apple-converted-space"/>
    <w:basedOn w:val="Absatz-Standardschriftart"/>
    <w:rsid w:val="001411B6"/>
  </w:style>
  <w:style w:type="paragraph" w:customStyle="1" w:styleId="tabelbodytekstbold9ptcentreren">
    <w:name w:val="tabel_bodytekstbold_9pt_centreren"/>
    <w:basedOn w:val="Standard"/>
    <w:rsid w:val="001411B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paragraph" w:customStyle="1" w:styleId="tabelbodytekst9ptcentreren">
    <w:name w:val="tabel_bodytekst_9pt_centreren"/>
    <w:basedOn w:val="Standard"/>
    <w:rsid w:val="001411B6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bodytekstitalic">
    <w:name w:val="bodytekstitalic"/>
    <w:basedOn w:val="Absatz-Standardschriftart"/>
    <w:rsid w:val="00F42468"/>
  </w:style>
  <w:style w:type="paragraph" w:customStyle="1" w:styleId="tabelbodytekst9ptletter">
    <w:name w:val="tabel_bodytekst_9pt_letter"/>
    <w:basedOn w:val="Standard"/>
    <w:rsid w:val="00F4246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Liste1">
    <w:name w:val="Liste1"/>
    <w:basedOn w:val="Absatz-Standardschriftart"/>
    <w:rsid w:val="00F42468"/>
  </w:style>
  <w:style w:type="paragraph" w:customStyle="1" w:styleId="tabelbodytekst9ptletter2">
    <w:name w:val="tabel_bodytekst_9pt_letter_2"/>
    <w:basedOn w:val="Standard"/>
    <w:rsid w:val="00F42468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66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5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4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3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9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3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796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http://www.nmibc.net" TargetMode="External"/><Relationship Id="rId26" Type="http://schemas.openxmlformats.org/officeDocument/2006/relationships/image" Target="media/image10.gif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9.gif"/><Relationship Id="rId33" Type="http://schemas.openxmlformats.org/officeDocument/2006/relationships/header" Target="header4.xml"/><Relationship Id="rId38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29" Type="http://schemas.openxmlformats.org/officeDocument/2006/relationships/hyperlink" Target="https://uroweb.org/guideline/non-muscle-invasive-bladder-cancer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8.gif"/><Relationship Id="rId32" Type="http://schemas.openxmlformats.org/officeDocument/2006/relationships/hyperlink" Target="https://www.esmo.org/guidelines/genitourinary-cancers/bladder-cancer" TargetMode="External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gif"/><Relationship Id="rId28" Type="http://schemas.openxmlformats.org/officeDocument/2006/relationships/image" Target="media/image11.emf"/><Relationship Id="rId36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hyperlink" Target="https://www.eortc.be/tools/bladdercalculator/download_disclaimer.htm" TargetMode="External"/><Relationship Id="rId31" Type="http://schemas.openxmlformats.org/officeDocument/2006/relationships/hyperlink" Target="https://uroweb.org/guideline/bladder-cancer-muscle-invasive-and-metastati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hyperlink" Target="https://uroweb.org/guideline/non-muscle-invasive-bladder-cancer/" TargetMode="External"/><Relationship Id="rId27" Type="http://schemas.openxmlformats.org/officeDocument/2006/relationships/customXml" Target="ink/ink1.xml"/><Relationship Id="rId30" Type="http://schemas.openxmlformats.org/officeDocument/2006/relationships/hyperlink" Target="https://uroweb.org/guideline/upper-urinary-tract-urothelial-cell-carcinoma/" TargetMode="External"/><Relationship Id="rId35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051CD9AAA8D4651B2F1E88EC3F372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D90E4C-8C59-41B4-98FC-5B0767FAB110}"/>
      </w:docPartPr>
      <w:docPartBody>
        <w:p w:rsidR="00C9385A" w:rsidRDefault="00741567">
          <w:pPr>
            <w:pStyle w:val="2051CD9AAA8D4651B2F1E88EC3F37254"/>
          </w:pPr>
          <w:r w:rsidRPr="00EC3CFE">
            <w:rPr>
              <w:rStyle w:val="Platzhaltertext"/>
            </w:rPr>
            <w:t>[Titel]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00000001" w:usb1="5000205B" w:usb2="00000020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9385A"/>
    <w:rsid w:val="00020F91"/>
    <w:rsid w:val="000C52C1"/>
    <w:rsid w:val="000F0598"/>
    <w:rsid w:val="0010077F"/>
    <w:rsid w:val="00230A65"/>
    <w:rsid w:val="00275A0B"/>
    <w:rsid w:val="00290F04"/>
    <w:rsid w:val="002E073F"/>
    <w:rsid w:val="003207F8"/>
    <w:rsid w:val="00346FF6"/>
    <w:rsid w:val="00362DB4"/>
    <w:rsid w:val="00392A8C"/>
    <w:rsid w:val="003A13AC"/>
    <w:rsid w:val="003B7C1E"/>
    <w:rsid w:val="00491C06"/>
    <w:rsid w:val="0052016F"/>
    <w:rsid w:val="00653915"/>
    <w:rsid w:val="00741567"/>
    <w:rsid w:val="008C257B"/>
    <w:rsid w:val="00A43907"/>
    <w:rsid w:val="00B71D75"/>
    <w:rsid w:val="00C82961"/>
    <w:rsid w:val="00C9385A"/>
    <w:rsid w:val="00CA3992"/>
    <w:rsid w:val="00DE5BD8"/>
    <w:rsid w:val="00E62305"/>
    <w:rsid w:val="00F21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3207F8"/>
    <w:rPr>
      <w:color w:val="808080"/>
    </w:rPr>
  </w:style>
  <w:style w:type="paragraph" w:customStyle="1" w:styleId="2051CD9AAA8D4651B2F1E88EC3F37254">
    <w:name w:val="2051CD9AAA8D4651B2F1E88EC3F37254"/>
    <w:rsid w:val="003207F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2-08T21:31:52.009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1 0 24575,'0'0'0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Leitlinie" ma:contentTypeID="0x010100702417A06B9047CAB652CC4AA8856879007A6474B24F3947A8AB0E117FB186CABB009255144ACA0D4F4497381DBA8E2574A4" ma:contentTypeVersion="30" ma:contentTypeDescription="" ma:contentTypeScope="" ma:versionID="93786a9fdecbc52c264a6ad3e799c74c">
  <xsd:schema xmlns:xsd="http://www.w3.org/2001/XMLSchema" xmlns:xs="http://www.w3.org/2001/XMLSchema" xmlns:p="http://schemas.microsoft.com/office/2006/metadata/properties" xmlns:ns1="http://schemas.microsoft.com/sharepoint/v3" xmlns:ns2="18c45198-6fc7-4da6-aad9-951c94b71f4f" xmlns:ns3="824990fe-55f0-45e8-a37e-05db7cf8aedc" targetNamespace="http://schemas.microsoft.com/office/2006/metadata/properties" ma:root="true" ma:fieldsID="a374b041833759adcaf5d65c8a356ec9" ns1:_="" ns2:_="" ns3:_="">
    <xsd:import namespace="http://schemas.microsoft.com/sharepoint/v3"/>
    <xsd:import namespace="18c45198-6fc7-4da6-aad9-951c94b71f4f"/>
    <xsd:import namespace="824990fe-55f0-45e8-a37e-05db7cf8aedc"/>
    <xsd:element name="properties">
      <xsd:complexType>
        <xsd:sequence>
          <xsd:element name="documentManagement">
            <xsd:complexType>
              <xsd:all>
                <xsd:element ref="ns1:dfr_actionlink" minOccurs="0"/>
                <xsd:element ref="ns1:dfr_finishedtecapprovers" minOccurs="0"/>
                <xsd:element ref="ns1:dfr_finishedcheckers" minOccurs="0"/>
                <xsd:element ref="ns1:dfr_finishedorgapprovers" minOccurs="0"/>
                <xsd:element ref="ns1:dfr_approvalid" minOccurs="0"/>
                <xsd:element ref="ns1:dfr_archived" minOccurs="0"/>
                <xsd:element ref="ns1:dfr_comments" minOccurs="0"/>
                <xsd:element ref="ns1:dfr_contenttype" minOccurs="0"/>
                <xsd:element ref="ns1:dfr_headernote" minOccurs="0"/>
                <xsd:element ref="ns1:dfr_lastnotification" minOccurs="0"/>
                <xsd:element ref="ns1:dfr_lastrevision" minOccurs="0"/>
                <xsd:element ref="ns1:dfr_nextrevision" minOccurs="0"/>
                <xsd:element ref="ns1:dfr_revision" minOccurs="0"/>
                <xsd:element ref="ns1:dfr_pendingtecapprovers" minOccurs="0"/>
                <xsd:element ref="ns1:dfr_pendingcheckers" minOccurs="0"/>
                <xsd:element ref="ns1:dfr_pendingorgapprovers" minOccurs="0"/>
                <xsd:element ref="ns1:dfr_department" minOccurs="0"/>
                <xsd:element ref="ns1:dfr_prevdepartment" minOccurs="0"/>
                <xsd:element ref="ns1:dfr_taskid" minOccurs="0"/>
                <xsd:element ref="ns1:dfr_taskowner" minOccurs="0"/>
                <xsd:element ref="ns1:dfr_taskinitializer" minOccurs="0"/>
                <xsd:element ref="ns1:dfr_creator" minOccurs="0"/>
                <xsd:element ref="ns1:dfr_defaultcheckers" minOccurs="0"/>
                <xsd:element ref="ns1:dfr_defaultorgapprovers" minOccurs="0"/>
                <xsd:element ref="ns1:dfr_orgunit" minOccurs="0"/>
                <xsd:element ref="ns1:dfr_orgscope" minOccurs="0"/>
                <xsd:element ref="ns1:dfr_taskownerresponsibility" minOccurs="0"/>
                <xsd:element ref="ns1:dfr_publisheddate" minOccurs="0"/>
                <xsd:element ref="ns2:dfr_classification" minOccurs="0"/>
                <xsd:element ref="ns1:dfr_location" minOccurs="0"/>
                <xsd:element ref="ns2:dfr_majorversion" minOccurs="0"/>
                <xsd:element ref="ns2:dfr_nextasknotification" minOccurs="0"/>
                <xsd:element ref="ns1:dfr_inforecipients" minOccurs="0"/>
                <xsd:element ref="ns1:dfr_infodistributionlist" minOccurs="0"/>
                <xsd:element ref="ns3:TaxKeywordTaxHTField" minOccurs="0"/>
                <xsd:element ref="ns3:TaxCatchAll" minOccurs="0"/>
                <xsd:element ref="ns3:TaxCatchAllLabel" minOccurs="0"/>
                <xsd:element ref="ns1:customfield_major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fr_actionlink" ma:index="2" nillable="true" ma:displayName="Aktion" ma:description="" ma:format="Hyperlink" ma:hidden="true" ma:internalName="dfr_actionlink">
      <xsd:simpleType>
        <xsd:restriction base="dms:Unknown"/>
      </xsd:simpleType>
    </xsd:element>
    <xsd:element name="dfr_finishedtecapprovers" ma:index="3" nillable="true" ma:displayName="wurde fachl. freig. durch" ma:description="" ma:hidden="true" ma:list="UserInfo" ma:internalName="dfr_finished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checkers" ma:index="4" nillable="true" ma:displayName="wurde geprüft durch" ma:description="" ma:hidden="true" ma:list="UserInfo" ma:internalName="dfr_finished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finishedorgapprovers" ma:index="5" nillable="true" ma:displayName="wurde org. freig. durch" ma:description="" ma:hidden="true" ma:list="UserInfo" ma:internalName="dfr_finished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approvalid" ma:index="6" nillable="true" ma:displayName="Freigabe ID" ma:description="-" ma:hidden="true" ma:internalName="dfr_approvalid">
      <xsd:simpleType>
        <xsd:restriction base="dms:Text">
          <xsd:maxLength value="512"/>
        </xsd:restriction>
      </xsd:simpleType>
    </xsd:element>
    <xsd:element name="dfr_archived" ma:index="7" nillable="true" ma:displayName="Archiviert" ma:description="" ma:hidden="true" ma:internalName="dfr_archived">
      <xsd:simpleType>
        <xsd:restriction base="dms:Text"/>
      </xsd:simpleType>
    </xsd:element>
    <xsd:element name="dfr_comments" ma:index="8" nillable="true" ma:displayName="Kommentare" ma:description="-" ma:hidden="true" ma:internalName="dfr_comments">
      <xsd:simpleType>
        <xsd:restriction base="dms:Note"/>
      </xsd:simpleType>
    </xsd:element>
    <xsd:element name="dfr_contenttype" ma:index="9" nillable="true" ma:displayName="Inhalt" ma:description="" ma:hidden="true" ma:internalName="dfr_contenttype">
      <xsd:simpleType>
        <xsd:restriction base="dms:Text">
          <xsd:maxLength value="255"/>
        </xsd:restriction>
      </xsd:simpleType>
    </xsd:element>
    <xsd:element name="dfr_headernote" ma:index="10" nillable="true" ma:displayName="Vermerk" ma:description="" ma:format="Dropdown" ma:hidden="true" ma:internalName="dfr_headernote" ma:readOnly="false">
      <xsd:simpleType>
        <xsd:restriction base="dms:Choice">
          <xsd:enumeration value="Kein Vermerk"/>
          <xsd:enumeration value="Freigabe Geschäftsführung"/>
          <xsd:enumeration value="Freigabe KOFÜ"/>
        </xsd:restriction>
      </xsd:simpleType>
    </xsd:element>
    <xsd:element name="dfr_lastnotification" ma:index="11" nillable="true" ma:displayName="Rev. Benachrichtigung" ma:description="Beschreibt, wann die letzte Revisionsbenachrichtigung gesendet wurde. " ma:format="DateTime" ma:hidden="true" ma:internalName="dfr_lastnotification" ma:readOnly="false">
      <xsd:simpleType>
        <xsd:restriction base="dms:DateTime"/>
      </xsd:simpleType>
    </xsd:element>
    <xsd:element name="dfr_lastrevision" ma:index="12" nillable="true" ma:displayName="letzte Revision" ma:description="" ma:format="DateOnly" ma:hidden="true" ma:internalName="dfr_lastrevision">
      <xsd:simpleType>
        <xsd:restriction base="dms:DateTime"/>
      </xsd:simpleType>
    </xsd:element>
    <xsd:element name="dfr_nextrevision" ma:index="13" nillable="true" ma:displayName="nächste Revision" ma:description="" ma:format="DateOnly" ma:hidden="true" ma:internalName="dfr_nextrevision">
      <xsd:simpleType>
        <xsd:restriction base="dms:DateTime"/>
      </xsd:simpleType>
    </xsd:element>
    <xsd:element name="dfr_revision" ma:index="14" nillable="true" ma:displayName="Revision" ma:description="" ma:hidden="true" ma:internalName="dfr_revision" ma:readOnly="false">
      <xsd:simpleType>
        <xsd:restriction base="dms:Text">
          <xsd:maxLength value="255"/>
        </xsd:restriction>
      </xsd:simpleType>
    </xsd:element>
    <xsd:element name="dfr_pendingtecapprovers" ma:index="15" nillable="true" ma:displayName="wird fachl. freig. durch" ma:description="-" ma:hidden="true" ma:list="UserInfo" ma:internalName="dfr_pendingtec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checkers" ma:index="16" nillable="true" ma:displayName="wird geprüft durch" ma:description="" ma:hidden="true" ma:list="UserInfo" ma:internalName="dfr_pending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pendingorgapprovers" ma:index="17" nillable="true" ma:displayName="wird org. freig. durch" ma:description="-" ma:hidden="true" ma:list="UserInfo" ma:internalName="dfr_pending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partment" ma:index="18" nillable="true" ma:displayName="Bereich" ma:default="zu setzen" ma:description="" ma:format="Dropdown" ma:internalName="dfr_department" ma:readOnly="false">
      <xsd:simpleType>
        <xsd:restriction base="dms:Choice">
          <xsd:enumeration value="Brustgesundheitszentrum"/>
          <xsd:enumeration value="CATO"/>
          <xsd:enumeration value="Celsius 37"/>
          <xsd:enumeration value="Forschung"/>
          <xsd:enumeration value="Leitlinien Hämatologie"/>
          <xsd:enumeration value="Leitlinien solide Tumore"/>
          <xsd:enumeration value="Leitlinien sonstige"/>
          <xsd:enumeration value="Organisation"/>
          <xsd:enumeration value="zu setzen"/>
        </xsd:restriction>
      </xsd:simpleType>
    </xsd:element>
    <xsd:element name="dfr_prevdepartment" ma:index="19" nillable="true" ma:displayName="Bereich (vor Archiv)" ma:description="" ma:hidden="true" ma:internalName="dfr_prevdepartment">
      <xsd:simpleType>
        <xsd:restriction base="dms:Text">
          <xsd:maxLength value="255"/>
        </xsd:restriction>
      </xsd:simpleType>
    </xsd:element>
    <xsd:element name="dfr_taskid" ma:index="20" nillable="true" ma:displayName="Aufgabe ID" ma:description="-" ma:hidden="true" ma:internalName="dfr_taskid" ma:percentage="FALSE">
      <xsd:simpleType>
        <xsd:restriction base="dms:Number">
          <xsd:maxInclusive value="9999999999999"/>
          <xsd:minInclusive value="0"/>
        </xsd:restriction>
      </xsd:simpleType>
    </xsd:element>
    <xsd:element name="dfr_taskowner" ma:index="21" nillable="true" ma:displayName="Aktueller Prüfer/Freigeber" ma:description="" ma:hidden="true" ma:list="UserInfo" ma:internalName="dfr_task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taskinitializer" ma:index="22" nillable="true" ma:displayName="Freigabe eingeleitet durch" ma:description="" ma:hidden="true" ma:list="UserInfo" ma:internalName="dfr_taskinitializ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creator" ma:index="23" nillable="true" ma:displayName="Ersteller" ma:description="" ma:list="UserInfo" ma:SearchPeopleOnly="false" ma:SharePointGroup="0" ma:internalName="dfr_creator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checkers" ma:index="24" nillable="true" ma:displayName="Prüfer" ma:description="" ma:hidden="true" ma:list="UserInfo" ma:internalName="dfr_defaultcheck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defaultorgapprovers" ma:index="25" nillable="true" ma:displayName="Freigeber" ma:description="" ma:hidden="true" ma:list="UserInfo" ma:internalName="dfr_defaultorgapprove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orgunit" ma:index="26" nillable="true" ma:displayName="Organisationseinheit" ma:default="OÖG" ma:format="Dropdown" ma:internalName="dfr_orgunit" ma:readOnly="false">
      <xsd:simpleType>
        <xsd:union memberTypes="dms:Text">
          <xsd:simpleType>
            <xsd:restriction base="dms:Choice">
              <xsd:enumeration value="Alle Organisationseinheiten"/>
              <xsd:enumeration value="OÖG"/>
              <xsd:enumeration value="Tumorzentrum"/>
            </xsd:restriction>
          </xsd:simpleType>
        </xsd:union>
      </xsd:simpleType>
    </xsd:element>
    <xsd:element name="dfr_orgscope" ma:index="27" nillable="true" ma:displayName="Gültigkeitsbereich" ma:internalName="dfr_orgscope" ma:readOnly="fals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OÖG"/>
                    <xsd:enumeration value="Kepler Universitätsklinikum"/>
                    <xsd:enumeration value="Finanzdirektion"/>
                    <xsd:enumeration value="Konzernrevision"/>
                    <xsd:enumeration value="Klinikum Freistadt"/>
                    <xsd:enumeration value="Klinikum Rohrbach"/>
                    <xsd:enumeration value="Klinikum Schärding"/>
                    <xsd:enumeration value="Kompetenzmanagement Pflege"/>
                    <xsd:enumeration value="Medizinische Direktion"/>
                    <xsd:enumeration value="Personaldirektion"/>
                    <xsd:enumeration value="Public Relations und Kommunikation"/>
                    <xsd:enumeration value="Pyhrn-Eisenwurzen Klinikum"/>
                    <xsd:enumeration value="Pyhrn-Eisenwurzen Klinikum Kirchdorf"/>
                    <xsd:enumeration value="Pyhrn-Eisenwurzen Klinikum Steyr"/>
                    <xsd:enumeration value="Recht"/>
                    <xsd:enumeration value="Salzkammergut Klinikum"/>
                    <xsd:enumeration value="SK Bad Ischl"/>
                    <xsd:enumeration value="SK Gmunden"/>
                    <xsd:enumeration value="SK Vöcklabruck"/>
                    <xsd:enumeration value="Technische Direktion"/>
                    <xsd:enumeration value="Tumorzentrum"/>
                  </xsd:restriction>
                </xsd:simpleType>
              </xsd:element>
            </xsd:sequence>
          </xsd:extension>
        </xsd:complexContent>
      </xsd:complexType>
    </xsd:element>
    <xsd:element name="dfr_taskownerresponsibility" ma:index="28" nillable="true" ma:displayName="Zuständigkeit" ma:description="" ma:hidden="true" ma:internalName="dfr_taskownerresponsibility">
      <xsd:simpleType>
        <xsd:restriction base="dms:Text">
          <xsd:maxLength value="255"/>
        </xsd:restriction>
      </xsd:simpleType>
    </xsd:element>
    <xsd:element name="dfr_publisheddate" ma:index="29" nillable="true" ma:displayName="Veröffentlichungsdatum" ma:description="" ma:format="DateTime" ma:hidden="true" ma:internalName="dfr_publisheddate">
      <xsd:simpleType>
        <xsd:restriction base="dms:DateTime"/>
      </xsd:simpleType>
    </xsd:element>
    <xsd:element name="dfr_location" ma:index="31" nillable="true" ma:displayName="Standort Kürzel" ma:description="Wird automatisch befüllt." ma:hidden="true" ma:internalName="dfr_location">
      <xsd:simpleType>
        <xsd:restriction base="dms:Text">
          <xsd:maxLength value="255"/>
        </xsd:restriction>
      </xsd:simpleType>
    </xsd:element>
    <xsd:element name="dfr_inforecipients" ma:index="34" nillable="true" ma:displayName="Empfängerkreis" ma:description="Diese Personen erhalten nach jeder Veröffentlichung des Dokuments eine Informationsmail." ma:hidden="true" ma:list="UserInfo" ma:internalName="dfr_inforecipient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fr_infodistributionlist" ma:index="40" nillable="true" ma:displayName="Verteilerliste" ma:description="" ma:format="Dropdown" ma:hidden="true" ma:internalName="dfr_infodistributionlist" ma:readOnly="false">
      <xsd:simpleType>
        <xsd:restriction base="dms:Choice">
          <xsd:enumeration value="Beschreibung der 1. Liste (webmaster@gespag.at)"/>
          <xsd:enumeration value="Beschreibung der 2. Liste (webmaster@gespag.at)"/>
          <xsd:enumeration value="Beschreibung der 3. Liste (webmaster@gespag.at)"/>
        </xsd:restriction>
      </xsd:simpleType>
    </xsd:element>
    <xsd:element name="customfield_majorversion" ma:index="44" nillable="true" ma:displayName="Link zur Hauptversion" ma:description="" ma:format="Hyperlink" ma:hidden="true" ma:internalName="customfield_majorversion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45198-6fc7-4da6-aad9-951c94b71f4f" elementFormDefault="qualified">
    <xsd:import namespace="http://schemas.microsoft.com/office/2006/documentManagement/types"/>
    <xsd:import namespace="http://schemas.microsoft.com/office/infopath/2007/PartnerControls"/>
    <xsd:element name="dfr_classification" ma:index="30" nillable="true" ma:displayName="Klassifizierung" ma:default="eingeschränkt" ma:description="" ma:format="Dropdown" ma:internalName="dfr_classification" ma:readOnly="false">
      <xsd:simpleType>
        <xsd:restriction base="dms:Choice">
          <xsd:enumeration value="geheim"/>
          <xsd:enumeration value="vertraulich"/>
          <xsd:enumeration value="eingeschränkt"/>
          <xsd:enumeration value="öffentlich"/>
        </xsd:restriction>
      </xsd:simpleType>
    </xsd:element>
    <xsd:element name="dfr_majorversion" ma:index="32" nillable="true" ma:displayName="HVersion" ma:description="" ma:hidden="true" ma:internalName="dfr_majorversion">
      <xsd:simpleType>
        <xsd:restriction base="dms:Text"/>
      </xsd:simpleType>
    </xsd:element>
    <xsd:element name="dfr_nextasknotification" ma:index="33" nillable="true" ma:displayName="Aufgabenbenachrichtigung ab" ma:description="" ma:format="DateTime" ma:hidden="true" ma:internalName="dfr_nextasknotification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990fe-55f0-45e8-a37e-05db7cf8aed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41" nillable="true" ma:taxonomy="true" ma:internalName="TaxKeywordTaxHTField" ma:taxonomyFieldName="TaxKeyword" ma:displayName="Schlagwörter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description="" ma:hidden="true" ma:list="{4243b168-8c6c-410f-98ef-1db402bfb9eb}" ma:internalName="TaxCatchAll" ma:showField="CatchAllData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43" nillable="true" ma:displayName="Taxonomy Catch All Column1" ma:description="" ma:hidden="true" ma:list="{4243b168-8c6c-410f-98ef-1db402bfb9eb}" ma:internalName="TaxCatchAllLabel" ma:readOnly="true" ma:showField="CatchAllDataLabel" ma:web="824990fe-55f0-45e8-a37e-05db7cf8ae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39" ma:displayName="Inhaltstyp"/>
        <xsd:element ref="dc:title" minOccurs="0" maxOccurs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dfr_finishedtecapprovers xmlns="http://schemas.microsoft.com/sharepoint/v3">
      <UserInfo>
        <DisplayName/>
        <AccountId xsi:nil="true"/>
        <AccountType/>
      </UserInfo>
    </dfr_finishedtecapprovers>
    <dfr_actionlink xmlns="http://schemas.microsoft.com/sharepoint/v3">https://ooeg.info/dokumente/_layouts/gespag.dfr/revise.aspx?IsDlg=1&amp;listID=18c45198-6fc7-4da6-aad9-951c94b71f4f&amp;itemID=207, revisionieren</dfr_actionlink>
    <dfr_prevdepartment xmlns="http://schemas.microsoft.com/sharepoint/v3" xsi:nil="true"/>
    <dfr_creator xmlns="http://schemas.microsoft.com/sharepoint/v3">
      <UserInfo>
        <DisplayName>Stoiber, Franz</DisplayName>
        <AccountId>10187</AccountId>
        <AccountType/>
      </UserInfo>
    </dfr_creator>
    <dfr_approvalid xmlns="http://schemas.microsoft.com/sharepoint/v3">8e78d7c2-8aa7-48ad-9ce0-db1cd56f137d</dfr_approvalid>
    <dfr_taskinitializer xmlns="http://schemas.microsoft.com/sharepoint/v3">
      <UserInfo>
        <DisplayName>Pichler, Thomas</DisplayName>
        <AccountId>28327</AccountId>
        <AccountType/>
      </UserInfo>
    </dfr_taskinitializer>
    <dfr_finishedorgapprovers xmlns="http://schemas.microsoft.com/sharepoint/v3">
      <UserInfo>
        <DisplayName>Pichler, Thomas</DisplayName>
        <AccountId>28327</AccountId>
        <AccountType/>
      </UserInfo>
    </dfr_finishedorgapprovers>
    <dfr_contenttype xmlns="http://schemas.microsoft.com/sharepoint/v3">Leitlinie</dfr_contenttype>
    <dfr_taskid xmlns="http://schemas.microsoft.com/sharepoint/v3" xsi:nil="true"/>
    <dfr_orgunit xmlns="http://schemas.microsoft.com/sharepoint/v3">Tumorzentrum</dfr_orgunit>
    <dfr_taskowner xmlns="http://schemas.microsoft.com/sharepoint/v3">
      <UserInfo>
        <DisplayName/>
        <AccountId xsi:nil="true"/>
        <AccountType/>
      </UserInfo>
    </dfr_taskowner>
    <dfr_pendingtecapprovers xmlns="http://schemas.microsoft.com/sharepoint/v3">
      <UserInfo>
        <DisplayName/>
        <AccountId xsi:nil="true"/>
        <AccountType/>
      </UserInfo>
    </dfr_pendingtecapprovers>
    <dfr_archived xmlns="http://schemas.microsoft.com/sharepoint/v3" xsi:nil="true"/>
    <dfr_comments xmlns="http://schemas.microsoft.com/sharepoint/v3">15.02.2022 14:54:09 Pichler, Thomas (Initiator) : Freigabe der Revision Dr. Stoiber per Mail vom 08.02.2022
15.02.2022 14:54:24 Pichler, Thomas (Freigeber) : .
</dfr_comments>
    <dfr_lastnotification xmlns="http://schemas.microsoft.com/sharepoint/v3" xsi:nil="true"/>
    <dfr_lastrevision xmlns="http://schemas.microsoft.com/sharepoint/v3" xsi:nil="true"/>
    <dfr_finishedcheckers xmlns="http://schemas.microsoft.com/sharepoint/v3">
      <UserInfo>
        <DisplayName/>
        <AccountId xsi:nil="true"/>
        <AccountType/>
      </UserInfo>
    </dfr_finishedcheckers>
    <dfr_pendingcheckers xmlns="http://schemas.microsoft.com/sharepoint/v3">
      <UserInfo>
        <DisplayName/>
        <AccountId xsi:nil="true"/>
        <AccountType/>
      </UserInfo>
    </dfr_pendingcheckers>
    <dfr_headernote xmlns="http://schemas.microsoft.com/sharepoint/v3">Kein Vermerk</dfr_headernote>
    <dfr_nextrevision xmlns="http://schemas.microsoft.com/sharepoint/v3">2023-02-15T13:54:28+00:00</dfr_nextrevision>
    <dfr_pendingorgapprovers xmlns="http://schemas.microsoft.com/sharepoint/v3">
      <UserInfo>
        <DisplayName/>
        <AccountId xsi:nil="true"/>
        <AccountType/>
      </UserInfo>
    </dfr_pendingorgapprovers>
    <dfr_orgscope xmlns="http://schemas.microsoft.com/sharepoint/v3">
      <Value>Tumorzentrum</Value>
    </dfr_orgscope>
    <dfr_revision xmlns="http://schemas.microsoft.com/sharepoint/v3">0</dfr_revision>
    <dfr_department xmlns="http://schemas.microsoft.com/sharepoint/v3">Leitlinien solide Tumore</dfr_department>
    <dfr_taskownerresponsibility xmlns="http://schemas.microsoft.com/sharepoint/v3" xsi:nil="true"/>
    <dfr_publisheddate xmlns="http://schemas.microsoft.com/sharepoint/v3">2022-02-15T13:54:24+00:00</dfr_publisheddate>
    <dfr_location xmlns="http://schemas.microsoft.com/sharepoint/v3">KH</dfr_location>
    <customfield_majorversion xmlns="http://schemas.microsoft.com/sharepoint/v3" xsi:nil="true"/>
    <dfr_majorversion xmlns="18c45198-6fc7-4da6-aad9-951c94b71f4f">8.0</dfr_majorversion>
    <dfr_classification xmlns="18c45198-6fc7-4da6-aad9-951c94b71f4f">öffentlich</dfr_classification>
    <dfr_nextasknotification xmlns="18c45198-6fc7-4da6-aad9-951c94b71f4f" xsi:nil="true"/>
    <dfr_inforecipients xmlns="http://schemas.microsoft.com/sharepoint/v3">
      <UserInfo>
        <DisplayName/>
        <AccountId xsi:nil="true"/>
        <AccountType/>
      </UserInfo>
    </dfr_inforecipients>
    <TaxCatchAll xmlns="824990fe-55f0-45e8-a37e-05db7cf8aedc"/>
    <dfr_defaultorgapprovers xmlns="http://schemas.microsoft.com/sharepoint/v3">
      <UserInfo>
        <DisplayName>Pichler, Thomas</DisplayName>
        <AccountId>28327</AccountId>
        <AccountType/>
      </UserInfo>
    </dfr_defaultorgapprovers>
    <dfr_defaultcheckers xmlns="http://schemas.microsoft.com/sharepoint/v3">
      <UserInfo>
        <DisplayName/>
        <AccountId xsi:nil="true"/>
        <AccountType/>
      </UserInfo>
    </dfr_defaultcheckers>
    <TaxKeywordTaxHTField xmlns="824990fe-55f0-45e8-a37e-05db7cf8aedc">
      <Terms xmlns="http://schemas.microsoft.com/office/infopath/2007/PartnerControls"/>
    </TaxKeywordTaxHTField>
    <dfr_infodistributionlist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4BC783-A813-4297-99AD-9E9E8A1521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C9FFAD-6E85-4BCB-9C94-7F5077124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8c45198-6fc7-4da6-aad9-951c94b71f4f"/>
    <ds:schemaRef ds:uri="824990fe-55f0-45e8-a37e-05db7cf8a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20FE06A-E31F-40A7-8894-4B5B42C79A73}">
  <ds:schemaRefs>
    <ds:schemaRef ds:uri="http://schemas.microsoft.com/office/2006/documentManagement/types"/>
    <ds:schemaRef ds:uri="http://schemas.microsoft.com/sharepoint/v3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18c45198-6fc7-4da6-aad9-951c94b71f4f"/>
    <ds:schemaRef ds:uri="http://purl.org/dc/terms/"/>
    <ds:schemaRef ds:uri="http://schemas.microsoft.com/office/2006/metadata/properties"/>
    <ds:schemaRef ds:uri="824990fe-55f0-45e8-a37e-05db7cf8aed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F1F07842-5AB4-4214-BBF5-F595A5E588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4537</Words>
  <Characters>28585</Characters>
  <Application>Microsoft Office Word</Application>
  <DocSecurity>0</DocSecurity>
  <Lines>238</Lines>
  <Paragraphs>66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Urothelkarzinome</vt:lpstr>
    </vt:vector>
  </TitlesOfParts>
  <Company>gespag</Company>
  <LinksUpToDate>false</LinksUpToDate>
  <CharactersWithSpaces>33056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Urothelkarzinome</dc:title>
  <dc:creator>Mag. Pichler (KI), (71)20090, kipichth</dc:creator>
  <cp:keywords/>
  <cp:lastModifiedBy>Pichler, Thomas</cp:lastModifiedBy>
  <cp:revision>6</cp:revision>
  <cp:lastPrinted>2022-02-09T11:45:00Z</cp:lastPrinted>
  <dcterms:created xsi:type="dcterms:W3CDTF">2022-02-08T12:26:00Z</dcterms:created>
  <dcterms:modified xsi:type="dcterms:W3CDTF">2022-02-15T13:51:00Z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ubthemen">
    <vt:lpwstr>118;#Medizin;#119;#Pflege</vt:lpwstr>
  </property>
  <property fmtid="{D5CDD505-2E9C-101B-9397-08002B2CF9AE}" pid="3" name="Hauptthemen">
    <vt:lpwstr>4;#QM</vt:lpwstr>
  </property>
  <property fmtid="{D5CDD505-2E9C-101B-9397-08002B2CF9AE}" pid="4" name="Absenderauswahl">
    <vt:lpwstr>ul</vt:lpwstr>
  </property>
  <property fmtid="{D5CDD505-2E9C-101B-9397-08002B2CF9AE}" pid="5" name="Dokumenten_Stichwoerter">
    <vt:lpwstr>Standard; Vorlage; Muster; gespag</vt:lpwstr>
  </property>
  <property fmtid="{D5CDD505-2E9C-101B-9397-08002B2CF9AE}" pid="6" name="Vertraulich">
    <vt:lpwstr>0</vt:lpwstr>
  </property>
  <property fmtid="{D5CDD505-2E9C-101B-9397-08002B2CF9AE}" pid="7" name="Audience">
    <vt:lpwstr/>
  </property>
  <property fmtid="{D5CDD505-2E9C-101B-9397-08002B2CF9AE}" pid="8" name="ContentType">
    <vt:lpwstr>Formulare</vt:lpwstr>
  </property>
  <property fmtid="{D5CDD505-2E9C-101B-9397-08002B2CF9AE}" pid="9" name="ContentTypeId">
    <vt:lpwstr>0x010100702417A06B9047CAB652CC4AA8856879007A6474B24F3947A8AB0E117FB186CABB009255144ACA0D4F4497381DBA8E2574A4</vt:lpwstr>
  </property>
  <property fmtid="{D5CDD505-2E9C-101B-9397-08002B2CF9AE}" pid="10" name="Themenauswahl">
    <vt:lpwstr>118;119;</vt:lpwstr>
  </property>
  <property fmtid="{D5CDD505-2E9C-101B-9397-08002B2CF9AE}" pid="11" name="Absender">
    <vt:lpwstr>11</vt:lpwstr>
  </property>
  <property fmtid="{D5CDD505-2E9C-101B-9397-08002B2CF9AE}" pid="12" name="TemplateUrl">
    <vt:lpwstr/>
  </property>
  <property fmtid="{D5CDD505-2E9C-101B-9397-08002B2CF9AE}" pid="13" name="xd_ProgID">
    <vt:lpwstr/>
  </property>
  <property fmtid="{D5CDD505-2E9C-101B-9397-08002B2CF9AE}" pid="14" name="_CopySource">
    <vt:lpwstr/>
  </property>
  <property fmtid="{D5CDD505-2E9C-101B-9397-08002B2CF9AE}" pid="15" name="Order">
    <vt:lpwstr>4900.00000000000</vt:lpwstr>
  </property>
  <property fmtid="{D5CDD505-2E9C-101B-9397-08002B2CF9AE}" pid="16" name="URL">
    <vt:lpwstr/>
  </property>
  <property fmtid="{D5CDD505-2E9C-101B-9397-08002B2CF9AE}" pid="17" name="Zielgruppenauswahl">
    <vt:lpwstr>;;;;</vt:lpwstr>
  </property>
  <property fmtid="{D5CDD505-2E9C-101B-9397-08002B2CF9AE}" pid="18" name="DLCPolicyLabelValue">
    <vt:lpwstr>Version: 0.1 Status: Entwurf</vt:lpwstr>
  </property>
  <property fmtid="{D5CDD505-2E9C-101B-9397-08002B2CF9AE}" pid="19" name="_dlc_ExpireDate">
    <vt:filetime>2013-12-17T15:13:37Z</vt:filetime>
  </property>
  <property fmtid="{D5CDD505-2E9C-101B-9397-08002B2CF9AE}" pid="20" name="Kernprozess">
    <vt:lpwstr>Leitlinien Onkologie</vt:lpwstr>
  </property>
  <property fmtid="{D5CDD505-2E9C-101B-9397-08002B2CF9AE}" pid="21" name="archiviert">
    <vt:lpwstr>Nein</vt:lpwstr>
  </property>
  <property fmtid="{D5CDD505-2E9C-101B-9397-08002B2CF9AE}" pid="22" name="TaxKeyword">
    <vt:lpwstr/>
  </property>
  <property fmtid="{D5CDD505-2E9C-101B-9397-08002B2CF9AE}" pid="23" name="Berufsgruppe">
    <vt:lpwstr>2;#;#3;#;#5;#</vt:lpwstr>
  </property>
</Properties>
</file>