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B2901" w14:textId="77777777" w:rsidR="00B6342E" w:rsidRPr="00B6342E" w:rsidRDefault="00B6342E" w:rsidP="007374FB">
      <w:pPr>
        <w:pStyle w:val="Titel"/>
        <w:jc w:val="left"/>
        <w:rPr>
          <w:b/>
          <w:sz w:val="20"/>
        </w:rPr>
      </w:pPr>
    </w:p>
    <w:p w14:paraId="0CC0EAC0" w14:textId="77777777" w:rsidR="00B6342E" w:rsidRPr="00B6342E" w:rsidRDefault="00B6342E" w:rsidP="007374FB">
      <w:pPr>
        <w:pStyle w:val="Titel"/>
        <w:jc w:val="left"/>
        <w:rPr>
          <w:b/>
          <w:sz w:val="20"/>
        </w:rPr>
      </w:pPr>
    </w:p>
    <w:p w14:paraId="5FFA83FE" w14:textId="77777777" w:rsidR="00B6342E" w:rsidRPr="00B6342E" w:rsidRDefault="00B6342E" w:rsidP="007374FB">
      <w:pPr>
        <w:pStyle w:val="Titel"/>
        <w:jc w:val="left"/>
        <w:rPr>
          <w:b/>
          <w:sz w:val="20"/>
        </w:rPr>
      </w:pPr>
      <w:bookmarkStart w:id="0" w:name="_GoBack"/>
      <w:bookmarkEnd w:id="0"/>
    </w:p>
    <w:p w14:paraId="28A6829D" w14:textId="77777777" w:rsidR="00B6342E" w:rsidRPr="00B6342E" w:rsidRDefault="00B6342E" w:rsidP="007374FB">
      <w:pPr>
        <w:pStyle w:val="Titel"/>
        <w:jc w:val="left"/>
        <w:rPr>
          <w:b/>
          <w:sz w:val="20"/>
        </w:rPr>
      </w:pPr>
    </w:p>
    <w:p w14:paraId="16ED84A0" w14:textId="77777777" w:rsidR="00B6342E" w:rsidRDefault="00B6342E" w:rsidP="007374FB">
      <w:pPr>
        <w:pStyle w:val="Titel"/>
        <w:jc w:val="left"/>
        <w:rPr>
          <w:b/>
          <w:sz w:val="48"/>
          <w:szCs w:val="48"/>
        </w:rPr>
      </w:pPr>
    </w:p>
    <w:p w14:paraId="31059B75" w14:textId="77777777" w:rsidR="00E67988" w:rsidRDefault="00E67988" w:rsidP="007374FB">
      <w:pPr>
        <w:pStyle w:val="Titel"/>
        <w:jc w:val="left"/>
        <w:rPr>
          <w:b/>
          <w:sz w:val="48"/>
          <w:szCs w:val="48"/>
        </w:rPr>
      </w:pPr>
    </w:p>
    <w:p w14:paraId="3F29AD39" w14:textId="77777777" w:rsidR="00250E53" w:rsidRDefault="00250E53" w:rsidP="007374FB">
      <w:pPr>
        <w:pStyle w:val="Titel"/>
        <w:jc w:val="left"/>
        <w:rPr>
          <w:b/>
          <w:sz w:val="48"/>
          <w:szCs w:val="48"/>
        </w:rPr>
      </w:pPr>
    </w:p>
    <w:p w14:paraId="3CE735C1" w14:textId="77777777" w:rsidR="008A7324" w:rsidRPr="00E344D4" w:rsidRDefault="00E57A6B" w:rsidP="007374FB">
      <w:pPr>
        <w:pStyle w:val="Titel"/>
        <w:jc w:val="left"/>
        <w:rPr>
          <w:b/>
          <w:sz w:val="48"/>
          <w:szCs w:val="48"/>
        </w:rPr>
      </w:pPr>
      <w:sdt>
        <w:sdtPr>
          <w:rPr>
            <w:b/>
            <w:sz w:val="48"/>
            <w:szCs w:val="48"/>
          </w:rPr>
          <w:alias w:val="Titel"/>
          <w:tag w:val=""/>
          <w:id w:val="710549034"/>
          <w:placeholder>
            <w:docPart w:val="2051CD9AAA8D4651B2F1E88EC3F37254"/>
          </w:placeholder>
          <w:dataBinding w:prefixMappings="xmlns:ns0='http://purl.org/dc/elements/1.1/' xmlns:ns1='http://schemas.openxmlformats.org/package/2006/metadata/core-properties' " w:xpath="/ns1:coreProperties[1]/ns0:title[1]" w:storeItemID="{6C3C8BC8-F283-45AE-878A-BAB7291924A1}"/>
          <w:text/>
        </w:sdtPr>
        <w:sdtEndPr/>
        <w:sdtContent>
          <w:r w:rsidR="00DD5559">
            <w:rPr>
              <w:b/>
              <w:sz w:val="48"/>
              <w:szCs w:val="48"/>
            </w:rPr>
            <w:t>PTCL</w:t>
          </w:r>
        </w:sdtContent>
      </w:sdt>
    </w:p>
    <w:p w14:paraId="0D0602FC" w14:textId="77777777" w:rsidR="008A7324" w:rsidRPr="00B6342E" w:rsidRDefault="008A7324" w:rsidP="007374FB">
      <w:pPr>
        <w:pStyle w:val="Titel"/>
        <w:ind w:left="-56"/>
        <w:jc w:val="left"/>
        <w:rPr>
          <w:sz w:val="28"/>
          <w:szCs w:val="28"/>
        </w:rPr>
      </w:pPr>
    </w:p>
    <w:p w14:paraId="3AAD372B" w14:textId="77777777" w:rsidR="00CE0093" w:rsidRDefault="00B05EB6" w:rsidP="007374FB">
      <w:pPr>
        <w:pStyle w:val="Titel"/>
        <w:ind w:left="-56"/>
        <w:jc w:val="left"/>
        <w:rPr>
          <w:b/>
          <w:sz w:val="48"/>
          <w:szCs w:val="48"/>
        </w:rPr>
      </w:pPr>
      <w:bookmarkStart w:id="1" w:name="OLE_LINK1"/>
      <w:r>
        <w:rPr>
          <w:b/>
          <w:sz w:val="48"/>
          <w:szCs w:val="48"/>
        </w:rPr>
        <w:t>Peripheres T-Zell</w:t>
      </w:r>
      <w:r w:rsidR="00CE0093" w:rsidRPr="008B6B48">
        <w:rPr>
          <w:b/>
          <w:sz w:val="48"/>
          <w:szCs w:val="48"/>
        </w:rPr>
        <w:t>-Lymphom</w:t>
      </w:r>
      <w:bookmarkEnd w:id="1"/>
    </w:p>
    <w:p w14:paraId="222A3A40" w14:textId="77777777" w:rsidR="00CE0093" w:rsidRDefault="00CE0093" w:rsidP="007374FB">
      <w:pPr>
        <w:pStyle w:val="Titel"/>
        <w:spacing w:line="276" w:lineRule="auto"/>
        <w:ind w:left="-56"/>
        <w:jc w:val="left"/>
        <w:rPr>
          <w:rFonts w:asciiTheme="minorHAnsi" w:hAnsiTheme="minorHAnsi" w:cstheme="minorHAnsi"/>
          <w:sz w:val="22"/>
          <w:szCs w:val="22"/>
        </w:rPr>
      </w:pPr>
    </w:p>
    <w:p w14:paraId="4909639E" w14:textId="77777777" w:rsidR="00B6342E" w:rsidRDefault="00B6342E" w:rsidP="007374FB">
      <w:pPr>
        <w:tabs>
          <w:tab w:val="left" w:pos="1418"/>
        </w:tabs>
        <w:spacing w:line="276" w:lineRule="auto"/>
        <w:jc w:val="left"/>
        <w:rPr>
          <w:rFonts w:cs="Arial"/>
          <w:sz w:val="28"/>
          <w:szCs w:val="28"/>
        </w:rPr>
      </w:pPr>
    </w:p>
    <w:p w14:paraId="083F9159" w14:textId="77777777" w:rsidR="00AF4529" w:rsidRPr="0005570D" w:rsidRDefault="00530141" w:rsidP="007374FB">
      <w:pPr>
        <w:pStyle w:val="Titel"/>
        <w:spacing w:line="276" w:lineRule="auto"/>
        <w:jc w:val="left"/>
        <w:rPr>
          <w:rFonts w:asciiTheme="minorHAnsi" w:hAnsiTheme="minorHAnsi" w:cstheme="minorHAnsi"/>
          <w:sz w:val="22"/>
          <w:szCs w:val="22"/>
          <w:lang w:val="de-AT"/>
        </w:rPr>
      </w:pPr>
      <w:r w:rsidRPr="0005570D">
        <w:rPr>
          <w:rFonts w:asciiTheme="minorHAnsi" w:hAnsiTheme="minorHAnsi" w:cstheme="minorHAnsi"/>
          <w:sz w:val="22"/>
          <w:szCs w:val="22"/>
          <w:lang w:val="de-AT"/>
        </w:rPr>
        <w:t>Diese Leitlinie ist gültig für das periphere T-Zell-Lymphom, nicht anders spezifiziert (PTCL, NOS), das Angioimmunobla</w:t>
      </w:r>
      <w:r w:rsidR="003F0ED7" w:rsidRPr="0005570D">
        <w:rPr>
          <w:rFonts w:asciiTheme="minorHAnsi" w:hAnsiTheme="minorHAnsi" w:cstheme="minorHAnsi"/>
          <w:sz w:val="22"/>
          <w:szCs w:val="22"/>
          <w:lang w:val="de-AT"/>
        </w:rPr>
        <w:t>s</w:t>
      </w:r>
      <w:r w:rsidRPr="0005570D">
        <w:rPr>
          <w:rFonts w:asciiTheme="minorHAnsi" w:hAnsiTheme="minorHAnsi" w:cstheme="minorHAnsi"/>
          <w:sz w:val="22"/>
          <w:szCs w:val="22"/>
          <w:lang w:val="de-AT"/>
        </w:rPr>
        <w:t>t</w:t>
      </w:r>
      <w:r w:rsidR="003F0ED7" w:rsidRPr="0005570D">
        <w:rPr>
          <w:rFonts w:asciiTheme="minorHAnsi" w:hAnsiTheme="minorHAnsi" w:cstheme="minorHAnsi"/>
          <w:sz w:val="22"/>
          <w:szCs w:val="22"/>
          <w:lang w:val="de-AT"/>
        </w:rPr>
        <w:t>ische T-Zell-Lymphom (AITL), die</w:t>
      </w:r>
      <w:r w:rsidRPr="0005570D">
        <w:rPr>
          <w:rFonts w:asciiTheme="minorHAnsi" w:hAnsiTheme="minorHAnsi" w:cstheme="minorHAnsi"/>
          <w:sz w:val="22"/>
          <w:szCs w:val="22"/>
          <w:lang w:val="de-AT"/>
        </w:rPr>
        <w:t xml:space="preserve"> </w:t>
      </w:r>
      <w:r w:rsidR="003F0ED7" w:rsidRPr="0005570D">
        <w:rPr>
          <w:rFonts w:asciiTheme="minorHAnsi" w:hAnsiTheme="minorHAnsi" w:cstheme="minorHAnsi"/>
          <w:sz w:val="22"/>
          <w:szCs w:val="22"/>
          <w:lang w:val="de-AT"/>
        </w:rPr>
        <w:t>ALK-positiven und ALK-negativen anaplastisch großzelligen Lymphome</w:t>
      </w:r>
      <w:r w:rsidRPr="0005570D">
        <w:rPr>
          <w:rFonts w:asciiTheme="minorHAnsi" w:hAnsiTheme="minorHAnsi" w:cstheme="minorHAnsi"/>
          <w:sz w:val="22"/>
          <w:szCs w:val="22"/>
          <w:lang w:val="de-AT"/>
        </w:rPr>
        <w:t xml:space="preserve"> </w:t>
      </w:r>
      <w:r w:rsidR="003F0ED7" w:rsidRPr="0005570D">
        <w:rPr>
          <w:rFonts w:asciiTheme="minorHAnsi" w:hAnsiTheme="minorHAnsi" w:cstheme="minorHAnsi"/>
          <w:sz w:val="22"/>
          <w:szCs w:val="22"/>
          <w:lang w:val="de-AT"/>
        </w:rPr>
        <w:t>(ALCL) und die extranodalen NK/T-Z</w:t>
      </w:r>
      <w:r w:rsidR="00B514CF" w:rsidRPr="0005570D">
        <w:rPr>
          <w:rFonts w:asciiTheme="minorHAnsi" w:hAnsiTheme="minorHAnsi" w:cstheme="minorHAnsi"/>
          <w:sz w:val="22"/>
          <w:szCs w:val="22"/>
          <w:lang w:val="de-AT"/>
        </w:rPr>
        <w:t>ell-L</w:t>
      </w:r>
      <w:r w:rsidR="003F0ED7" w:rsidRPr="0005570D">
        <w:rPr>
          <w:rFonts w:asciiTheme="minorHAnsi" w:hAnsiTheme="minorHAnsi" w:cstheme="minorHAnsi"/>
          <w:sz w:val="22"/>
          <w:szCs w:val="22"/>
          <w:lang w:val="de-AT"/>
        </w:rPr>
        <w:t>ymphome (ENKTL).</w:t>
      </w:r>
    </w:p>
    <w:p w14:paraId="09B7BADC" w14:textId="77777777" w:rsidR="009E64A7" w:rsidRDefault="009E64A7" w:rsidP="007374FB">
      <w:pPr>
        <w:tabs>
          <w:tab w:val="left" w:pos="1418"/>
        </w:tabs>
        <w:spacing w:line="276" w:lineRule="auto"/>
        <w:jc w:val="left"/>
        <w:rPr>
          <w:rFonts w:cs="Arial"/>
          <w:sz w:val="28"/>
          <w:szCs w:val="28"/>
        </w:rPr>
      </w:pPr>
    </w:p>
    <w:p w14:paraId="68882DE3" w14:textId="77777777" w:rsidR="009E64A7" w:rsidRDefault="009E64A7" w:rsidP="007374FB">
      <w:pPr>
        <w:tabs>
          <w:tab w:val="left" w:pos="1418"/>
        </w:tabs>
        <w:spacing w:line="276" w:lineRule="auto"/>
        <w:jc w:val="left"/>
        <w:rPr>
          <w:rFonts w:cs="Arial"/>
          <w:sz w:val="28"/>
          <w:szCs w:val="28"/>
        </w:rPr>
      </w:pPr>
    </w:p>
    <w:p w14:paraId="4B553E7F" w14:textId="77777777" w:rsidR="00B6342E" w:rsidRPr="0062716A" w:rsidRDefault="00A6435E" w:rsidP="007374FB">
      <w:pPr>
        <w:spacing w:line="276" w:lineRule="auto"/>
        <w:jc w:val="left"/>
        <w:rPr>
          <w:rFonts w:cs="Arial"/>
          <w:b/>
          <w:sz w:val="40"/>
          <w:szCs w:val="40"/>
        </w:rPr>
      </w:pPr>
      <w:r w:rsidRPr="0067150E">
        <w:rPr>
          <w:rFonts w:cs="Arial"/>
          <w:b/>
          <w:sz w:val="40"/>
          <w:szCs w:val="40"/>
        </w:rPr>
        <w:t xml:space="preserve">Medizinische </w:t>
      </w:r>
      <w:r w:rsidR="00B6342E" w:rsidRPr="0067150E">
        <w:rPr>
          <w:rFonts w:cs="Arial"/>
          <w:b/>
          <w:sz w:val="40"/>
          <w:szCs w:val="40"/>
        </w:rPr>
        <w:t>Leitlinie</w:t>
      </w:r>
    </w:p>
    <w:p w14:paraId="204B7098" w14:textId="77777777" w:rsidR="005163F4" w:rsidRDefault="005163F4" w:rsidP="007374FB">
      <w:pPr>
        <w:tabs>
          <w:tab w:val="left" w:pos="1418"/>
        </w:tabs>
        <w:spacing w:line="276" w:lineRule="auto"/>
        <w:jc w:val="left"/>
        <w:rPr>
          <w:rFonts w:cs="Arial"/>
          <w:sz w:val="28"/>
          <w:szCs w:val="28"/>
        </w:rPr>
      </w:pPr>
    </w:p>
    <w:p w14:paraId="092B44A0" w14:textId="77777777" w:rsidR="009E64A7" w:rsidRDefault="009E64A7" w:rsidP="007374FB">
      <w:pPr>
        <w:tabs>
          <w:tab w:val="left" w:pos="1418"/>
        </w:tabs>
        <w:spacing w:line="276" w:lineRule="auto"/>
        <w:jc w:val="left"/>
        <w:rPr>
          <w:rFonts w:cs="Arial"/>
          <w:sz w:val="28"/>
          <w:szCs w:val="28"/>
        </w:rPr>
      </w:pPr>
    </w:p>
    <w:tbl>
      <w:tblPr>
        <w:tblStyle w:val="Tabellenraster1"/>
        <w:tblW w:w="9690" w:type="dxa"/>
        <w:tblInd w:w="-84" w:type="dxa"/>
        <w:tblLook w:val="04A0" w:firstRow="1" w:lastRow="0" w:firstColumn="1" w:lastColumn="0" w:noHBand="0" w:noVBand="1"/>
      </w:tblPr>
      <w:tblGrid>
        <w:gridCol w:w="2744"/>
        <w:gridCol w:w="6946"/>
      </w:tblGrid>
      <w:tr w:rsidR="002E7743" w:rsidRPr="00C12E87" w14:paraId="3B3A873C" w14:textId="77777777" w:rsidTr="0095092F">
        <w:trPr>
          <w:trHeight w:val="567"/>
        </w:trPr>
        <w:tc>
          <w:tcPr>
            <w:tcW w:w="2744" w:type="dxa"/>
            <w:vAlign w:val="center"/>
          </w:tcPr>
          <w:p w14:paraId="5BF45396" w14:textId="77777777" w:rsidR="00ED24ED" w:rsidRPr="00D02334" w:rsidRDefault="002E7743" w:rsidP="007374FB">
            <w:pPr>
              <w:spacing w:line="276" w:lineRule="auto"/>
              <w:jc w:val="left"/>
              <w:rPr>
                <w:rFonts w:asciiTheme="minorHAnsi" w:hAnsiTheme="minorHAnsi" w:cstheme="minorHAnsi"/>
              </w:rPr>
            </w:pPr>
            <w:r w:rsidRPr="00D02334">
              <w:rPr>
                <w:rFonts w:asciiTheme="minorHAnsi" w:hAnsiTheme="minorHAnsi" w:cstheme="minorHAnsi"/>
              </w:rPr>
              <w:t>Leitlinie erstellt von:</w:t>
            </w:r>
          </w:p>
        </w:tc>
        <w:tc>
          <w:tcPr>
            <w:tcW w:w="6946" w:type="dxa"/>
            <w:vAlign w:val="center"/>
          </w:tcPr>
          <w:p w14:paraId="47379ACD" w14:textId="77777777" w:rsidR="002E7743" w:rsidRPr="00C12E87" w:rsidRDefault="00B4442A" w:rsidP="00C34AEE">
            <w:pPr>
              <w:spacing w:line="276" w:lineRule="auto"/>
              <w:jc w:val="left"/>
              <w:rPr>
                <w:rFonts w:asciiTheme="minorHAnsi" w:hAnsiTheme="minorHAnsi" w:cstheme="minorHAnsi"/>
              </w:rPr>
            </w:pPr>
            <w:r>
              <w:rPr>
                <w:rFonts w:asciiTheme="minorHAnsi" w:hAnsiTheme="minorHAnsi" w:cstheme="minorHAnsi"/>
              </w:rPr>
              <w:t>O</w:t>
            </w:r>
            <w:r w:rsidR="006B07D3">
              <w:rPr>
                <w:rFonts w:asciiTheme="minorHAnsi" w:hAnsiTheme="minorHAnsi" w:cstheme="minorHAnsi"/>
              </w:rPr>
              <w:t>Ä</w:t>
            </w:r>
            <w:r w:rsidR="003F0ED7">
              <w:rPr>
                <w:rFonts w:asciiTheme="minorHAnsi" w:hAnsiTheme="minorHAnsi" w:cstheme="minorHAnsi"/>
              </w:rPr>
              <w:t xml:space="preserve"> </w:t>
            </w:r>
            <w:r w:rsidR="00AF4529">
              <w:rPr>
                <w:rFonts w:asciiTheme="minorHAnsi" w:hAnsiTheme="minorHAnsi" w:cstheme="minorHAnsi"/>
              </w:rPr>
              <w:t>Dr.</w:t>
            </w:r>
            <w:r w:rsidR="003F0ED7">
              <w:rPr>
                <w:rFonts w:asciiTheme="minorHAnsi" w:hAnsiTheme="minorHAnsi" w:cstheme="minorHAnsi"/>
              </w:rPr>
              <w:t xml:space="preserve"> </w:t>
            </w:r>
            <w:r w:rsidR="0094420E">
              <w:rPr>
                <w:rFonts w:asciiTheme="minorHAnsi" w:hAnsiTheme="minorHAnsi" w:cstheme="minorHAnsi"/>
              </w:rPr>
              <w:t xml:space="preserve">Emine Kaynak </w:t>
            </w:r>
            <w:r w:rsidR="00AF4529">
              <w:rPr>
                <w:rFonts w:asciiTheme="minorHAnsi" w:hAnsiTheme="minorHAnsi" w:cstheme="minorHAnsi"/>
              </w:rPr>
              <w:t>(</w:t>
            </w:r>
            <w:r w:rsidR="00C34AEE">
              <w:rPr>
                <w:rFonts w:asciiTheme="minorHAnsi" w:hAnsiTheme="minorHAnsi" w:cstheme="minorHAnsi"/>
              </w:rPr>
              <w:t>OKL</w:t>
            </w:r>
            <w:r w:rsidR="00AF4529">
              <w:rPr>
                <w:rFonts w:asciiTheme="minorHAnsi" w:hAnsiTheme="minorHAnsi" w:cstheme="minorHAnsi"/>
              </w:rPr>
              <w:t>)</w:t>
            </w:r>
            <w:r w:rsidR="003F0ED7">
              <w:rPr>
                <w:rFonts w:asciiTheme="minorHAnsi" w:hAnsiTheme="minorHAnsi" w:cstheme="minorHAnsi"/>
              </w:rPr>
              <w:t>, Dr. Petra Hasengruber (</w:t>
            </w:r>
            <w:r w:rsidR="00C34AEE">
              <w:rPr>
                <w:rFonts w:asciiTheme="minorHAnsi" w:hAnsiTheme="minorHAnsi" w:cstheme="minorHAnsi"/>
              </w:rPr>
              <w:t>OKL</w:t>
            </w:r>
            <w:r w:rsidR="003F0ED7">
              <w:rPr>
                <w:rFonts w:asciiTheme="minorHAnsi" w:hAnsiTheme="minorHAnsi" w:cstheme="minorHAnsi"/>
              </w:rPr>
              <w:t>)</w:t>
            </w:r>
          </w:p>
        </w:tc>
      </w:tr>
      <w:tr w:rsidR="002E7743" w:rsidRPr="006256D9" w14:paraId="04408913" w14:textId="77777777" w:rsidTr="0095092F">
        <w:trPr>
          <w:trHeight w:val="567"/>
        </w:trPr>
        <w:tc>
          <w:tcPr>
            <w:tcW w:w="2744" w:type="dxa"/>
            <w:vAlign w:val="center"/>
          </w:tcPr>
          <w:p w14:paraId="4F62DDB1" w14:textId="77777777" w:rsidR="00ED24ED" w:rsidRPr="00D02334" w:rsidRDefault="002E7743" w:rsidP="007374FB">
            <w:pPr>
              <w:spacing w:line="276" w:lineRule="auto"/>
              <w:jc w:val="left"/>
              <w:rPr>
                <w:rFonts w:asciiTheme="minorHAnsi" w:hAnsiTheme="minorHAnsi" w:cstheme="minorHAnsi"/>
              </w:rPr>
            </w:pPr>
            <w:r w:rsidRPr="00D02334">
              <w:rPr>
                <w:rFonts w:asciiTheme="minorHAnsi" w:hAnsiTheme="minorHAnsi" w:cstheme="minorHAnsi"/>
              </w:rPr>
              <w:t>Leitlinie geprüft von:</w:t>
            </w:r>
          </w:p>
        </w:tc>
        <w:tc>
          <w:tcPr>
            <w:tcW w:w="6946" w:type="dxa"/>
            <w:vAlign w:val="center"/>
          </w:tcPr>
          <w:p w14:paraId="1EDFA16D" w14:textId="77777777" w:rsidR="002E7743" w:rsidRPr="00D02334" w:rsidRDefault="00B4442A" w:rsidP="00C34AEE">
            <w:pPr>
              <w:spacing w:line="276" w:lineRule="auto"/>
              <w:jc w:val="left"/>
              <w:rPr>
                <w:rFonts w:asciiTheme="minorHAnsi" w:hAnsiTheme="minorHAnsi" w:cstheme="minorHAnsi"/>
              </w:rPr>
            </w:pPr>
            <w:r>
              <w:rPr>
                <w:rFonts w:asciiTheme="minorHAnsi" w:hAnsiTheme="minorHAnsi" w:cstheme="minorHAnsi"/>
              </w:rPr>
              <w:t>OA PD Dr. Johannes Clausen (OKL), O</w:t>
            </w:r>
            <w:r w:rsidR="00C34AEE">
              <w:rPr>
                <w:rFonts w:asciiTheme="minorHAnsi" w:hAnsiTheme="minorHAnsi" w:cstheme="minorHAnsi"/>
              </w:rPr>
              <w:t>A D</w:t>
            </w:r>
            <w:r>
              <w:rPr>
                <w:rFonts w:asciiTheme="minorHAnsi" w:hAnsiTheme="minorHAnsi" w:cstheme="minorHAnsi"/>
              </w:rPr>
              <w:t>r. Michael Girschikofsky (OKL)</w:t>
            </w:r>
            <w:r w:rsidR="00C34AEE">
              <w:rPr>
                <w:rFonts w:asciiTheme="minorHAnsi" w:hAnsiTheme="minorHAnsi" w:cstheme="minorHAnsi"/>
              </w:rPr>
              <w:t xml:space="preserve">, </w:t>
            </w:r>
            <w:r>
              <w:rPr>
                <w:rFonts w:asciiTheme="minorHAnsi" w:hAnsiTheme="minorHAnsi" w:cstheme="minorHAnsi"/>
              </w:rPr>
              <w:t xml:space="preserve">Univ. Doz. </w:t>
            </w:r>
            <w:r w:rsidR="00C34AEE">
              <w:rPr>
                <w:rFonts w:asciiTheme="minorHAnsi" w:hAnsiTheme="minorHAnsi" w:cstheme="minorHAnsi"/>
              </w:rPr>
              <w:t>Dr. Ansgar Weltermann (TZ</w:t>
            </w:r>
            <w:r w:rsidR="00245132">
              <w:rPr>
                <w:rFonts w:asciiTheme="minorHAnsi" w:hAnsiTheme="minorHAnsi" w:cstheme="minorHAnsi"/>
              </w:rPr>
              <w:t>)</w:t>
            </w:r>
          </w:p>
        </w:tc>
      </w:tr>
      <w:tr w:rsidR="002E7743" w:rsidRPr="006256D9" w14:paraId="2BF50FF9" w14:textId="77777777" w:rsidTr="0095092F">
        <w:trPr>
          <w:trHeight w:val="567"/>
        </w:trPr>
        <w:tc>
          <w:tcPr>
            <w:tcW w:w="2744" w:type="dxa"/>
            <w:vAlign w:val="center"/>
          </w:tcPr>
          <w:p w14:paraId="3AD75367" w14:textId="77777777" w:rsidR="002E7743" w:rsidRPr="00D02334" w:rsidRDefault="00ED24ED" w:rsidP="007374FB">
            <w:pPr>
              <w:spacing w:line="276" w:lineRule="auto"/>
              <w:jc w:val="left"/>
              <w:rPr>
                <w:rFonts w:asciiTheme="minorHAnsi" w:hAnsiTheme="minorHAnsi" w:cstheme="minorHAnsi"/>
              </w:rPr>
            </w:pPr>
            <w:r w:rsidRPr="00D02334">
              <w:rPr>
                <w:rFonts w:asciiTheme="minorHAnsi" w:hAnsiTheme="minorHAnsi" w:cstheme="minorHAnsi"/>
              </w:rPr>
              <w:t>Fachliche Freigabe:</w:t>
            </w:r>
          </w:p>
        </w:tc>
        <w:tc>
          <w:tcPr>
            <w:tcW w:w="6946" w:type="dxa"/>
            <w:vAlign w:val="center"/>
          </w:tcPr>
          <w:p w14:paraId="71A7646A" w14:textId="4E49E910" w:rsidR="00C34AEE" w:rsidRDefault="00B4442A" w:rsidP="007374FB">
            <w:pPr>
              <w:spacing w:line="276" w:lineRule="auto"/>
              <w:jc w:val="left"/>
              <w:rPr>
                <w:rFonts w:asciiTheme="minorHAnsi" w:hAnsiTheme="minorHAnsi" w:cstheme="minorHAnsi"/>
              </w:rPr>
            </w:pPr>
            <w:r>
              <w:rPr>
                <w:rFonts w:asciiTheme="minorHAnsi" w:hAnsiTheme="minorHAnsi" w:cstheme="minorHAnsi"/>
              </w:rPr>
              <w:t>O</w:t>
            </w:r>
            <w:r w:rsidR="006B07D3">
              <w:rPr>
                <w:rFonts w:asciiTheme="minorHAnsi" w:hAnsiTheme="minorHAnsi" w:cstheme="minorHAnsi"/>
              </w:rPr>
              <w:t>Ä</w:t>
            </w:r>
            <w:r w:rsidR="00E57A6B">
              <w:rPr>
                <w:rFonts w:asciiTheme="minorHAnsi" w:hAnsiTheme="minorHAnsi" w:cstheme="minorHAnsi"/>
              </w:rPr>
              <w:t xml:space="preserve"> Dr. Emine Kaynak (OKL)</w:t>
            </w:r>
          </w:p>
          <w:p w14:paraId="3DC43A15" w14:textId="16DD5EFF" w:rsidR="00AF4529" w:rsidRPr="00D02334" w:rsidRDefault="00C75201" w:rsidP="008618F6">
            <w:pPr>
              <w:spacing w:line="276" w:lineRule="auto"/>
              <w:jc w:val="left"/>
              <w:rPr>
                <w:rFonts w:asciiTheme="minorHAnsi" w:hAnsiTheme="minorHAnsi" w:cstheme="minorHAnsi"/>
              </w:rPr>
            </w:pPr>
            <w:r>
              <w:rPr>
                <w:rFonts w:asciiTheme="minorHAnsi" w:hAnsiTheme="minorHAnsi" w:cstheme="minorHAnsi"/>
              </w:rPr>
              <w:t xml:space="preserve">Revision v. </w:t>
            </w:r>
            <w:r w:rsidR="008618F6">
              <w:rPr>
                <w:rFonts w:asciiTheme="minorHAnsi" w:hAnsiTheme="minorHAnsi" w:cstheme="minorHAnsi"/>
              </w:rPr>
              <w:t>22.04.2022</w:t>
            </w:r>
          </w:p>
        </w:tc>
      </w:tr>
    </w:tbl>
    <w:p w14:paraId="73727CD9" w14:textId="77777777" w:rsidR="008B2595" w:rsidRDefault="008B2595" w:rsidP="007374FB">
      <w:pPr>
        <w:spacing w:line="240" w:lineRule="auto"/>
        <w:jc w:val="left"/>
      </w:pPr>
    </w:p>
    <w:p w14:paraId="0A2C9648" w14:textId="77777777" w:rsidR="008B2595" w:rsidRDefault="008B2595" w:rsidP="007374FB">
      <w:pPr>
        <w:spacing w:line="240" w:lineRule="auto"/>
        <w:jc w:val="left"/>
      </w:pPr>
    </w:p>
    <w:p w14:paraId="6B8E0EF6" w14:textId="77777777" w:rsidR="00D02334" w:rsidRDefault="00D02334" w:rsidP="007374FB">
      <w:pPr>
        <w:spacing w:line="276" w:lineRule="auto"/>
        <w:jc w:val="left"/>
        <w:rPr>
          <w:rFonts w:asciiTheme="minorHAnsi" w:hAnsiTheme="minorHAnsi" w:cstheme="minorHAnsi"/>
          <w:sz w:val="18"/>
          <w:szCs w:val="18"/>
        </w:rPr>
      </w:pPr>
    </w:p>
    <w:p w14:paraId="43E0E628" w14:textId="77777777" w:rsidR="00D02334" w:rsidRDefault="00D02334" w:rsidP="007374FB">
      <w:pPr>
        <w:spacing w:line="276" w:lineRule="auto"/>
        <w:jc w:val="left"/>
        <w:rPr>
          <w:rFonts w:asciiTheme="minorHAnsi" w:hAnsiTheme="minorHAnsi" w:cstheme="minorHAnsi"/>
          <w:sz w:val="18"/>
          <w:szCs w:val="18"/>
        </w:rPr>
      </w:pPr>
    </w:p>
    <w:p w14:paraId="25EA70DD" w14:textId="77777777" w:rsidR="00D02334" w:rsidRPr="00D02334" w:rsidRDefault="00D02334" w:rsidP="007374FB">
      <w:pPr>
        <w:spacing w:line="276" w:lineRule="auto"/>
        <w:jc w:val="left"/>
        <w:rPr>
          <w:rFonts w:asciiTheme="minorHAnsi" w:hAnsiTheme="minorHAnsi" w:cstheme="minorHAnsi"/>
          <w:sz w:val="18"/>
          <w:szCs w:val="18"/>
        </w:rPr>
      </w:pPr>
      <w:r w:rsidRPr="00D02334">
        <w:rPr>
          <w:rFonts w:asciiTheme="minorHAnsi" w:hAnsiTheme="minorHAnsi" w:cstheme="minorHAnsi"/>
          <w:sz w:val="18"/>
          <w:szCs w:val="18"/>
        </w:rPr>
        <w:t xml:space="preserve">Diese Leitlinie ist eine Grundlage für die Diagnostik und Therapie innerhalb des Tumorzentrums </w:t>
      </w:r>
      <w:r w:rsidR="004501B1">
        <w:rPr>
          <w:rFonts w:asciiTheme="minorHAnsi" w:hAnsiTheme="minorHAnsi" w:cstheme="minorHAnsi"/>
          <w:sz w:val="18"/>
          <w:szCs w:val="18"/>
        </w:rPr>
        <w:t>Oberösterreich</w:t>
      </w:r>
      <w:r w:rsidRPr="00D02334">
        <w:rPr>
          <w:rFonts w:asciiTheme="minorHAnsi" w:hAnsiTheme="minorHAnsi" w:cstheme="minorHAnsi"/>
          <w:sz w:val="18"/>
          <w:szCs w:val="18"/>
        </w:rPr>
        <w:t xml:space="preserve"> und erhebt nicht den Anspruch auf Vollständigkeit.</w:t>
      </w:r>
    </w:p>
    <w:p w14:paraId="2DF88A14" w14:textId="77777777" w:rsidR="00D02334" w:rsidRDefault="00D02334" w:rsidP="007374FB">
      <w:pPr>
        <w:spacing w:line="240" w:lineRule="auto"/>
        <w:jc w:val="left"/>
      </w:pPr>
      <w:r w:rsidRPr="00D02334">
        <w:rPr>
          <w:rFonts w:asciiTheme="minorHAnsi" w:hAnsiTheme="minorHAnsi" w:cstheme="minorHAnsi"/>
          <w:sz w:val="18"/>
          <w:szCs w:val="18"/>
        </w:rPr>
        <w:t>Darüberhinaus von den jeweiligen Fachgesellschaften festgelegte Qualitätsstandards sind dem Stand der Wissenschaft entsprechend</w:t>
      </w:r>
      <w:r>
        <w:rPr>
          <w:rFonts w:asciiTheme="minorHAnsi" w:hAnsiTheme="minorHAnsi" w:cstheme="minorHAnsi"/>
          <w:sz w:val="18"/>
          <w:szCs w:val="18"/>
        </w:rPr>
        <w:t xml:space="preserve"> e</w:t>
      </w:r>
      <w:r w:rsidR="00190D48">
        <w:rPr>
          <w:rFonts w:asciiTheme="minorHAnsi" w:hAnsiTheme="minorHAnsi" w:cstheme="minorHAnsi"/>
          <w:sz w:val="18"/>
          <w:szCs w:val="18"/>
        </w:rPr>
        <w:t>i</w:t>
      </w:r>
      <w:r>
        <w:rPr>
          <w:rFonts w:asciiTheme="minorHAnsi" w:hAnsiTheme="minorHAnsi" w:cstheme="minorHAnsi"/>
          <w:sz w:val="18"/>
          <w:szCs w:val="18"/>
        </w:rPr>
        <w:t>nzubeziehen.</w:t>
      </w:r>
    </w:p>
    <w:p w14:paraId="32D5F928" w14:textId="77777777" w:rsidR="00D02334" w:rsidRDefault="00D02334" w:rsidP="007374FB">
      <w:pPr>
        <w:spacing w:line="240" w:lineRule="auto"/>
        <w:jc w:val="left"/>
      </w:pPr>
    </w:p>
    <w:p w14:paraId="55C44FD8" w14:textId="77777777" w:rsidR="00D02334" w:rsidRPr="00D02334" w:rsidRDefault="00D02334" w:rsidP="007374FB">
      <w:pPr>
        <w:spacing w:line="276" w:lineRule="auto"/>
        <w:jc w:val="left"/>
        <w:rPr>
          <w:rFonts w:asciiTheme="minorHAnsi" w:hAnsiTheme="minorHAnsi" w:cstheme="minorHAnsi"/>
          <w:sz w:val="18"/>
          <w:szCs w:val="18"/>
        </w:rPr>
        <w:sectPr w:rsidR="00D02334" w:rsidRPr="00D02334" w:rsidSect="00F91D4D">
          <w:headerReference w:type="even" r:id="rId11"/>
          <w:headerReference w:type="default" r:id="rId12"/>
          <w:footerReference w:type="default" r:id="rId13"/>
          <w:headerReference w:type="first" r:id="rId14"/>
          <w:footerReference w:type="first" r:id="rId15"/>
          <w:pgSz w:w="11906" w:h="16838"/>
          <w:pgMar w:top="1871" w:right="1106" w:bottom="1134" w:left="1418" w:header="284" w:footer="403" w:gutter="0"/>
          <w:cols w:space="720"/>
        </w:sectPr>
      </w:pPr>
    </w:p>
    <w:sdt>
      <w:sdtPr>
        <w:rPr>
          <w:rFonts w:ascii="Arial" w:eastAsia="Times New Roman" w:hAnsi="Arial" w:cs="Times New Roman"/>
          <w:b w:val="0"/>
          <w:bCs w:val="0"/>
          <w:color w:val="auto"/>
          <w:szCs w:val="20"/>
          <w:lang w:val="de-DE" w:eastAsia="de-DE"/>
        </w:rPr>
        <w:id w:val="-866141607"/>
        <w:docPartObj>
          <w:docPartGallery w:val="Table of Contents"/>
          <w:docPartUnique/>
        </w:docPartObj>
      </w:sdtPr>
      <w:sdtEndPr>
        <w:rPr>
          <w:rFonts w:asciiTheme="minorHAnsi" w:hAnsiTheme="minorHAnsi" w:cstheme="minorHAnsi"/>
          <w:szCs w:val="22"/>
          <w:lang w:val="de-AT"/>
        </w:rPr>
      </w:sdtEndPr>
      <w:sdtContent>
        <w:p w14:paraId="6737E2EA" w14:textId="77777777" w:rsidR="003C2F32" w:rsidRPr="00B8236C" w:rsidRDefault="003C2F32" w:rsidP="00B8236C">
          <w:pPr>
            <w:pStyle w:val="Inhaltsverzeichnisberschrift"/>
            <w:shd w:val="clear" w:color="auto" w:fill="FFFFFF" w:themeFill="background1"/>
            <w:spacing w:before="0" w:line="240" w:lineRule="auto"/>
            <w:rPr>
              <w:rFonts w:asciiTheme="minorHAnsi" w:hAnsiTheme="minorHAnsi" w:cstheme="minorHAnsi"/>
              <w:color w:val="auto"/>
            </w:rPr>
          </w:pPr>
          <w:r w:rsidRPr="00B8236C">
            <w:rPr>
              <w:rFonts w:asciiTheme="minorHAnsi" w:hAnsiTheme="minorHAnsi" w:cstheme="minorHAnsi"/>
              <w:color w:val="auto"/>
            </w:rPr>
            <w:t>INHALT</w:t>
          </w:r>
          <w:r w:rsidR="00B8236C">
            <w:rPr>
              <w:rFonts w:asciiTheme="minorHAnsi" w:hAnsiTheme="minorHAnsi" w:cstheme="minorHAnsi"/>
              <w:color w:val="auto"/>
            </w:rPr>
            <w:t>SVERZEICHNIS</w:t>
          </w:r>
        </w:p>
        <w:p w14:paraId="660915DB" w14:textId="77777777" w:rsidR="003C2F32" w:rsidRPr="00B8236C" w:rsidRDefault="003C2F32" w:rsidP="00B8236C">
          <w:pPr>
            <w:spacing w:line="240" w:lineRule="auto"/>
            <w:jc w:val="left"/>
            <w:rPr>
              <w:rFonts w:asciiTheme="minorHAnsi" w:hAnsiTheme="minorHAnsi" w:cstheme="minorHAnsi"/>
              <w:szCs w:val="22"/>
              <w:lang w:val="de-DE" w:eastAsia="de-AT"/>
            </w:rPr>
          </w:pPr>
        </w:p>
        <w:p w14:paraId="05984D27" w14:textId="77777777" w:rsidR="00C75201" w:rsidRPr="00C75201" w:rsidRDefault="003C2F32" w:rsidP="00C75201">
          <w:pPr>
            <w:pStyle w:val="Verzeichnis1"/>
            <w:spacing w:line="276" w:lineRule="auto"/>
            <w:rPr>
              <w:rFonts w:asciiTheme="minorHAnsi" w:eastAsiaTheme="minorEastAsia" w:hAnsiTheme="minorHAnsi" w:cstheme="minorHAnsi"/>
              <w:noProof/>
              <w:szCs w:val="22"/>
              <w:lang w:eastAsia="de-AT"/>
            </w:rPr>
          </w:pPr>
          <w:r w:rsidRPr="00B8236C">
            <w:rPr>
              <w:rFonts w:asciiTheme="minorHAnsi" w:hAnsiTheme="minorHAnsi" w:cstheme="minorHAnsi"/>
              <w:szCs w:val="22"/>
            </w:rPr>
            <w:fldChar w:fldCharType="begin"/>
          </w:r>
          <w:r w:rsidRPr="00B8236C">
            <w:rPr>
              <w:rFonts w:asciiTheme="minorHAnsi" w:hAnsiTheme="minorHAnsi" w:cstheme="minorHAnsi"/>
              <w:szCs w:val="22"/>
            </w:rPr>
            <w:instrText xml:space="preserve"> TOC \o "1-3" \h \z \u </w:instrText>
          </w:r>
          <w:r w:rsidRPr="00B8236C">
            <w:rPr>
              <w:rFonts w:asciiTheme="minorHAnsi" w:hAnsiTheme="minorHAnsi" w:cstheme="minorHAnsi"/>
              <w:szCs w:val="22"/>
            </w:rPr>
            <w:fldChar w:fldCharType="separate"/>
          </w:r>
          <w:hyperlink w:anchor="_Toc61379679" w:history="1">
            <w:r w:rsidR="00C75201" w:rsidRPr="00C75201">
              <w:rPr>
                <w:rStyle w:val="Hyperlink"/>
                <w:rFonts w:asciiTheme="minorHAnsi" w:hAnsiTheme="minorHAnsi" w:cstheme="minorHAnsi"/>
                <w:noProof/>
              </w:rPr>
              <w:t>1</w:t>
            </w:r>
            <w:r w:rsidR="00C75201" w:rsidRPr="00C75201">
              <w:rPr>
                <w:rFonts w:asciiTheme="minorHAnsi" w:eastAsiaTheme="minorEastAsia" w:hAnsiTheme="minorHAnsi" w:cstheme="minorHAnsi"/>
                <w:noProof/>
                <w:szCs w:val="22"/>
                <w:lang w:eastAsia="de-AT"/>
              </w:rPr>
              <w:tab/>
            </w:r>
            <w:r w:rsidR="00C75201" w:rsidRPr="00C75201">
              <w:rPr>
                <w:rStyle w:val="Hyperlink"/>
                <w:rFonts w:asciiTheme="minorHAnsi" w:hAnsiTheme="minorHAnsi" w:cstheme="minorHAnsi"/>
                <w:noProof/>
              </w:rPr>
              <w:t>Allgemeines</w:t>
            </w:r>
            <w:r w:rsidR="00C75201" w:rsidRPr="00C75201">
              <w:rPr>
                <w:rFonts w:asciiTheme="minorHAnsi" w:hAnsiTheme="minorHAnsi" w:cstheme="minorHAnsi"/>
                <w:noProof/>
                <w:webHidden/>
              </w:rPr>
              <w:tab/>
            </w:r>
            <w:r w:rsidR="00C75201" w:rsidRPr="00C75201">
              <w:rPr>
                <w:rFonts w:asciiTheme="minorHAnsi" w:hAnsiTheme="minorHAnsi" w:cstheme="minorHAnsi"/>
                <w:noProof/>
                <w:webHidden/>
              </w:rPr>
              <w:fldChar w:fldCharType="begin"/>
            </w:r>
            <w:r w:rsidR="00C75201" w:rsidRPr="00C75201">
              <w:rPr>
                <w:rFonts w:asciiTheme="minorHAnsi" w:hAnsiTheme="minorHAnsi" w:cstheme="minorHAnsi"/>
                <w:noProof/>
                <w:webHidden/>
              </w:rPr>
              <w:instrText xml:space="preserve"> PAGEREF _Toc61379679 \h </w:instrText>
            </w:r>
            <w:r w:rsidR="00C75201" w:rsidRPr="00C75201">
              <w:rPr>
                <w:rFonts w:asciiTheme="minorHAnsi" w:hAnsiTheme="minorHAnsi" w:cstheme="minorHAnsi"/>
                <w:noProof/>
                <w:webHidden/>
              </w:rPr>
            </w:r>
            <w:r w:rsidR="00C75201" w:rsidRPr="00C75201">
              <w:rPr>
                <w:rFonts w:asciiTheme="minorHAnsi" w:hAnsiTheme="minorHAnsi" w:cstheme="minorHAnsi"/>
                <w:noProof/>
                <w:webHidden/>
              </w:rPr>
              <w:fldChar w:fldCharType="separate"/>
            </w:r>
            <w:r w:rsidR="009F3DFA">
              <w:rPr>
                <w:rFonts w:asciiTheme="minorHAnsi" w:hAnsiTheme="minorHAnsi" w:cstheme="minorHAnsi"/>
                <w:noProof/>
                <w:webHidden/>
              </w:rPr>
              <w:t>3</w:t>
            </w:r>
            <w:r w:rsidR="00C75201" w:rsidRPr="00C75201">
              <w:rPr>
                <w:rFonts w:asciiTheme="minorHAnsi" w:hAnsiTheme="minorHAnsi" w:cstheme="minorHAnsi"/>
                <w:noProof/>
                <w:webHidden/>
              </w:rPr>
              <w:fldChar w:fldCharType="end"/>
            </w:r>
          </w:hyperlink>
        </w:p>
        <w:p w14:paraId="3ED4756F" w14:textId="77777777" w:rsidR="00C75201" w:rsidRPr="00C75201" w:rsidRDefault="00E57A6B" w:rsidP="00C75201">
          <w:pPr>
            <w:pStyle w:val="Verzeichnis1"/>
            <w:spacing w:line="276" w:lineRule="auto"/>
            <w:rPr>
              <w:rFonts w:asciiTheme="minorHAnsi" w:eastAsiaTheme="minorEastAsia" w:hAnsiTheme="minorHAnsi" w:cstheme="minorHAnsi"/>
              <w:noProof/>
              <w:szCs w:val="22"/>
              <w:lang w:eastAsia="de-AT"/>
            </w:rPr>
          </w:pPr>
          <w:hyperlink w:anchor="_Toc61379680" w:history="1">
            <w:r w:rsidR="00C75201" w:rsidRPr="00C75201">
              <w:rPr>
                <w:rStyle w:val="Hyperlink"/>
                <w:rFonts w:asciiTheme="minorHAnsi" w:hAnsiTheme="minorHAnsi" w:cstheme="minorHAnsi"/>
                <w:noProof/>
              </w:rPr>
              <w:t>2</w:t>
            </w:r>
            <w:r w:rsidR="00C75201" w:rsidRPr="00C75201">
              <w:rPr>
                <w:rFonts w:asciiTheme="minorHAnsi" w:eastAsiaTheme="minorEastAsia" w:hAnsiTheme="minorHAnsi" w:cstheme="minorHAnsi"/>
                <w:noProof/>
                <w:szCs w:val="22"/>
                <w:lang w:eastAsia="de-AT"/>
              </w:rPr>
              <w:tab/>
            </w:r>
            <w:r w:rsidR="00C75201" w:rsidRPr="00C75201">
              <w:rPr>
                <w:rStyle w:val="Hyperlink"/>
                <w:rFonts w:asciiTheme="minorHAnsi" w:hAnsiTheme="minorHAnsi" w:cstheme="minorHAnsi"/>
                <w:noProof/>
              </w:rPr>
              <w:t>Diagnostik und Scoring</w:t>
            </w:r>
            <w:r w:rsidR="00C75201" w:rsidRPr="00C75201">
              <w:rPr>
                <w:rFonts w:asciiTheme="minorHAnsi" w:hAnsiTheme="minorHAnsi" w:cstheme="minorHAnsi"/>
                <w:noProof/>
                <w:webHidden/>
              </w:rPr>
              <w:tab/>
            </w:r>
            <w:r w:rsidR="00C75201" w:rsidRPr="00C75201">
              <w:rPr>
                <w:rFonts w:asciiTheme="minorHAnsi" w:hAnsiTheme="minorHAnsi" w:cstheme="minorHAnsi"/>
                <w:noProof/>
                <w:webHidden/>
              </w:rPr>
              <w:fldChar w:fldCharType="begin"/>
            </w:r>
            <w:r w:rsidR="00C75201" w:rsidRPr="00C75201">
              <w:rPr>
                <w:rFonts w:asciiTheme="minorHAnsi" w:hAnsiTheme="minorHAnsi" w:cstheme="minorHAnsi"/>
                <w:noProof/>
                <w:webHidden/>
              </w:rPr>
              <w:instrText xml:space="preserve"> PAGEREF _Toc61379680 \h </w:instrText>
            </w:r>
            <w:r w:rsidR="00C75201" w:rsidRPr="00C75201">
              <w:rPr>
                <w:rFonts w:asciiTheme="minorHAnsi" w:hAnsiTheme="minorHAnsi" w:cstheme="minorHAnsi"/>
                <w:noProof/>
                <w:webHidden/>
              </w:rPr>
            </w:r>
            <w:r w:rsidR="00C75201" w:rsidRPr="00C75201">
              <w:rPr>
                <w:rFonts w:asciiTheme="minorHAnsi" w:hAnsiTheme="minorHAnsi" w:cstheme="minorHAnsi"/>
                <w:noProof/>
                <w:webHidden/>
              </w:rPr>
              <w:fldChar w:fldCharType="separate"/>
            </w:r>
            <w:r w:rsidR="009F3DFA">
              <w:rPr>
                <w:rFonts w:asciiTheme="minorHAnsi" w:hAnsiTheme="minorHAnsi" w:cstheme="minorHAnsi"/>
                <w:noProof/>
                <w:webHidden/>
              </w:rPr>
              <w:t>3</w:t>
            </w:r>
            <w:r w:rsidR="00C75201" w:rsidRPr="00C75201">
              <w:rPr>
                <w:rFonts w:asciiTheme="minorHAnsi" w:hAnsiTheme="minorHAnsi" w:cstheme="minorHAnsi"/>
                <w:noProof/>
                <w:webHidden/>
              </w:rPr>
              <w:fldChar w:fldCharType="end"/>
            </w:r>
          </w:hyperlink>
        </w:p>
        <w:p w14:paraId="77A9F9DD" w14:textId="77777777" w:rsidR="00C75201" w:rsidRPr="00C75201" w:rsidRDefault="00E57A6B" w:rsidP="00C75201">
          <w:pPr>
            <w:pStyle w:val="Verzeichnis2"/>
            <w:tabs>
              <w:tab w:val="left" w:pos="880"/>
            </w:tabs>
            <w:spacing w:after="0"/>
            <w:rPr>
              <w:rFonts w:asciiTheme="minorHAnsi" w:eastAsiaTheme="minorEastAsia" w:hAnsiTheme="minorHAnsi" w:cstheme="minorHAnsi"/>
              <w:noProof/>
              <w:szCs w:val="22"/>
              <w:lang w:eastAsia="de-AT"/>
            </w:rPr>
          </w:pPr>
          <w:hyperlink w:anchor="_Toc61379681" w:history="1">
            <w:r w:rsidR="00C75201" w:rsidRPr="00C75201">
              <w:rPr>
                <w:rStyle w:val="Hyperlink"/>
                <w:rFonts w:asciiTheme="minorHAnsi" w:hAnsiTheme="minorHAnsi" w:cstheme="minorHAnsi"/>
                <w:noProof/>
              </w:rPr>
              <w:t>2.1</w:t>
            </w:r>
            <w:r w:rsidR="00C75201" w:rsidRPr="00C75201">
              <w:rPr>
                <w:rFonts w:asciiTheme="minorHAnsi" w:eastAsiaTheme="minorEastAsia" w:hAnsiTheme="minorHAnsi" w:cstheme="minorHAnsi"/>
                <w:noProof/>
                <w:szCs w:val="22"/>
                <w:lang w:eastAsia="de-AT"/>
              </w:rPr>
              <w:tab/>
            </w:r>
            <w:r w:rsidR="00C75201" w:rsidRPr="00C75201">
              <w:rPr>
                <w:rStyle w:val="Hyperlink"/>
                <w:rFonts w:asciiTheme="minorHAnsi" w:hAnsiTheme="minorHAnsi" w:cstheme="minorHAnsi"/>
                <w:noProof/>
              </w:rPr>
              <w:t>Diagnostik</w:t>
            </w:r>
            <w:r w:rsidR="00C75201" w:rsidRPr="00C75201">
              <w:rPr>
                <w:rFonts w:asciiTheme="minorHAnsi" w:hAnsiTheme="minorHAnsi" w:cstheme="minorHAnsi"/>
                <w:noProof/>
                <w:webHidden/>
              </w:rPr>
              <w:tab/>
            </w:r>
            <w:r w:rsidR="00C75201" w:rsidRPr="00C75201">
              <w:rPr>
                <w:rFonts w:asciiTheme="minorHAnsi" w:hAnsiTheme="minorHAnsi" w:cstheme="minorHAnsi"/>
                <w:noProof/>
                <w:webHidden/>
              </w:rPr>
              <w:fldChar w:fldCharType="begin"/>
            </w:r>
            <w:r w:rsidR="00C75201" w:rsidRPr="00C75201">
              <w:rPr>
                <w:rFonts w:asciiTheme="minorHAnsi" w:hAnsiTheme="minorHAnsi" w:cstheme="minorHAnsi"/>
                <w:noProof/>
                <w:webHidden/>
              </w:rPr>
              <w:instrText xml:space="preserve"> PAGEREF _Toc61379681 \h </w:instrText>
            </w:r>
            <w:r w:rsidR="00C75201" w:rsidRPr="00C75201">
              <w:rPr>
                <w:rFonts w:asciiTheme="minorHAnsi" w:hAnsiTheme="minorHAnsi" w:cstheme="minorHAnsi"/>
                <w:noProof/>
                <w:webHidden/>
              </w:rPr>
            </w:r>
            <w:r w:rsidR="00C75201" w:rsidRPr="00C75201">
              <w:rPr>
                <w:rFonts w:asciiTheme="minorHAnsi" w:hAnsiTheme="minorHAnsi" w:cstheme="minorHAnsi"/>
                <w:noProof/>
                <w:webHidden/>
              </w:rPr>
              <w:fldChar w:fldCharType="separate"/>
            </w:r>
            <w:r w:rsidR="009F3DFA">
              <w:rPr>
                <w:rFonts w:asciiTheme="minorHAnsi" w:hAnsiTheme="minorHAnsi" w:cstheme="minorHAnsi"/>
                <w:noProof/>
                <w:webHidden/>
              </w:rPr>
              <w:t>3</w:t>
            </w:r>
            <w:r w:rsidR="00C75201" w:rsidRPr="00C75201">
              <w:rPr>
                <w:rFonts w:asciiTheme="minorHAnsi" w:hAnsiTheme="minorHAnsi" w:cstheme="minorHAnsi"/>
                <w:noProof/>
                <w:webHidden/>
              </w:rPr>
              <w:fldChar w:fldCharType="end"/>
            </w:r>
          </w:hyperlink>
        </w:p>
        <w:p w14:paraId="4EE38B9F" w14:textId="77777777" w:rsidR="00C75201" w:rsidRPr="00C75201" w:rsidRDefault="00E57A6B" w:rsidP="00C75201">
          <w:pPr>
            <w:pStyle w:val="Verzeichnis2"/>
            <w:tabs>
              <w:tab w:val="left" w:pos="880"/>
            </w:tabs>
            <w:spacing w:after="0"/>
            <w:rPr>
              <w:rFonts w:asciiTheme="minorHAnsi" w:eastAsiaTheme="minorEastAsia" w:hAnsiTheme="minorHAnsi" w:cstheme="minorHAnsi"/>
              <w:noProof/>
              <w:szCs w:val="22"/>
              <w:lang w:eastAsia="de-AT"/>
            </w:rPr>
          </w:pPr>
          <w:hyperlink w:anchor="_Toc61379682" w:history="1">
            <w:r w:rsidR="00C75201" w:rsidRPr="00C75201">
              <w:rPr>
                <w:rStyle w:val="Hyperlink"/>
                <w:rFonts w:asciiTheme="minorHAnsi" w:hAnsiTheme="minorHAnsi" w:cstheme="minorHAnsi"/>
                <w:noProof/>
              </w:rPr>
              <w:t>2.2</w:t>
            </w:r>
            <w:r w:rsidR="00C75201" w:rsidRPr="00C75201">
              <w:rPr>
                <w:rFonts w:asciiTheme="minorHAnsi" w:eastAsiaTheme="minorEastAsia" w:hAnsiTheme="minorHAnsi" w:cstheme="minorHAnsi"/>
                <w:noProof/>
                <w:szCs w:val="22"/>
                <w:lang w:eastAsia="de-AT"/>
              </w:rPr>
              <w:tab/>
            </w:r>
            <w:r w:rsidR="00C75201" w:rsidRPr="00C75201">
              <w:rPr>
                <w:rStyle w:val="Hyperlink"/>
                <w:rFonts w:asciiTheme="minorHAnsi" w:hAnsiTheme="minorHAnsi" w:cstheme="minorHAnsi"/>
                <w:noProof/>
              </w:rPr>
              <w:t>Fertilität</w:t>
            </w:r>
            <w:r w:rsidR="00C75201" w:rsidRPr="00C75201">
              <w:rPr>
                <w:rFonts w:asciiTheme="minorHAnsi" w:hAnsiTheme="minorHAnsi" w:cstheme="minorHAnsi"/>
                <w:noProof/>
                <w:webHidden/>
              </w:rPr>
              <w:tab/>
            </w:r>
            <w:r w:rsidR="00C75201" w:rsidRPr="00C75201">
              <w:rPr>
                <w:rFonts w:asciiTheme="minorHAnsi" w:hAnsiTheme="minorHAnsi" w:cstheme="minorHAnsi"/>
                <w:noProof/>
                <w:webHidden/>
              </w:rPr>
              <w:fldChar w:fldCharType="begin"/>
            </w:r>
            <w:r w:rsidR="00C75201" w:rsidRPr="00C75201">
              <w:rPr>
                <w:rFonts w:asciiTheme="minorHAnsi" w:hAnsiTheme="minorHAnsi" w:cstheme="minorHAnsi"/>
                <w:noProof/>
                <w:webHidden/>
              </w:rPr>
              <w:instrText xml:space="preserve"> PAGEREF _Toc61379682 \h </w:instrText>
            </w:r>
            <w:r w:rsidR="00C75201" w:rsidRPr="00C75201">
              <w:rPr>
                <w:rFonts w:asciiTheme="minorHAnsi" w:hAnsiTheme="minorHAnsi" w:cstheme="minorHAnsi"/>
                <w:noProof/>
                <w:webHidden/>
              </w:rPr>
            </w:r>
            <w:r w:rsidR="00C75201" w:rsidRPr="00C75201">
              <w:rPr>
                <w:rFonts w:asciiTheme="minorHAnsi" w:hAnsiTheme="minorHAnsi" w:cstheme="minorHAnsi"/>
                <w:noProof/>
                <w:webHidden/>
              </w:rPr>
              <w:fldChar w:fldCharType="separate"/>
            </w:r>
            <w:r w:rsidR="009F3DFA">
              <w:rPr>
                <w:rFonts w:asciiTheme="minorHAnsi" w:hAnsiTheme="minorHAnsi" w:cstheme="minorHAnsi"/>
                <w:noProof/>
                <w:webHidden/>
              </w:rPr>
              <w:t>4</w:t>
            </w:r>
            <w:r w:rsidR="00C75201" w:rsidRPr="00C75201">
              <w:rPr>
                <w:rFonts w:asciiTheme="minorHAnsi" w:hAnsiTheme="minorHAnsi" w:cstheme="minorHAnsi"/>
                <w:noProof/>
                <w:webHidden/>
              </w:rPr>
              <w:fldChar w:fldCharType="end"/>
            </w:r>
          </w:hyperlink>
        </w:p>
        <w:p w14:paraId="0A7021D1" w14:textId="77777777" w:rsidR="00C75201" w:rsidRPr="00C75201" w:rsidRDefault="00E57A6B" w:rsidP="00C75201">
          <w:pPr>
            <w:pStyle w:val="Verzeichnis2"/>
            <w:tabs>
              <w:tab w:val="left" w:pos="880"/>
            </w:tabs>
            <w:spacing w:after="0"/>
            <w:rPr>
              <w:rFonts w:asciiTheme="minorHAnsi" w:eastAsiaTheme="minorEastAsia" w:hAnsiTheme="minorHAnsi" w:cstheme="minorHAnsi"/>
              <w:noProof/>
              <w:szCs w:val="22"/>
              <w:lang w:eastAsia="de-AT"/>
            </w:rPr>
          </w:pPr>
          <w:hyperlink w:anchor="_Toc61379683" w:history="1">
            <w:r w:rsidR="00C75201" w:rsidRPr="00C75201">
              <w:rPr>
                <w:rStyle w:val="Hyperlink"/>
                <w:rFonts w:asciiTheme="minorHAnsi" w:hAnsiTheme="minorHAnsi" w:cstheme="minorHAnsi"/>
                <w:noProof/>
                <w:lang w:val="en-GB"/>
              </w:rPr>
              <w:t>2.3</w:t>
            </w:r>
            <w:r w:rsidR="00C75201" w:rsidRPr="00C75201">
              <w:rPr>
                <w:rFonts w:asciiTheme="minorHAnsi" w:eastAsiaTheme="minorEastAsia" w:hAnsiTheme="minorHAnsi" w:cstheme="minorHAnsi"/>
                <w:noProof/>
                <w:szCs w:val="22"/>
                <w:lang w:eastAsia="de-AT"/>
              </w:rPr>
              <w:tab/>
            </w:r>
            <w:r w:rsidR="00C75201" w:rsidRPr="00C75201">
              <w:rPr>
                <w:rStyle w:val="Hyperlink"/>
                <w:rFonts w:asciiTheme="minorHAnsi" w:hAnsiTheme="minorHAnsi" w:cstheme="minorHAnsi"/>
                <w:noProof/>
                <w:lang w:val="en-GB"/>
              </w:rPr>
              <w:t>WHO-Klassifikation</w:t>
            </w:r>
            <w:r w:rsidR="00C75201" w:rsidRPr="00C75201">
              <w:rPr>
                <w:rFonts w:asciiTheme="minorHAnsi" w:hAnsiTheme="minorHAnsi" w:cstheme="minorHAnsi"/>
                <w:noProof/>
                <w:webHidden/>
              </w:rPr>
              <w:tab/>
            </w:r>
            <w:r w:rsidR="00C75201" w:rsidRPr="00C75201">
              <w:rPr>
                <w:rFonts w:asciiTheme="minorHAnsi" w:hAnsiTheme="minorHAnsi" w:cstheme="minorHAnsi"/>
                <w:noProof/>
                <w:webHidden/>
              </w:rPr>
              <w:fldChar w:fldCharType="begin"/>
            </w:r>
            <w:r w:rsidR="00C75201" w:rsidRPr="00C75201">
              <w:rPr>
                <w:rFonts w:asciiTheme="minorHAnsi" w:hAnsiTheme="minorHAnsi" w:cstheme="minorHAnsi"/>
                <w:noProof/>
                <w:webHidden/>
              </w:rPr>
              <w:instrText xml:space="preserve"> PAGEREF _Toc61379683 \h </w:instrText>
            </w:r>
            <w:r w:rsidR="00C75201" w:rsidRPr="00C75201">
              <w:rPr>
                <w:rFonts w:asciiTheme="minorHAnsi" w:hAnsiTheme="minorHAnsi" w:cstheme="minorHAnsi"/>
                <w:noProof/>
                <w:webHidden/>
              </w:rPr>
            </w:r>
            <w:r w:rsidR="00C75201" w:rsidRPr="00C75201">
              <w:rPr>
                <w:rFonts w:asciiTheme="minorHAnsi" w:hAnsiTheme="minorHAnsi" w:cstheme="minorHAnsi"/>
                <w:noProof/>
                <w:webHidden/>
              </w:rPr>
              <w:fldChar w:fldCharType="separate"/>
            </w:r>
            <w:r w:rsidR="009F3DFA">
              <w:rPr>
                <w:rFonts w:asciiTheme="minorHAnsi" w:hAnsiTheme="minorHAnsi" w:cstheme="minorHAnsi"/>
                <w:noProof/>
                <w:webHidden/>
              </w:rPr>
              <w:t>5</w:t>
            </w:r>
            <w:r w:rsidR="00C75201" w:rsidRPr="00C75201">
              <w:rPr>
                <w:rFonts w:asciiTheme="minorHAnsi" w:hAnsiTheme="minorHAnsi" w:cstheme="minorHAnsi"/>
                <w:noProof/>
                <w:webHidden/>
              </w:rPr>
              <w:fldChar w:fldCharType="end"/>
            </w:r>
          </w:hyperlink>
        </w:p>
        <w:p w14:paraId="0ACDF43E" w14:textId="77777777" w:rsidR="00C75201" w:rsidRPr="00C75201" w:rsidRDefault="00E57A6B" w:rsidP="00C75201">
          <w:pPr>
            <w:pStyle w:val="Verzeichnis2"/>
            <w:tabs>
              <w:tab w:val="left" w:pos="880"/>
            </w:tabs>
            <w:spacing w:after="0"/>
            <w:rPr>
              <w:rFonts w:asciiTheme="minorHAnsi" w:eastAsiaTheme="minorEastAsia" w:hAnsiTheme="minorHAnsi" w:cstheme="minorHAnsi"/>
              <w:noProof/>
              <w:szCs w:val="22"/>
              <w:lang w:eastAsia="de-AT"/>
            </w:rPr>
          </w:pPr>
          <w:hyperlink w:anchor="_Toc61379684" w:history="1">
            <w:r w:rsidR="00C75201" w:rsidRPr="00C75201">
              <w:rPr>
                <w:rStyle w:val="Hyperlink"/>
                <w:rFonts w:asciiTheme="minorHAnsi" w:hAnsiTheme="minorHAnsi" w:cstheme="minorHAnsi"/>
                <w:noProof/>
              </w:rPr>
              <w:t>2.4</w:t>
            </w:r>
            <w:r w:rsidR="00C75201" w:rsidRPr="00C75201">
              <w:rPr>
                <w:rFonts w:asciiTheme="minorHAnsi" w:eastAsiaTheme="minorEastAsia" w:hAnsiTheme="minorHAnsi" w:cstheme="minorHAnsi"/>
                <w:noProof/>
                <w:szCs w:val="22"/>
                <w:lang w:eastAsia="de-AT"/>
              </w:rPr>
              <w:tab/>
            </w:r>
            <w:r w:rsidR="00C75201" w:rsidRPr="00C75201">
              <w:rPr>
                <w:rStyle w:val="Hyperlink"/>
                <w:rFonts w:asciiTheme="minorHAnsi" w:hAnsiTheme="minorHAnsi" w:cstheme="minorHAnsi"/>
                <w:noProof/>
              </w:rPr>
              <w:t>Typische Befundkonstellationen verschiedener Subtypen</w:t>
            </w:r>
            <w:r w:rsidR="00C75201" w:rsidRPr="00C75201">
              <w:rPr>
                <w:rFonts w:asciiTheme="minorHAnsi" w:hAnsiTheme="minorHAnsi" w:cstheme="minorHAnsi"/>
                <w:noProof/>
                <w:webHidden/>
              </w:rPr>
              <w:tab/>
            </w:r>
            <w:r w:rsidR="00C75201" w:rsidRPr="00C75201">
              <w:rPr>
                <w:rFonts w:asciiTheme="minorHAnsi" w:hAnsiTheme="minorHAnsi" w:cstheme="minorHAnsi"/>
                <w:noProof/>
                <w:webHidden/>
              </w:rPr>
              <w:fldChar w:fldCharType="begin"/>
            </w:r>
            <w:r w:rsidR="00C75201" w:rsidRPr="00C75201">
              <w:rPr>
                <w:rFonts w:asciiTheme="minorHAnsi" w:hAnsiTheme="minorHAnsi" w:cstheme="minorHAnsi"/>
                <w:noProof/>
                <w:webHidden/>
              </w:rPr>
              <w:instrText xml:space="preserve"> PAGEREF _Toc61379684 \h </w:instrText>
            </w:r>
            <w:r w:rsidR="00C75201" w:rsidRPr="00C75201">
              <w:rPr>
                <w:rFonts w:asciiTheme="minorHAnsi" w:hAnsiTheme="minorHAnsi" w:cstheme="minorHAnsi"/>
                <w:noProof/>
                <w:webHidden/>
              </w:rPr>
            </w:r>
            <w:r w:rsidR="00C75201" w:rsidRPr="00C75201">
              <w:rPr>
                <w:rFonts w:asciiTheme="minorHAnsi" w:hAnsiTheme="minorHAnsi" w:cstheme="minorHAnsi"/>
                <w:noProof/>
                <w:webHidden/>
              </w:rPr>
              <w:fldChar w:fldCharType="separate"/>
            </w:r>
            <w:r w:rsidR="009F3DFA">
              <w:rPr>
                <w:rFonts w:asciiTheme="minorHAnsi" w:hAnsiTheme="minorHAnsi" w:cstheme="minorHAnsi"/>
                <w:noProof/>
                <w:webHidden/>
              </w:rPr>
              <w:t>5</w:t>
            </w:r>
            <w:r w:rsidR="00C75201" w:rsidRPr="00C75201">
              <w:rPr>
                <w:rFonts w:asciiTheme="minorHAnsi" w:hAnsiTheme="minorHAnsi" w:cstheme="minorHAnsi"/>
                <w:noProof/>
                <w:webHidden/>
              </w:rPr>
              <w:fldChar w:fldCharType="end"/>
            </w:r>
          </w:hyperlink>
        </w:p>
        <w:p w14:paraId="1A1FB389" w14:textId="77777777" w:rsidR="00C75201" w:rsidRPr="00C75201" w:rsidRDefault="00E57A6B" w:rsidP="00C75201">
          <w:pPr>
            <w:pStyle w:val="Verzeichnis2"/>
            <w:spacing w:after="0"/>
            <w:rPr>
              <w:rFonts w:asciiTheme="minorHAnsi" w:eastAsiaTheme="minorEastAsia" w:hAnsiTheme="minorHAnsi" w:cstheme="minorHAnsi"/>
              <w:noProof/>
              <w:szCs w:val="22"/>
              <w:lang w:eastAsia="de-AT"/>
            </w:rPr>
          </w:pPr>
          <w:hyperlink w:anchor="_Toc61379685" w:history="1">
            <w:r w:rsidR="00C75201" w:rsidRPr="00C75201">
              <w:rPr>
                <w:rStyle w:val="Hyperlink"/>
                <w:rFonts w:asciiTheme="minorHAnsi" w:hAnsiTheme="minorHAnsi" w:cstheme="minorHAnsi"/>
                <w:noProof/>
              </w:rPr>
              <w:t>2.5 Stadieneinteilung nach den modifizierten Ann-Arbor-Kriterien</w:t>
            </w:r>
            <w:r w:rsidR="00C75201" w:rsidRPr="00C75201">
              <w:rPr>
                <w:rFonts w:asciiTheme="minorHAnsi" w:hAnsiTheme="minorHAnsi" w:cstheme="minorHAnsi"/>
                <w:noProof/>
                <w:webHidden/>
              </w:rPr>
              <w:tab/>
            </w:r>
            <w:r w:rsidR="00C75201" w:rsidRPr="00C75201">
              <w:rPr>
                <w:rFonts w:asciiTheme="minorHAnsi" w:hAnsiTheme="minorHAnsi" w:cstheme="minorHAnsi"/>
                <w:noProof/>
                <w:webHidden/>
              </w:rPr>
              <w:fldChar w:fldCharType="begin"/>
            </w:r>
            <w:r w:rsidR="00C75201" w:rsidRPr="00C75201">
              <w:rPr>
                <w:rFonts w:asciiTheme="minorHAnsi" w:hAnsiTheme="minorHAnsi" w:cstheme="minorHAnsi"/>
                <w:noProof/>
                <w:webHidden/>
              </w:rPr>
              <w:instrText xml:space="preserve"> PAGEREF _Toc61379685 \h </w:instrText>
            </w:r>
            <w:r w:rsidR="00C75201" w:rsidRPr="00C75201">
              <w:rPr>
                <w:rFonts w:asciiTheme="minorHAnsi" w:hAnsiTheme="minorHAnsi" w:cstheme="minorHAnsi"/>
                <w:noProof/>
                <w:webHidden/>
              </w:rPr>
            </w:r>
            <w:r w:rsidR="00C75201" w:rsidRPr="00C75201">
              <w:rPr>
                <w:rFonts w:asciiTheme="minorHAnsi" w:hAnsiTheme="minorHAnsi" w:cstheme="minorHAnsi"/>
                <w:noProof/>
                <w:webHidden/>
              </w:rPr>
              <w:fldChar w:fldCharType="separate"/>
            </w:r>
            <w:r w:rsidR="009F3DFA">
              <w:rPr>
                <w:rFonts w:asciiTheme="minorHAnsi" w:hAnsiTheme="minorHAnsi" w:cstheme="minorHAnsi"/>
                <w:noProof/>
                <w:webHidden/>
              </w:rPr>
              <w:t>6</w:t>
            </w:r>
            <w:r w:rsidR="00C75201" w:rsidRPr="00C75201">
              <w:rPr>
                <w:rFonts w:asciiTheme="minorHAnsi" w:hAnsiTheme="minorHAnsi" w:cstheme="minorHAnsi"/>
                <w:noProof/>
                <w:webHidden/>
              </w:rPr>
              <w:fldChar w:fldCharType="end"/>
            </w:r>
          </w:hyperlink>
        </w:p>
        <w:p w14:paraId="4D374D69" w14:textId="77777777" w:rsidR="00C75201" w:rsidRPr="00C75201" w:rsidRDefault="00E57A6B" w:rsidP="00C75201">
          <w:pPr>
            <w:pStyle w:val="Verzeichnis2"/>
            <w:tabs>
              <w:tab w:val="left" w:pos="880"/>
            </w:tabs>
            <w:spacing w:after="0"/>
            <w:rPr>
              <w:rFonts w:asciiTheme="minorHAnsi" w:eastAsiaTheme="minorEastAsia" w:hAnsiTheme="minorHAnsi" w:cstheme="minorHAnsi"/>
              <w:noProof/>
              <w:szCs w:val="22"/>
              <w:lang w:eastAsia="de-AT"/>
            </w:rPr>
          </w:pPr>
          <w:hyperlink w:anchor="_Toc61379686" w:history="1">
            <w:r w:rsidR="00C75201" w:rsidRPr="00C75201">
              <w:rPr>
                <w:rStyle w:val="Hyperlink"/>
                <w:rFonts w:asciiTheme="minorHAnsi" w:hAnsiTheme="minorHAnsi" w:cstheme="minorHAnsi"/>
                <w:noProof/>
              </w:rPr>
              <w:t>2.6</w:t>
            </w:r>
            <w:r w:rsidR="00C75201" w:rsidRPr="00C75201">
              <w:rPr>
                <w:rFonts w:asciiTheme="minorHAnsi" w:eastAsiaTheme="minorEastAsia" w:hAnsiTheme="minorHAnsi" w:cstheme="minorHAnsi"/>
                <w:noProof/>
                <w:szCs w:val="22"/>
                <w:lang w:eastAsia="de-AT"/>
              </w:rPr>
              <w:tab/>
            </w:r>
            <w:r w:rsidR="00C75201" w:rsidRPr="00C75201">
              <w:rPr>
                <w:rStyle w:val="Hyperlink"/>
                <w:rFonts w:asciiTheme="minorHAnsi" w:hAnsiTheme="minorHAnsi" w:cstheme="minorHAnsi"/>
                <w:noProof/>
              </w:rPr>
              <w:t>Risikostratifizierung</w:t>
            </w:r>
            <w:r w:rsidR="00C75201" w:rsidRPr="00C75201">
              <w:rPr>
                <w:rFonts w:asciiTheme="minorHAnsi" w:hAnsiTheme="minorHAnsi" w:cstheme="minorHAnsi"/>
                <w:noProof/>
                <w:webHidden/>
              </w:rPr>
              <w:tab/>
            </w:r>
            <w:r w:rsidR="00C75201" w:rsidRPr="00C75201">
              <w:rPr>
                <w:rFonts w:asciiTheme="minorHAnsi" w:hAnsiTheme="minorHAnsi" w:cstheme="minorHAnsi"/>
                <w:noProof/>
                <w:webHidden/>
              </w:rPr>
              <w:fldChar w:fldCharType="begin"/>
            </w:r>
            <w:r w:rsidR="00C75201" w:rsidRPr="00C75201">
              <w:rPr>
                <w:rFonts w:asciiTheme="minorHAnsi" w:hAnsiTheme="minorHAnsi" w:cstheme="minorHAnsi"/>
                <w:noProof/>
                <w:webHidden/>
              </w:rPr>
              <w:instrText xml:space="preserve"> PAGEREF _Toc61379686 \h </w:instrText>
            </w:r>
            <w:r w:rsidR="00C75201" w:rsidRPr="00C75201">
              <w:rPr>
                <w:rFonts w:asciiTheme="minorHAnsi" w:hAnsiTheme="minorHAnsi" w:cstheme="minorHAnsi"/>
                <w:noProof/>
                <w:webHidden/>
              </w:rPr>
            </w:r>
            <w:r w:rsidR="00C75201" w:rsidRPr="00C75201">
              <w:rPr>
                <w:rFonts w:asciiTheme="minorHAnsi" w:hAnsiTheme="minorHAnsi" w:cstheme="minorHAnsi"/>
                <w:noProof/>
                <w:webHidden/>
              </w:rPr>
              <w:fldChar w:fldCharType="separate"/>
            </w:r>
            <w:r w:rsidR="009F3DFA">
              <w:rPr>
                <w:rFonts w:asciiTheme="minorHAnsi" w:hAnsiTheme="minorHAnsi" w:cstheme="minorHAnsi"/>
                <w:noProof/>
                <w:webHidden/>
              </w:rPr>
              <w:t>7</w:t>
            </w:r>
            <w:r w:rsidR="00C75201" w:rsidRPr="00C75201">
              <w:rPr>
                <w:rFonts w:asciiTheme="minorHAnsi" w:hAnsiTheme="minorHAnsi" w:cstheme="minorHAnsi"/>
                <w:noProof/>
                <w:webHidden/>
              </w:rPr>
              <w:fldChar w:fldCharType="end"/>
            </w:r>
          </w:hyperlink>
        </w:p>
        <w:p w14:paraId="5DA1894A" w14:textId="77777777" w:rsidR="00C75201" w:rsidRPr="00C75201" w:rsidRDefault="00E57A6B" w:rsidP="00C75201">
          <w:pPr>
            <w:pStyle w:val="Verzeichnis3"/>
            <w:tabs>
              <w:tab w:val="left" w:pos="1320"/>
              <w:tab w:val="right" w:leader="dot" w:pos="9372"/>
            </w:tabs>
            <w:spacing w:after="0" w:line="276" w:lineRule="auto"/>
            <w:rPr>
              <w:rFonts w:asciiTheme="minorHAnsi" w:eastAsiaTheme="minorEastAsia" w:hAnsiTheme="minorHAnsi" w:cstheme="minorHAnsi"/>
              <w:noProof/>
              <w:szCs w:val="22"/>
              <w:lang w:eastAsia="de-AT"/>
            </w:rPr>
          </w:pPr>
          <w:hyperlink w:anchor="_Toc61379687" w:history="1">
            <w:r w:rsidR="00C75201" w:rsidRPr="00C75201">
              <w:rPr>
                <w:rStyle w:val="Hyperlink"/>
                <w:rFonts w:asciiTheme="minorHAnsi" w:hAnsiTheme="minorHAnsi" w:cstheme="minorHAnsi"/>
                <w:noProof/>
              </w:rPr>
              <w:t>2.6.1</w:t>
            </w:r>
            <w:r w:rsidR="00C75201" w:rsidRPr="00C75201">
              <w:rPr>
                <w:rFonts w:asciiTheme="minorHAnsi" w:eastAsiaTheme="minorEastAsia" w:hAnsiTheme="minorHAnsi" w:cstheme="minorHAnsi"/>
                <w:noProof/>
                <w:szCs w:val="22"/>
                <w:lang w:eastAsia="de-AT"/>
              </w:rPr>
              <w:tab/>
            </w:r>
            <w:r w:rsidR="00C75201" w:rsidRPr="00C75201">
              <w:rPr>
                <w:rStyle w:val="Hyperlink"/>
                <w:rFonts w:asciiTheme="minorHAnsi" w:hAnsiTheme="minorHAnsi" w:cstheme="minorHAnsi"/>
                <w:noProof/>
              </w:rPr>
              <w:t>IPI</w:t>
            </w:r>
            <w:r w:rsidR="00C75201" w:rsidRPr="00C75201">
              <w:rPr>
                <w:rFonts w:asciiTheme="minorHAnsi" w:hAnsiTheme="minorHAnsi" w:cstheme="minorHAnsi"/>
                <w:noProof/>
                <w:webHidden/>
              </w:rPr>
              <w:tab/>
            </w:r>
            <w:r w:rsidR="00C75201" w:rsidRPr="00C75201">
              <w:rPr>
                <w:rFonts w:asciiTheme="minorHAnsi" w:hAnsiTheme="minorHAnsi" w:cstheme="minorHAnsi"/>
                <w:noProof/>
                <w:webHidden/>
              </w:rPr>
              <w:fldChar w:fldCharType="begin"/>
            </w:r>
            <w:r w:rsidR="00C75201" w:rsidRPr="00C75201">
              <w:rPr>
                <w:rFonts w:asciiTheme="minorHAnsi" w:hAnsiTheme="minorHAnsi" w:cstheme="minorHAnsi"/>
                <w:noProof/>
                <w:webHidden/>
              </w:rPr>
              <w:instrText xml:space="preserve"> PAGEREF _Toc61379687 \h </w:instrText>
            </w:r>
            <w:r w:rsidR="00C75201" w:rsidRPr="00C75201">
              <w:rPr>
                <w:rFonts w:asciiTheme="minorHAnsi" w:hAnsiTheme="minorHAnsi" w:cstheme="minorHAnsi"/>
                <w:noProof/>
                <w:webHidden/>
              </w:rPr>
            </w:r>
            <w:r w:rsidR="00C75201" w:rsidRPr="00C75201">
              <w:rPr>
                <w:rFonts w:asciiTheme="minorHAnsi" w:hAnsiTheme="minorHAnsi" w:cstheme="minorHAnsi"/>
                <w:noProof/>
                <w:webHidden/>
              </w:rPr>
              <w:fldChar w:fldCharType="separate"/>
            </w:r>
            <w:r w:rsidR="009F3DFA">
              <w:rPr>
                <w:rFonts w:asciiTheme="minorHAnsi" w:hAnsiTheme="minorHAnsi" w:cstheme="minorHAnsi"/>
                <w:noProof/>
                <w:webHidden/>
              </w:rPr>
              <w:t>7</w:t>
            </w:r>
            <w:r w:rsidR="00C75201" w:rsidRPr="00C75201">
              <w:rPr>
                <w:rFonts w:asciiTheme="minorHAnsi" w:hAnsiTheme="minorHAnsi" w:cstheme="minorHAnsi"/>
                <w:noProof/>
                <w:webHidden/>
              </w:rPr>
              <w:fldChar w:fldCharType="end"/>
            </w:r>
          </w:hyperlink>
        </w:p>
        <w:p w14:paraId="191CB50D" w14:textId="77777777" w:rsidR="00C75201" w:rsidRPr="00C75201" w:rsidRDefault="00E57A6B" w:rsidP="00C75201">
          <w:pPr>
            <w:pStyle w:val="Verzeichnis3"/>
            <w:tabs>
              <w:tab w:val="left" w:pos="1320"/>
              <w:tab w:val="right" w:leader="dot" w:pos="9372"/>
            </w:tabs>
            <w:spacing w:after="0" w:line="276" w:lineRule="auto"/>
            <w:rPr>
              <w:rFonts w:asciiTheme="minorHAnsi" w:eastAsiaTheme="minorEastAsia" w:hAnsiTheme="minorHAnsi" w:cstheme="minorHAnsi"/>
              <w:noProof/>
              <w:szCs w:val="22"/>
              <w:lang w:eastAsia="de-AT"/>
            </w:rPr>
          </w:pPr>
          <w:hyperlink w:anchor="_Toc61379688" w:history="1">
            <w:r w:rsidR="00C75201" w:rsidRPr="00C75201">
              <w:rPr>
                <w:rStyle w:val="Hyperlink"/>
                <w:rFonts w:asciiTheme="minorHAnsi" w:hAnsiTheme="minorHAnsi" w:cstheme="minorHAnsi"/>
                <w:noProof/>
              </w:rPr>
              <w:t>2.6.2</w:t>
            </w:r>
            <w:r w:rsidR="00C75201" w:rsidRPr="00C75201">
              <w:rPr>
                <w:rFonts w:asciiTheme="minorHAnsi" w:eastAsiaTheme="minorEastAsia" w:hAnsiTheme="minorHAnsi" w:cstheme="minorHAnsi"/>
                <w:noProof/>
                <w:szCs w:val="22"/>
                <w:lang w:eastAsia="de-AT"/>
              </w:rPr>
              <w:tab/>
            </w:r>
            <w:r w:rsidR="00C75201" w:rsidRPr="00C75201">
              <w:rPr>
                <w:rStyle w:val="Hyperlink"/>
                <w:rFonts w:asciiTheme="minorHAnsi" w:hAnsiTheme="minorHAnsi" w:cstheme="minorHAnsi"/>
                <w:noProof/>
              </w:rPr>
              <w:t>PINK-E Risikoscore</w:t>
            </w:r>
            <w:r w:rsidR="00C75201" w:rsidRPr="00C75201">
              <w:rPr>
                <w:rFonts w:asciiTheme="minorHAnsi" w:hAnsiTheme="minorHAnsi" w:cstheme="minorHAnsi"/>
                <w:noProof/>
                <w:webHidden/>
              </w:rPr>
              <w:tab/>
            </w:r>
            <w:r w:rsidR="00C75201" w:rsidRPr="00C75201">
              <w:rPr>
                <w:rFonts w:asciiTheme="minorHAnsi" w:hAnsiTheme="minorHAnsi" w:cstheme="minorHAnsi"/>
                <w:noProof/>
                <w:webHidden/>
              </w:rPr>
              <w:fldChar w:fldCharType="begin"/>
            </w:r>
            <w:r w:rsidR="00C75201" w:rsidRPr="00C75201">
              <w:rPr>
                <w:rFonts w:asciiTheme="minorHAnsi" w:hAnsiTheme="minorHAnsi" w:cstheme="minorHAnsi"/>
                <w:noProof/>
                <w:webHidden/>
              </w:rPr>
              <w:instrText xml:space="preserve"> PAGEREF _Toc61379688 \h </w:instrText>
            </w:r>
            <w:r w:rsidR="00C75201" w:rsidRPr="00C75201">
              <w:rPr>
                <w:rFonts w:asciiTheme="minorHAnsi" w:hAnsiTheme="minorHAnsi" w:cstheme="minorHAnsi"/>
                <w:noProof/>
                <w:webHidden/>
              </w:rPr>
            </w:r>
            <w:r w:rsidR="00C75201" w:rsidRPr="00C75201">
              <w:rPr>
                <w:rFonts w:asciiTheme="minorHAnsi" w:hAnsiTheme="minorHAnsi" w:cstheme="minorHAnsi"/>
                <w:noProof/>
                <w:webHidden/>
              </w:rPr>
              <w:fldChar w:fldCharType="separate"/>
            </w:r>
            <w:r w:rsidR="009F3DFA">
              <w:rPr>
                <w:rFonts w:asciiTheme="minorHAnsi" w:hAnsiTheme="minorHAnsi" w:cstheme="minorHAnsi"/>
                <w:noProof/>
                <w:webHidden/>
              </w:rPr>
              <w:t>8</w:t>
            </w:r>
            <w:r w:rsidR="00C75201" w:rsidRPr="00C75201">
              <w:rPr>
                <w:rFonts w:asciiTheme="minorHAnsi" w:hAnsiTheme="minorHAnsi" w:cstheme="minorHAnsi"/>
                <w:noProof/>
                <w:webHidden/>
              </w:rPr>
              <w:fldChar w:fldCharType="end"/>
            </w:r>
          </w:hyperlink>
        </w:p>
        <w:p w14:paraId="7D5A6D0A" w14:textId="77777777" w:rsidR="00C75201" w:rsidRPr="00C75201" w:rsidRDefault="00E57A6B" w:rsidP="00C75201">
          <w:pPr>
            <w:pStyle w:val="Verzeichnis1"/>
            <w:spacing w:line="276" w:lineRule="auto"/>
            <w:rPr>
              <w:rFonts w:asciiTheme="minorHAnsi" w:eastAsiaTheme="minorEastAsia" w:hAnsiTheme="minorHAnsi" w:cstheme="minorHAnsi"/>
              <w:noProof/>
              <w:szCs w:val="22"/>
              <w:lang w:eastAsia="de-AT"/>
            </w:rPr>
          </w:pPr>
          <w:hyperlink w:anchor="_Toc61379689" w:history="1">
            <w:r w:rsidR="00C75201" w:rsidRPr="00C75201">
              <w:rPr>
                <w:rStyle w:val="Hyperlink"/>
                <w:rFonts w:asciiTheme="minorHAnsi" w:hAnsiTheme="minorHAnsi" w:cstheme="minorHAnsi"/>
                <w:noProof/>
                <w:lang w:val="en-US"/>
              </w:rPr>
              <w:t>3</w:t>
            </w:r>
            <w:r w:rsidR="00C75201" w:rsidRPr="00C75201">
              <w:rPr>
                <w:rFonts w:asciiTheme="minorHAnsi" w:eastAsiaTheme="minorEastAsia" w:hAnsiTheme="minorHAnsi" w:cstheme="minorHAnsi"/>
                <w:noProof/>
                <w:szCs w:val="22"/>
                <w:lang w:eastAsia="de-AT"/>
              </w:rPr>
              <w:tab/>
            </w:r>
            <w:r w:rsidR="00C75201" w:rsidRPr="00C75201">
              <w:rPr>
                <w:rStyle w:val="Hyperlink"/>
                <w:rFonts w:asciiTheme="minorHAnsi" w:hAnsiTheme="minorHAnsi" w:cstheme="minorHAnsi"/>
                <w:noProof/>
                <w:lang w:val="en-US"/>
              </w:rPr>
              <w:t>Behandlungsplan</w:t>
            </w:r>
            <w:r w:rsidR="00C75201" w:rsidRPr="00C75201">
              <w:rPr>
                <w:rFonts w:asciiTheme="minorHAnsi" w:hAnsiTheme="minorHAnsi" w:cstheme="minorHAnsi"/>
                <w:noProof/>
                <w:webHidden/>
              </w:rPr>
              <w:tab/>
            </w:r>
            <w:r w:rsidR="00C75201" w:rsidRPr="00C75201">
              <w:rPr>
                <w:rFonts w:asciiTheme="minorHAnsi" w:hAnsiTheme="minorHAnsi" w:cstheme="minorHAnsi"/>
                <w:noProof/>
                <w:webHidden/>
              </w:rPr>
              <w:fldChar w:fldCharType="begin"/>
            </w:r>
            <w:r w:rsidR="00C75201" w:rsidRPr="00C75201">
              <w:rPr>
                <w:rFonts w:asciiTheme="minorHAnsi" w:hAnsiTheme="minorHAnsi" w:cstheme="minorHAnsi"/>
                <w:noProof/>
                <w:webHidden/>
              </w:rPr>
              <w:instrText xml:space="preserve"> PAGEREF _Toc61379689 \h </w:instrText>
            </w:r>
            <w:r w:rsidR="00C75201" w:rsidRPr="00C75201">
              <w:rPr>
                <w:rFonts w:asciiTheme="minorHAnsi" w:hAnsiTheme="minorHAnsi" w:cstheme="minorHAnsi"/>
                <w:noProof/>
                <w:webHidden/>
              </w:rPr>
            </w:r>
            <w:r w:rsidR="00C75201" w:rsidRPr="00C75201">
              <w:rPr>
                <w:rFonts w:asciiTheme="minorHAnsi" w:hAnsiTheme="minorHAnsi" w:cstheme="minorHAnsi"/>
                <w:noProof/>
                <w:webHidden/>
              </w:rPr>
              <w:fldChar w:fldCharType="separate"/>
            </w:r>
            <w:r w:rsidR="009F3DFA">
              <w:rPr>
                <w:rFonts w:asciiTheme="minorHAnsi" w:hAnsiTheme="minorHAnsi" w:cstheme="minorHAnsi"/>
                <w:noProof/>
                <w:webHidden/>
              </w:rPr>
              <w:t>9</w:t>
            </w:r>
            <w:r w:rsidR="00C75201" w:rsidRPr="00C75201">
              <w:rPr>
                <w:rFonts w:asciiTheme="minorHAnsi" w:hAnsiTheme="minorHAnsi" w:cstheme="minorHAnsi"/>
                <w:noProof/>
                <w:webHidden/>
              </w:rPr>
              <w:fldChar w:fldCharType="end"/>
            </w:r>
          </w:hyperlink>
        </w:p>
        <w:p w14:paraId="1116171D" w14:textId="77777777" w:rsidR="00C75201" w:rsidRPr="00C75201" w:rsidRDefault="00E57A6B" w:rsidP="00C75201">
          <w:pPr>
            <w:pStyle w:val="Verzeichnis2"/>
            <w:tabs>
              <w:tab w:val="left" w:pos="880"/>
            </w:tabs>
            <w:spacing w:after="0"/>
            <w:rPr>
              <w:rFonts w:asciiTheme="minorHAnsi" w:eastAsiaTheme="minorEastAsia" w:hAnsiTheme="minorHAnsi" w:cstheme="minorHAnsi"/>
              <w:noProof/>
              <w:szCs w:val="22"/>
              <w:lang w:eastAsia="de-AT"/>
            </w:rPr>
          </w:pPr>
          <w:hyperlink w:anchor="_Toc61379690" w:history="1">
            <w:r w:rsidR="00C75201" w:rsidRPr="00C75201">
              <w:rPr>
                <w:rStyle w:val="Hyperlink"/>
                <w:rFonts w:asciiTheme="minorHAnsi" w:hAnsiTheme="minorHAnsi" w:cstheme="minorHAnsi"/>
                <w:noProof/>
                <w:lang w:val="en-US"/>
              </w:rPr>
              <w:t>3.1</w:t>
            </w:r>
            <w:r w:rsidR="00C75201" w:rsidRPr="00C75201">
              <w:rPr>
                <w:rFonts w:asciiTheme="minorHAnsi" w:eastAsiaTheme="minorEastAsia" w:hAnsiTheme="minorHAnsi" w:cstheme="minorHAnsi"/>
                <w:noProof/>
                <w:szCs w:val="22"/>
                <w:lang w:eastAsia="de-AT"/>
              </w:rPr>
              <w:tab/>
            </w:r>
            <w:r w:rsidR="00C75201" w:rsidRPr="00C75201">
              <w:rPr>
                <w:rStyle w:val="Hyperlink"/>
                <w:rFonts w:asciiTheme="minorHAnsi" w:hAnsiTheme="minorHAnsi" w:cstheme="minorHAnsi"/>
                <w:noProof/>
                <w:lang w:val="en-US"/>
              </w:rPr>
              <w:t>T-Zell-Lymphome - fit for transplant</w:t>
            </w:r>
            <w:r w:rsidR="00C75201" w:rsidRPr="00C75201">
              <w:rPr>
                <w:rFonts w:asciiTheme="minorHAnsi" w:hAnsiTheme="minorHAnsi" w:cstheme="minorHAnsi"/>
                <w:noProof/>
                <w:webHidden/>
              </w:rPr>
              <w:tab/>
            </w:r>
            <w:r w:rsidR="00C75201" w:rsidRPr="00C75201">
              <w:rPr>
                <w:rFonts w:asciiTheme="minorHAnsi" w:hAnsiTheme="minorHAnsi" w:cstheme="minorHAnsi"/>
                <w:noProof/>
                <w:webHidden/>
              </w:rPr>
              <w:fldChar w:fldCharType="begin"/>
            </w:r>
            <w:r w:rsidR="00C75201" w:rsidRPr="00C75201">
              <w:rPr>
                <w:rFonts w:asciiTheme="minorHAnsi" w:hAnsiTheme="minorHAnsi" w:cstheme="minorHAnsi"/>
                <w:noProof/>
                <w:webHidden/>
              </w:rPr>
              <w:instrText xml:space="preserve"> PAGEREF _Toc61379690 \h </w:instrText>
            </w:r>
            <w:r w:rsidR="00C75201" w:rsidRPr="00C75201">
              <w:rPr>
                <w:rFonts w:asciiTheme="minorHAnsi" w:hAnsiTheme="minorHAnsi" w:cstheme="minorHAnsi"/>
                <w:noProof/>
                <w:webHidden/>
              </w:rPr>
            </w:r>
            <w:r w:rsidR="00C75201" w:rsidRPr="00C75201">
              <w:rPr>
                <w:rFonts w:asciiTheme="minorHAnsi" w:hAnsiTheme="minorHAnsi" w:cstheme="minorHAnsi"/>
                <w:noProof/>
                <w:webHidden/>
              </w:rPr>
              <w:fldChar w:fldCharType="separate"/>
            </w:r>
            <w:r w:rsidR="009F3DFA">
              <w:rPr>
                <w:rFonts w:asciiTheme="minorHAnsi" w:hAnsiTheme="minorHAnsi" w:cstheme="minorHAnsi"/>
                <w:noProof/>
                <w:webHidden/>
              </w:rPr>
              <w:t>9</w:t>
            </w:r>
            <w:r w:rsidR="00C75201" w:rsidRPr="00C75201">
              <w:rPr>
                <w:rFonts w:asciiTheme="minorHAnsi" w:hAnsiTheme="minorHAnsi" w:cstheme="minorHAnsi"/>
                <w:noProof/>
                <w:webHidden/>
              </w:rPr>
              <w:fldChar w:fldCharType="end"/>
            </w:r>
          </w:hyperlink>
        </w:p>
        <w:p w14:paraId="17817E64" w14:textId="77777777" w:rsidR="00C75201" w:rsidRPr="00C75201" w:rsidRDefault="00E57A6B" w:rsidP="00C75201">
          <w:pPr>
            <w:pStyle w:val="Verzeichnis2"/>
            <w:tabs>
              <w:tab w:val="left" w:pos="880"/>
            </w:tabs>
            <w:spacing w:after="0"/>
            <w:rPr>
              <w:rFonts w:asciiTheme="minorHAnsi" w:eastAsiaTheme="minorEastAsia" w:hAnsiTheme="minorHAnsi" w:cstheme="minorHAnsi"/>
              <w:noProof/>
              <w:szCs w:val="22"/>
              <w:lang w:eastAsia="de-AT"/>
            </w:rPr>
          </w:pPr>
          <w:hyperlink w:anchor="_Toc61379691" w:history="1">
            <w:r w:rsidR="00C75201" w:rsidRPr="00C75201">
              <w:rPr>
                <w:rStyle w:val="Hyperlink"/>
                <w:rFonts w:asciiTheme="minorHAnsi" w:hAnsiTheme="minorHAnsi" w:cstheme="minorHAnsi"/>
                <w:noProof/>
                <w:lang w:val="en-US"/>
              </w:rPr>
              <w:t>3.2</w:t>
            </w:r>
            <w:r w:rsidR="00C75201" w:rsidRPr="00C75201">
              <w:rPr>
                <w:rFonts w:asciiTheme="minorHAnsi" w:eastAsiaTheme="minorEastAsia" w:hAnsiTheme="minorHAnsi" w:cstheme="minorHAnsi"/>
                <w:noProof/>
                <w:szCs w:val="22"/>
                <w:lang w:eastAsia="de-AT"/>
              </w:rPr>
              <w:tab/>
            </w:r>
            <w:r w:rsidR="00C75201" w:rsidRPr="00C75201">
              <w:rPr>
                <w:rStyle w:val="Hyperlink"/>
                <w:rFonts w:asciiTheme="minorHAnsi" w:hAnsiTheme="minorHAnsi" w:cstheme="minorHAnsi"/>
                <w:noProof/>
                <w:lang w:val="en-US"/>
              </w:rPr>
              <w:t>T-Zell-Lymphome – not fit for transplant</w:t>
            </w:r>
            <w:r w:rsidR="00C75201" w:rsidRPr="00C75201">
              <w:rPr>
                <w:rFonts w:asciiTheme="minorHAnsi" w:hAnsiTheme="minorHAnsi" w:cstheme="minorHAnsi"/>
                <w:noProof/>
                <w:webHidden/>
              </w:rPr>
              <w:tab/>
            </w:r>
            <w:r w:rsidR="00C75201" w:rsidRPr="00C75201">
              <w:rPr>
                <w:rFonts w:asciiTheme="minorHAnsi" w:hAnsiTheme="minorHAnsi" w:cstheme="minorHAnsi"/>
                <w:noProof/>
                <w:webHidden/>
              </w:rPr>
              <w:fldChar w:fldCharType="begin"/>
            </w:r>
            <w:r w:rsidR="00C75201" w:rsidRPr="00C75201">
              <w:rPr>
                <w:rFonts w:asciiTheme="minorHAnsi" w:hAnsiTheme="minorHAnsi" w:cstheme="minorHAnsi"/>
                <w:noProof/>
                <w:webHidden/>
              </w:rPr>
              <w:instrText xml:space="preserve"> PAGEREF _Toc61379691 \h </w:instrText>
            </w:r>
            <w:r w:rsidR="00C75201" w:rsidRPr="00C75201">
              <w:rPr>
                <w:rFonts w:asciiTheme="minorHAnsi" w:hAnsiTheme="minorHAnsi" w:cstheme="minorHAnsi"/>
                <w:noProof/>
                <w:webHidden/>
              </w:rPr>
            </w:r>
            <w:r w:rsidR="00C75201" w:rsidRPr="00C75201">
              <w:rPr>
                <w:rFonts w:asciiTheme="minorHAnsi" w:hAnsiTheme="minorHAnsi" w:cstheme="minorHAnsi"/>
                <w:noProof/>
                <w:webHidden/>
              </w:rPr>
              <w:fldChar w:fldCharType="separate"/>
            </w:r>
            <w:r w:rsidR="009F3DFA">
              <w:rPr>
                <w:rFonts w:asciiTheme="minorHAnsi" w:hAnsiTheme="minorHAnsi" w:cstheme="minorHAnsi"/>
                <w:noProof/>
                <w:webHidden/>
              </w:rPr>
              <w:t>10</w:t>
            </w:r>
            <w:r w:rsidR="00C75201" w:rsidRPr="00C75201">
              <w:rPr>
                <w:rFonts w:asciiTheme="minorHAnsi" w:hAnsiTheme="minorHAnsi" w:cstheme="minorHAnsi"/>
                <w:noProof/>
                <w:webHidden/>
              </w:rPr>
              <w:fldChar w:fldCharType="end"/>
            </w:r>
          </w:hyperlink>
        </w:p>
        <w:p w14:paraId="5DDA8769" w14:textId="77777777" w:rsidR="00C75201" w:rsidRPr="00C75201" w:rsidRDefault="00E57A6B" w:rsidP="00C75201">
          <w:pPr>
            <w:pStyle w:val="Verzeichnis2"/>
            <w:tabs>
              <w:tab w:val="left" w:pos="880"/>
            </w:tabs>
            <w:spacing w:after="0"/>
            <w:rPr>
              <w:rFonts w:asciiTheme="minorHAnsi" w:eastAsiaTheme="minorEastAsia" w:hAnsiTheme="minorHAnsi" w:cstheme="minorHAnsi"/>
              <w:noProof/>
              <w:szCs w:val="22"/>
              <w:lang w:eastAsia="de-AT"/>
            </w:rPr>
          </w:pPr>
          <w:hyperlink w:anchor="_Toc61379692" w:history="1">
            <w:r w:rsidR="00C75201" w:rsidRPr="00C75201">
              <w:rPr>
                <w:rStyle w:val="Hyperlink"/>
                <w:rFonts w:asciiTheme="minorHAnsi" w:hAnsiTheme="minorHAnsi" w:cstheme="minorHAnsi"/>
                <w:noProof/>
              </w:rPr>
              <w:t>3.3</w:t>
            </w:r>
            <w:r w:rsidR="00C75201" w:rsidRPr="00C75201">
              <w:rPr>
                <w:rFonts w:asciiTheme="minorHAnsi" w:eastAsiaTheme="minorEastAsia" w:hAnsiTheme="minorHAnsi" w:cstheme="minorHAnsi"/>
                <w:noProof/>
                <w:szCs w:val="22"/>
                <w:lang w:eastAsia="de-AT"/>
              </w:rPr>
              <w:tab/>
            </w:r>
            <w:r w:rsidR="00C75201" w:rsidRPr="00C75201">
              <w:rPr>
                <w:rStyle w:val="Hyperlink"/>
                <w:rFonts w:asciiTheme="minorHAnsi" w:hAnsiTheme="minorHAnsi" w:cstheme="minorHAnsi"/>
                <w:noProof/>
              </w:rPr>
              <w:t>T-Zell-Lymphome – Rezidiv</w:t>
            </w:r>
            <w:r w:rsidR="00C75201" w:rsidRPr="00C75201">
              <w:rPr>
                <w:rFonts w:asciiTheme="minorHAnsi" w:hAnsiTheme="minorHAnsi" w:cstheme="minorHAnsi"/>
                <w:noProof/>
                <w:webHidden/>
              </w:rPr>
              <w:tab/>
            </w:r>
            <w:r w:rsidR="00C75201" w:rsidRPr="00C75201">
              <w:rPr>
                <w:rFonts w:asciiTheme="minorHAnsi" w:hAnsiTheme="minorHAnsi" w:cstheme="minorHAnsi"/>
                <w:noProof/>
                <w:webHidden/>
              </w:rPr>
              <w:fldChar w:fldCharType="begin"/>
            </w:r>
            <w:r w:rsidR="00C75201" w:rsidRPr="00C75201">
              <w:rPr>
                <w:rFonts w:asciiTheme="minorHAnsi" w:hAnsiTheme="minorHAnsi" w:cstheme="minorHAnsi"/>
                <w:noProof/>
                <w:webHidden/>
              </w:rPr>
              <w:instrText xml:space="preserve"> PAGEREF _Toc61379692 \h </w:instrText>
            </w:r>
            <w:r w:rsidR="00C75201" w:rsidRPr="00C75201">
              <w:rPr>
                <w:rFonts w:asciiTheme="minorHAnsi" w:hAnsiTheme="minorHAnsi" w:cstheme="minorHAnsi"/>
                <w:noProof/>
                <w:webHidden/>
              </w:rPr>
            </w:r>
            <w:r w:rsidR="00C75201" w:rsidRPr="00C75201">
              <w:rPr>
                <w:rFonts w:asciiTheme="minorHAnsi" w:hAnsiTheme="minorHAnsi" w:cstheme="minorHAnsi"/>
                <w:noProof/>
                <w:webHidden/>
              </w:rPr>
              <w:fldChar w:fldCharType="separate"/>
            </w:r>
            <w:r w:rsidR="009F3DFA">
              <w:rPr>
                <w:rFonts w:asciiTheme="minorHAnsi" w:hAnsiTheme="minorHAnsi" w:cstheme="minorHAnsi"/>
                <w:noProof/>
                <w:webHidden/>
              </w:rPr>
              <w:t>11</w:t>
            </w:r>
            <w:r w:rsidR="00C75201" w:rsidRPr="00C75201">
              <w:rPr>
                <w:rFonts w:asciiTheme="minorHAnsi" w:hAnsiTheme="minorHAnsi" w:cstheme="minorHAnsi"/>
                <w:noProof/>
                <w:webHidden/>
              </w:rPr>
              <w:fldChar w:fldCharType="end"/>
            </w:r>
          </w:hyperlink>
        </w:p>
        <w:p w14:paraId="2389B31E" w14:textId="77777777" w:rsidR="00C75201" w:rsidRPr="00C75201" w:rsidRDefault="00E57A6B" w:rsidP="00C75201">
          <w:pPr>
            <w:pStyle w:val="Verzeichnis2"/>
            <w:tabs>
              <w:tab w:val="left" w:pos="880"/>
            </w:tabs>
            <w:spacing w:after="0"/>
            <w:rPr>
              <w:rFonts w:asciiTheme="minorHAnsi" w:eastAsiaTheme="minorEastAsia" w:hAnsiTheme="minorHAnsi" w:cstheme="minorHAnsi"/>
              <w:noProof/>
              <w:szCs w:val="22"/>
              <w:lang w:eastAsia="de-AT"/>
            </w:rPr>
          </w:pPr>
          <w:hyperlink w:anchor="_Toc61379693" w:history="1">
            <w:r w:rsidR="00C75201" w:rsidRPr="00C75201">
              <w:rPr>
                <w:rStyle w:val="Hyperlink"/>
                <w:rFonts w:asciiTheme="minorHAnsi" w:hAnsiTheme="minorHAnsi" w:cstheme="minorHAnsi"/>
                <w:noProof/>
                <w:lang w:val="de-DE"/>
              </w:rPr>
              <w:t>3.4</w:t>
            </w:r>
            <w:r w:rsidR="00C75201" w:rsidRPr="00C75201">
              <w:rPr>
                <w:rFonts w:asciiTheme="minorHAnsi" w:eastAsiaTheme="minorEastAsia" w:hAnsiTheme="minorHAnsi" w:cstheme="minorHAnsi"/>
                <w:noProof/>
                <w:szCs w:val="22"/>
                <w:lang w:eastAsia="de-AT"/>
              </w:rPr>
              <w:tab/>
            </w:r>
            <w:r w:rsidR="00C75201" w:rsidRPr="00C75201">
              <w:rPr>
                <w:rStyle w:val="Hyperlink"/>
                <w:rFonts w:asciiTheme="minorHAnsi" w:hAnsiTheme="minorHAnsi" w:cstheme="minorHAnsi"/>
                <w:noProof/>
                <w:lang w:val="de-DE"/>
              </w:rPr>
              <w:t>Extranodale NK/T-Zell-Lymphome – Erstdiagnose</w:t>
            </w:r>
            <w:r w:rsidR="00C75201" w:rsidRPr="00C75201">
              <w:rPr>
                <w:rFonts w:asciiTheme="minorHAnsi" w:hAnsiTheme="minorHAnsi" w:cstheme="minorHAnsi"/>
                <w:noProof/>
                <w:webHidden/>
              </w:rPr>
              <w:tab/>
            </w:r>
            <w:r w:rsidR="00C75201" w:rsidRPr="00C75201">
              <w:rPr>
                <w:rFonts w:asciiTheme="minorHAnsi" w:hAnsiTheme="minorHAnsi" w:cstheme="minorHAnsi"/>
                <w:noProof/>
                <w:webHidden/>
              </w:rPr>
              <w:fldChar w:fldCharType="begin"/>
            </w:r>
            <w:r w:rsidR="00C75201" w:rsidRPr="00C75201">
              <w:rPr>
                <w:rFonts w:asciiTheme="minorHAnsi" w:hAnsiTheme="minorHAnsi" w:cstheme="minorHAnsi"/>
                <w:noProof/>
                <w:webHidden/>
              </w:rPr>
              <w:instrText xml:space="preserve"> PAGEREF _Toc61379693 \h </w:instrText>
            </w:r>
            <w:r w:rsidR="00C75201" w:rsidRPr="00C75201">
              <w:rPr>
                <w:rFonts w:asciiTheme="minorHAnsi" w:hAnsiTheme="minorHAnsi" w:cstheme="minorHAnsi"/>
                <w:noProof/>
                <w:webHidden/>
              </w:rPr>
            </w:r>
            <w:r w:rsidR="00C75201" w:rsidRPr="00C75201">
              <w:rPr>
                <w:rFonts w:asciiTheme="minorHAnsi" w:hAnsiTheme="minorHAnsi" w:cstheme="minorHAnsi"/>
                <w:noProof/>
                <w:webHidden/>
              </w:rPr>
              <w:fldChar w:fldCharType="separate"/>
            </w:r>
            <w:r w:rsidR="009F3DFA">
              <w:rPr>
                <w:rFonts w:asciiTheme="minorHAnsi" w:hAnsiTheme="minorHAnsi" w:cstheme="minorHAnsi"/>
                <w:noProof/>
                <w:webHidden/>
              </w:rPr>
              <w:t>12</w:t>
            </w:r>
            <w:r w:rsidR="00C75201" w:rsidRPr="00C75201">
              <w:rPr>
                <w:rFonts w:asciiTheme="minorHAnsi" w:hAnsiTheme="minorHAnsi" w:cstheme="minorHAnsi"/>
                <w:noProof/>
                <w:webHidden/>
              </w:rPr>
              <w:fldChar w:fldCharType="end"/>
            </w:r>
          </w:hyperlink>
        </w:p>
        <w:p w14:paraId="74A955EB" w14:textId="77777777" w:rsidR="00C75201" w:rsidRPr="00C75201" w:rsidRDefault="00E57A6B" w:rsidP="00C75201">
          <w:pPr>
            <w:pStyle w:val="Verzeichnis2"/>
            <w:tabs>
              <w:tab w:val="left" w:pos="880"/>
            </w:tabs>
            <w:spacing w:after="0"/>
            <w:rPr>
              <w:rFonts w:asciiTheme="minorHAnsi" w:eastAsiaTheme="minorEastAsia" w:hAnsiTheme="minorHAnsi" w:cstheme="minorHAnsi"/>
              <w:noProof/>
              <w:szCs w:val="22"/>
              <w:lang w:eastAsia="de-AT"/>
            </w:rPr>
          </w:pPr>
          <w:hyperlink w:anchor="_Toc61379694" w:history="1">
            <w:r w:rsidR="00C75201" w:rsidRPr="00C75201">
              <w:rPr>
                <w:rStyle w:val="Hyperlink"/>
                <w:rFonts w:asciiTheme="minorHAnsi" w:hAnsiTheme="minorHAnsi" w:cstheme="minorHAnsi"/>
                <w:noProof/>
              </w:rPr>
              <w:t>3.5</w:t>
            </w:r>
            <w:r w:rsidR="00C75201" w:rsidRPr="00C75201">
              <w:rPr>
                <w:rFonts w:asciiTheme="minorHAnsi" w:eastAsiaTheme="minorEastAsia" w:hAnsiTheme="minorHAnsi" w:cstheme="minorHAnsi"/>
                <w:noProof/>
                <w:szCs w:val="22"/>
                <w:lang w:eastAsia="de-AT"/>
              </w:rPr>
              <w:tab/>
            </w:r>
            <w:r w:rsidR="00C75201" w:rsidRPr="00C75201">
              <w:rPr>
                <w:rStyle w:val="Hyperlink"/>
                <w:rFonts w:asciiTheme="minorHAnsi" w:hAnsiTheme="minorHAnsi" w:cstheme="minorHAnsi"/>
                <w:noProof/>
              </w:rPr>
              <w:t>Extranodale NK/T-Zell-Lymphome - Rezidiv</w:t>
            </w:r>
            <w:r w:rsidR="00C75201" w:rsidRPr="00C75201">
              <w:rPr>
                <w:rFonts w:asciiTheme="minorHAnsi" w:hAnsiTheme="minorHAnsi" w:cstheme="minorHAnsi"/>
                <w:noProof/>
                <w:webHidden/>
              </w:rPr>
              <w:tab/>
            </w:r>
            <w:r w:rsidR="00C75201" w:rsidRPr="00C75201">
              <w:rPr>
                <w:rFonts w:asciiTheme="minorHAnsi" w:hAnsiTheme="minorHAnsi" w:cstheme="minorHAnsi"/>
                <w:noProof/>
                <w:webHidden/>
              </w:rPr>
              <w:fldChar w:fldCharType="begin"/>
            </w:r>
            <w:r w:rsidR="00C75201" w:rsidRPr="00C75201">
              <w:rPr>
                <w:rFonts w:asciiTheme="minorHAnsi" w:hAnsiTheme="minorHAnsi" w:cstheme="minorHAnsi"/>
                <w:noProof/>
                <w:webHidden/>
              </w:rPr>
              <w:instrText xml:space="preserve"> PAGEREF _Toc61379694 \h </w:instrText>
            </w:r>
            <w:r w:rsidR="00C75201" w:rsidRPr="00C75201">
              <w:rPr>
                <w:rFonts w:asciiTheme="minorHAnsi" w:hAnsiTheme="minorHAnsi" w:cstheme="minorHAnsi"/>
                <w:noProof/>
                <w:webHidden/>
              </w:rPr>
            </w:r>
            <w:r w:rsidR="00C75201" w:rsidRPr="00C75201">
              <w:rPr>
                <w:rFonts w:asciiTheme="minorHAnsi" w:hAnsiTheme="minorHAnsi" w:cstheme="minorHAnsi"/>
                <w:noProof/>
                <w:webHidden/>
              </w:rPr>
              <w:fldChar w:fldCharType="separate"/>
            </w:r>
            <w:r w:rsidR="009F3DFA">
              <w:rPr>
                <w:rFonts w:asciiTheme="minorHAnsi" w:hAnsiTheme="minorHAnsi" w:cstheme="minorHAnsi"/>
                <w:noProof/>
                <w:webHidden/>
              </w:rPr>
              <w:t>13</w:t>
            </w:r>
            <w:r w:rsidR="00C75201" w:rsidRPr="00C75201">
              <w:rPr>
                <w:rFonts w:asciiTheme="minorHAnsi" w:hAnsiTheme="minorHAnsi" w:cstheme="minorHAnsi"/>
                <w:noProof/>
                <w:webHidden/>
              </w:rPr>
              <w:fldChar w:fldCharType="end"/>
            </w:r>
          </w:hyperlink>
        </w:p>
        <w:p w14:paraId="1F521847" w14:textId="77777777" w:rsidR="00C75201" w:rsidRPr="00C75201" w:rsidRDefault="00E57A6B" w:rsidP="00C75201">
          <w:pPr>
            <w:pStyle w:val="Verzeichnis2"/>
            <w:tabs>
              <w:tab w:val="left" w:pos="880"/>
            </w:tabs>
            <w:spacing w:after="0"/>
            <w:rPr>
              <w:rFonts w:asciiTheme="minorHAnsi" w:eastAsiaTheme="minorEastAsia" w:hAnsiTheme="minorHAnsi" w:cstheme="minorHAnsi"/>
              <w:noProof/>
              <w:szCs w:val="22"/>
              <w:lang w:eastAsia="de-AT"/>
            </w:rPr>
          </w:pPr>
          <w:hyperlink w:anchor="_Toc61379695" w:history="1">
            <w:r w:rsidR="00C75201" w:rsidRPr="00C75201">
              <w:rPr>
                <w:rStyle w:val="Hyperlink"/>
                <w:rFonts w:asciiTheme="minorHAnsi" w:hAnsiTheme="minorHAnsi" w:cstheme="minorHAnsi"/>
                <w:noProof/>
              </w:rPr>
              <w:t>3.6</w:t>
            </w:r>
            <w:r w:rsidR="00C75201" w:rsidRPr="00C75201">
              <w:rPr>
                <w:rFonts w:asciiTheme="minorHAnsi" w:eastAsiaTheme="minorEastAsia" w:hAnsiTheme="minorHAnsi" w:cstheme="minorHAnsi"/>
                <w:noProof/>
                <w:szCs w:val="22"/>
                <w:lang w:eastAsia="de-AT"/>
              </w:rPr>
              <w:tab/>
            </w:r>
            <w:r w:rsidR="00C75201" w:rsidRPr="00C75201">
              <w:rPr>
                <w:rStyle w:val="Hyperlink"/>
                <w:rFonts w:asciiTheme="minorHAnsi" w:hAnsiTheme="minorHAnsi" w:cstheme="minorHAnsi"/>
                <w:noProof/>
              </w:rPr>
              <w:t>Strahlentherapie</w:t>
            </w:r>
            <w:r w:rsidR="00C75201" w:rsidRPr="00C75201">
              <w:rPr>
                <w:rFonts w:asciiTheme="minorHAnsi" w:hAnsiTheme="minorHAnsi" w:cstheme="minorHAnsi"/>
                <w:noProof/>
                <w:webHidden/>
              </w:rPr>
              <w:tab/>
            </w:r>
            <w:r w:rsidR="00C75201" w:rsidRPr="00C75201">
              <w:rPr>
                <w:rFonts w:asciiTheme="minorHAnsi" w:hAnsiTheme="minorHAnsi" w:cstheme="minorHAnsi"/>
                <w:noProof/>
                <w:webHidden/>
              </w:rPr>
              <w:fldChar w:fldCharType="begin"/>
            </w:r>
            <w:r w:rsidR="00C75201" w:rsidRPr="00C75201">
              <w:rPr>
                <w:rFonts w:asciiTheme="minorHAnsi" w:hAnsiTheme="minorHAnsi" w:cstheme="minorHAnsi"/>
                <w:noProof/>
                <w:webHidden/>
              </w:rPr>
              <w:instrText xml:space="preserve"> PAGEREF _Toc61379695 \h </w:instrText>
            </w:r>
            <w:r w:rsidR="00C75201" w:rsidRPr="00C75201">
              <w:rPr>
                <w:rFonts w:asciiTheme="minorHAnsi" w:hAnsiTheme="minorHAnsi" w:cstheme="minorHAnsi"/>
                <w:noProof/>
                <w:webHidden/>
              </w:rPr>
            </w:r>
            <w:r w:rsidR="00C75201" w:rsidRPr="00C75201">
              <w:rPr>
                <w:rFonts w:asciiTheme="minorHAnsi" w:hAnsiTheme="minorHAnsi" w:cstheme="minorHAnsi"/>
                <w:noProof/>
                <w:webHidden/>
              </w:rPr>
              <w:fldChar w:fldCharType="separate"/>
            </w:r>
            <w:r w:rsidR="009F3DFA">
              <w:rPr>
                <w:rFonts w:asciiTheme="minorHAnsi" w:hAnsiTheme="minorHAnsi" w:cstheme="minorHAnsi"/>
                <w:noProof/>
                <w:webHidden/>
              </w:rPr>
              <w:t>14</w:t>
            </w:r>
            <w:r w:rsidR="00C75201" w:rsidRPr="00C75201">
              <w:rPr>
                <w:rFonts w:asciiTheme="minorHAnsi" w:hAnsiTheme="minorHAnsi" w:cstheme="minorHAnsi"/>
                <w:noProof/>
                <w:webHidden/>
              </w:rPr>
              <w:fldChar w:fldCharType="end"/>
            </w:r>
          </w:hyperlink>
        </w:p>
        <w:p w14:paraId="2B7A11AB" w14:textId="77777777" w:rsidR="00C75201" w:rsidRPr="00C75201" w:rsidRDefault="00E57A6B" w:rsidP="00C75201">
          <w:pPr>
            <w:pStyle w:val="Verzeichnis2"/>
            <w:tabs>
              <w:tab w:val="left" w:pos="880"/>
            </w:tabs>
            <w:spacing w:after="0"/>
            <w:rPr>
              <w:rFonts w:asciiTheme="minorHAnsi" w:eastAsiaTheme="minorEastAsia" w:hAnsiTheme="minorHAnsi" w:cstheme="minorHAnsi"/>
              <w:noProof/>
              <w:szCs w:val="22"/>
              <w:lang w:eastAsia="de-AT"/>
            </w:rPr>
          </w:pPr>
          <w:hyperlink w:anchor="_Toc61379696" w:history="1">
            <w:r w:rsidR="00C75201" w:rsidRPr="00C75201">
              <w:rPr>
                <w:rStyle w:val="Hyperlink"/>
                <w:rFonts w:asciiTheme="minorHAnsi" w:hAnsiTheme="minorHAnsi" w:cstheme="minorHAnsi"/>
                <w:noProof/>
              </w:rPr>
              <w:t>3.7</w:t>
            </w:r>
            <w:r w:rsidR="00C75201" w:rsidRPr="00C75201">
              <w:rPr>
                <w:rFonts w:asciiTheme="minorHAnsi" w:eastAsiaTheme="minorEastAsia" w:hAnsiTheme="minorHAnsi" w:cstheme="minorHAnsi"/>
                <w:noProof/>
                <w:szCs w:val="22"/>
                <w:lang w:eastAsia="de-AT"/>
              </w:rPr>
              <w:tab/>
            </w:r>
            <w:r w:rsidR="00C75201" w:rsidRPr="00C75201">
              <w:rPr>
                <w:rStyle w:val="Hyperlink"/>
                <w:rFonts w:asciiTheme="minorHAnsi" w:hAnsiTheme="minorHAnsi" w:cstheme="minorHAnsi"/>
                <w:noProof/>
              </w:rPr>
              <w:t>Supportive Therapie mit G-CSF</w:t>
            </w:r>
            <w:r w:rsidR="00C75201" w:rsidRPr="00C75201">
              <w:rPr>
                <w:rFonts w:asciiTheme="minorHAnsi" w:hAnsiTheme="minorHAnsi" w:cstheme="minorHAnsi"/>
                <w:noProof/>
                <w:webHidden/>
              </w:rPr>
              <w:tab/>
            </w:r>
            <w:r w:rsidR="00C75201" w:rsidRPr="00C75201">
              <w:rPr>
                <w:rFonts w:asciiTheme="minorHAnsi" w:hAnsiTheme="minorHAnsi" w:cstheme="minorHAnsi"/>
                <w:noProof/>
                <w:webHidden/>
              </w:rPr>
              <w:fldChar w:fldCharType="begin"/>
            </w:r>
            <w:r w:rsidR="00C75201" w:rsidRPr="00C75201">
              <w:rPr>
                <w:rFonts w:asciiTheme="minorHAnsi" w:hAnsiTheme="minorHAnsi" w:cstheme="minorHAnsi"/>
                <w:noProof/>
                <w:webHidden/>
              </w:rPr>
              <w:instrText xml:space="preserve"> PAGEREF _Toc61379696 \h </w:instrText>
            </w:r>
            <w:r w:rsidR="00C75201" w:rsidRPr="00C75201">
              <w:rPr>
                <w:rFonts w:asciiTheme="minorHAnsi" w:hAnsiTheme="minorHAnsi" w:cstheme="minorHAnsi"/>
                <w:noProof/>
                <w:webHidden/>
              </w:rPr>
            </w:r>
            <w:r w:rsidR="00C75201" w:rsidRPr="00C75201">
              <w:rPr>
                <w:rFonts w:asciiTheme="minorHAnsi" w:hAnsiTheme="minorHAnsi" w:cstheme="minorHAnsi"/>
                <w:noProof/>
                <w:webHidden/>
              </w:rPr>
              <w:fldChar w:fldCharType="separate"/>
            </w:r>
            <w:r w:rsidR="009F3DFA">
              <w:rPr>
                <w:rFonts w:asciiTheme="minorHAnsi" w:hAnsiTheme="minorHAnsi" w:cstheme="minorHAnsi"/>
                <w:noProof/>
                <w:webHidden/>
              </w:rPr>
              <w:t>14</w:t>
            </w:r>
            <w:r w:rsidR="00C75201" w:rsidRPr="00C75201">
              <w:rPr>
                <w:rFonts w:asciiTheme="minorHAnsi" w:hAnsiTheme="minorHAnsi" w:cstheme="minorHAnsi"/>
                <w:noProof/>
                <w:webHidden/>
              </w:rPr>
              <w:fldChar w:fldCharType="end"/>
            </w:r>
          </w:hyperlink>
        </w:p>
        <w:p w14:paraId="0504979B" w14:textId="77777777" w:rsidR="00C75201" w:rsidRPr="00C75201" w:rsidRDefault="00E57A6B" w:rsidP="00C75201">
          <w:pPr>
            <w:pStyle w:val="Verzeichnis2"/>
            <w:tabs>
              <w:tab w:val="left" w:pos="880"/>
            </w:tabs>
            <w:spacing w:after="0"/>
            <w:rPr>
              <w:rFonts w:asciiTheme="minorHAnsi" w:eastAsiaTheme="minorEastAsia" w:hAnsiTheme="minorHAnsi" w:cstheme="minorHAnsi"/>
              <w:noProof/>
              <w:szCs w:val="22"/>
              <w:lang w:eastAsia="de-AT"/>
            </w:rPr>
          </w:pPr>
          <w:hyperlink w:anchor="_Toc61379697" w:history="1">
            <w:r w:rsidR="00C75201" w:rsidRPr="00C75201">
              <w:rPr>
                <w:rStyle w:val="Hyperlink"/>
                <w:rFonts w:asciiTheme="minorHAnsi" w:hAnsiTheme="minorHAnsi" w:cstheme="minorHAnsi"/>
                <w:noProof/>
              </w:rPr>
              <w:t>3.8</w:t>
            </w:r>
            <w:r w:rsidR="00C75201" w:rsidRPr="00C75201">
              <w:rPr>
                <w:rFonts w:asciiTheme="minorHAnsi" w:eastAsiaTheme="minorEastAsia" w:hAnsiTheme="minorHAnsi" w:cstheme="minorHAnsi"/>
                <w:noProof/>
                <w:szCs w:val="22"/>
                <w:lang w:eastAsia="de-AT"/>
              </w:rPr>
              <w:tab/>
            </w:r>
            <w:r w:rsidR="00C75201" w:rsidRPr="00C75201">
              <w:rPr>
                <w:rStyle w:val="Hyperlink"/>
                <w:rFonts w:asciiTheme="minorHAnsi" w:hAnsiTheme="minorHAnsi" w:cstheme="minorHAnsi"/>
                <w:noProof/>
              </w:rPr>
              <w:t>Infektionsprophylaxe während der Immunochemotherapie</w:t>
            </w:r>
            <w:r w:rsidR="00C75201" w:rsidRPr="00C75201">
              <w:rPr>
                <w:rFonts w:asciiTheme="minorHAnsi" w:hAnsiTheme="minorHAnsi" w:cstheme="minorHAnsi"/>
                <w:noProof/>
                <w:webHidden/>
              </w:rPr>
              <w:tab/>
            </w:r>
            <w:r w:rsidR="00C75201" w:rsidRPr="00C75201">
              <w:rPr>
                <w:rFonts w:asciiTheme="minorHAnsi" w:hAnsiTheme="minorHAnsi" w:cstheme="minorHAnsi"/>
                <w:noProof/>
                <w:webHidden/>
              </w:rPr>
              <w:fldChar w:fldCharType="begin"/>
            </w:r>
            <w:r w:rsidR="00C75201" w:rsidRPr="00C75201">
              <w:rPr>
                <w:rFonts w:asciiTheme="minorHAnsi" w:hAnsiTheme="minorHAnsi" w:cstheme="minorHAnsi"/>
                <w:noProof/>
                <w:webHidden/>
              </w:rPr>
              <w:instrText xml:space="preserve"> PAGEREF _Toc61379697 \h </w:instrText>
            </w:r>
            <w:r w:rsidR="00C75201" w:rsidRPr="00C75201">
              <w:rPr>
                <w:rFonts w:asciiTheme="minorHAnsi" w:hAnsiTheme="minorHAnsi" w:cstheme="minorHAnsi"/>
                <w:noProof/>
                <w:webHidden/>
              </w:rPr>
            </w:r>
            <w:r w:rsidR="00C75201" w:rsidRPr="00C75201">
              <w:rPr>
                <w:rFonts w:asciiTheme="minorHAnsi" w:hAnsiTheme="minorHAnsi" w:cstheme="minorHAnsi"/>
                <w:noProof/>
                <w:webHidden/>
              </w:rPr>
              <w:fldChar w:fldCharType="separate"/>
            </w:r>
            <w:r w:rsidR="009F3DFA">
              <w:rPr>
                <w:rFonts w:asciiTheme="minorHAnsi" w:hAnsiTheme="minorHAnsi" w:cstheme="minorHAnsi"/>
                <w:noProof/>
                <w:webHidden/>
              </w:rPr>
              <w:t>15</w:t>
            </w:r>
            <w:r w:rsidR="00C75201" w:rsidRPr="00C75201">
              <w:rPr>
                <w:rFonts w:asciiTheme="minorHAnsi" w:hAnsiTheme="minorHAnsi" w:cstheme="minorHAnsi"/>
                <w:noProof/>
                <w:webHidden/>
              </w:rPr>
              <w:fldChar w:fldCharType="end"/>
            </w:r>
          </w:hyperlink>
        </w:p>
        <w:p w14:paraId="1C38B78E" w14:textId="77777777" w:rsidR="00C75201" w:rsidRPr="00C75201" w:rsidRDefault="00E57A6B" w:rsidP="00C75201">
          <w:pPr>
            <w:pStyle w:val="Verzeichnis3"/>
            <w:tabs>
              <w:tab w:val="right" w:leader="dot" w:pos="9372"/>
            </w:tabs>
            <w:spacing w:after="0" w:line="276" w:lineRule="auto"/>
            <w:ind w:left="851"/>
            <w:rPr>
              <w:rFonts w:asciiTheme="minorHAnsi" w:eastAsiaTheme="minorEastAsia" w:hAnsiTheme="minorHAnsi" w:cstheme="minorHAnsi"/>
              <w:noProof/>
              <w:szCs w:val="22"/>
              <w:lang w:eastAsia="de-AT"/>
            </w:rPr>
          </w:pPr>
          <w:hyperlink w:anchor="_Toc61379698" w:history="1">
            <w:r w:rsidR="00C75201" w:rsidRPr="00C75201">
              <w:rPr>
                <w:rStyle w:val="Hyperlink"/>
                <w:rFonts w:asciiTheme="minorHAnsi" w:hAnsiTheme="minorHAnsi" w:cstheme="minorHAnsi"/>
                <w:noProof/>
              </w:rPr>
              <w:t>Corona-Infektion (COVID-19) bei PTCL-Patienten</w:t>
            </w:r>
            <w:r w:rsidR="00C75201" w:rsidRPr="00C75201">
              <w:rPr>
                <w:rFonts w:asciiTheme="minorHAnsi" w:hAnsiTheme="minorHAnsi" w:cstheme="minorHAnsi"/>
                <w:noProof/>
                <w:webHidden/>
              </w:rPr>
              <w:tab/>
            </w:r>
            <w:r w:rsidR="00C75201" w:rsidRPr="00C75201">
              <w:rPr>
                <w:rFonts w:asciiTheme="minorHAnsi" w:hAnsiTheme="minorHAnsi" w:cstheme="minorHAnsi"/>
                <w:noProof/>
                <w:webHidden/>
              </w:rPr>
              <w:fldChar w:fldCharType="begin"/>
            </w:r>
            <w:r w:rsidR="00C75201" w:rsidRPr="00C75201">
              <w:rPr>
                <w:rFonts w:asciiTheme="minorHAnsi" w:hAnsiTheme="minorHAnsi" w:cstheme="minorHAnsi"/>
                <w:noProof/>
                <w:webHidden/>
              </w:rPr>
              <w:instrText xml:space="preserve"> PAGEREF _Toc61379698 \h </w:instrText>
            </w:r>
            <w:r w:rsidR="00C75201" w:rsidRPr="00C75201">
              <w:rPr>
                <w:rFonts w:asciiTheme="minorHAnsi" w:hAnsiTheme="minorHAnsi" w:cstheme="minorHAnsi"/>
                <w:noProof/>
                <w:webHidden/>
              </w:rPr>
            </w:r>
            <w:r w:rsidR="00C75201" w:rsidRPr="00C75201">
              <w:rPr>
                <w:rFonts w:asciiTheme="minorHAnsi" w:hAnsiTheme="minorHAnsi" w:cstheme="minorHAnsi"/>
                <w:noProof/>
                <w:webHidden/>
              </w:rPr>
              <w:fldChar w:fldCharType="separate"/>
            </w:r>
            <w:r w:rsidR="009F3DFA">
              <w:rPr>
                <w:rFonts w:asciiTheme="minorHAnsi" w:hAnsiTheme="minorHAnsi" w:cstheme="minorHAnsi"/>
                <w:noProof/>
                <w:webHidden/>
              </w:rPr>
              <w:t>15</w:t>
            </w:r>
            <w:r w:rsidR="00C75201" w:rsidRPr="00C75201">
              <w:rPr>
                <w:rFonts w:asciiTheme="minorHAnsi" w:hAnsiTheme="minorHAnsi" w:cstheme="minorHAnsi"/>
                <w:noProof/>
                <w:webHidden/>
              </w:rPr>
              <w:fldChar w:fldCharType="end"/>
            </w:r>
          </w:hyperlink>
        </w:p>
        <w:p w14:paraId="46E67670" w14:textId="77777777" w:rsidR="00C75201" w:rsidRPr="00C75201" w:rsidRDefault="00E57A6B" w:rsidP="00C75201">
          <w:pPr>
            <w:pStyle w:val="Verzeichnis1"/>
            <w:spacing w:line="276" w:lineRule="auto"/>
            <w:rPr>
              <w:rFonts w:asciiTheme="minorHAnsi" w:eastAsiaTheme="minorEastAsia" w:hAnsiTheme="minorHAnsi" w:cstheme="minorHAnsi"/>
              <w:noProof/>
              <w:szCs w:val="22"/>
              <w:lang w:eastAsia="de-AT"/>
            </w:rPr>
          </w:pPr>
          <w:hyperlink w:anchor="_Toc61379699" w:history="1">
            <w:r w:rsidR="00C75201" w:rsidRPr="00C75201">
              <w:rPr>
                <w:rStyle w:val="Hyperlink"/>
                <w:rFonts w:asciiTheme="minorHAnsi" w:hAnsiTheme="minorHAnsi" w:cstheme="minorHAnsi"/>
                <w:noProof/>
              </w:rPr>
              <w:t>4</w:t>
            </w:r>
            <w:r w:rsidR="00C75201" w:rsidRPr="00C75201">
              <w:rPr>
                <w:rFonts w:asciiTheme="minorHAnsi" w:eastAsiaTheme="minorEastAsia" w:hAnsiTheme="minorHAnsi" w:cstheme="minorHAnsi"/>
                <w:noProof/>
                <w:szCs w:val="22"/>
                <w:lang w:eastAsia="de-AT"/>
              </w:rPr>
              <w:tab/>
            </w:r>
            <w:r w:rsidR="00C75201" w:rsidRPr="00C75201">
              <w:rPr>
                <w:rStyle w:val="Hyperlink"/>
                <w:rFonts w:asciiTheme="minorHAnsi" w:hAnsiTheme="minorHAnsi" w:cstheme="minorHAnsi"/>
                <w:noProof/>
              </w:rPr>
              <w:t>Besondere klinische Situationen</w:t>
            </w:r>
            <w:r w:rsidR="00C75201" w:rsidRPr="00C75201">
              <w:rPr>
                <w:rFonts w:asciiTheme="minorHAnsi" w:hAnsiTheme="minorHAnsi" w:cstheme="minorHAnsi"/>
                <w:noProof/>
                <w:webHidden/>
              </w:rPr>
              <w:tab/>
            </w:r>
            <w:r w:rsidR="00C75201" w:rsidRPr="00C75201">
              <w:rPr>
                <w:rFonts w:asciiTheme="minorHAnsi" w:hAnsiTheme="minorHAnsi" w:cstheme="minorHAnsi"/>
                <w:noProof/>
                <w:webHidden/>
              </w:rPr>
              <w:fldChar w:fldCharType="begin"/>
            </w:r>
            <w:r w:rsidR="00C75201" w:rsidRPr="00C75201">
              <w:rPr>
                <w:rFonts w:asciiTheme="minorHAnsi" w:hAnsiTheme="minorHAnsi" w:cstheme="minorHAnsi"/>
                <w:noProof/>
                <w:webHidden/>
              </w:rPr>
              <w:instrText xml:space="preserve"> PAGEREF _Toc61379699 \h </w:instrText>
            </w:r>
            <w:r w:rsidR="00C75201" w:rsidRPr="00C75201">
              <w:rPr>
                <w:rFonts w:asciiTheme="minorHAnsi" w:hAnsiTheme="minorHAnsi" w:cstheme="minorHAnsi"/>
                <w:noProof/>
                <w:webHidden/>
              </w:rPr>
            </w:r>
            <w:r w:rsidR="00C75201" w:rsidRPr="00C75201">
              <w:rPr>
                <w:rFonts w:asciiTheme="minorHAnsi" w:hAnsiTheme="minorHAnsi" w:cstheme="minorHAnsi"/>
                <w:noProof/>
                <w:webHidden/>
              </w:rPr>
              <w:fldChar w:fldCharType="separate"/>
            </w:r>
            <w:r w:rsidR="009F3DFA">
              <w:rPr>
                <w:rFonts w:asciiTheme="minorHAnsi" w:hAnsiTheme="minorHAnsi" w:cstheme="minorHAnsi"/>
                <w:noProof/>
                <w:webHidden/>
              </w:rPr>
              <w:t>15</w:t>
            </w:r>
            <w:r w:rsidR="00C75201" w:rsidRPr="00C75201">
              <w:rPr>
                <w:rFonts w:asciiTheme="minorHAnsi" w:hAnsiTheme="minorHAnsi" w:cstheme="minorHAnsi"/>
                <w:noProof/>
                <w:webHidden/>
              </w:rPr>
              <w:fldChar w:fldCharType="end"/>
            </w:r>
          </w:hyperlink>
        </w:p>
        <w:p w14:paraId="125A74D7" w14:textId="77777777" w:rsidR="00C75201" w:rsidRPr="00C75201" w:rsidRDefault="00E57A6B" w:rsidP="00C75201">
          <w:pPr>
            <w:pStyle w:val="Verzeichnis2"/>
            <w:tabs>
              <w:tab w:val="left" w:pos="880"/>
            </w:tabs>
            <w:spacing w:after="0"/>
            <w:rPr>
              <w:rFonts w:asciiTheme="minorHAnsi" w:eastAsiaTheme="minorEastAsia" w:hAnsiTheme="minorHAnsi" w:cstheme="minorHAnsi"/>
              <w:noProof/>
              <w:szCs w:val="22"/>
              <w:lang w:eastAsia="de-AT"/>
            </w:rPr>
          </w:pPr>
          <w:hyperlink w:anchor="_Toc61379700" w:history="1">
            <w:r w:rsidR="00C75201" w:rsidRPr="00C75201">
              <w:rPr>
                <w:rStyle w:val="Hyperlink"/>
                <w:rFonts w:asciiTheme="minorHAnsi" w:hAnsiTheme="minorHAnsi" w:cstheme="minorHAnsi"/>
                <w:noProof/>
                <w:lang w:val="en-US"/>
              </w:rPr>
              <w:t>4.1</w:t>
            </w:r>
            <w:r w:rsidR="00C75201" w:rsidRPr="00C75201">
              <w:rPr>
                <w:rFonts w:asciiTheme="minorHAnsi" w:eastAsiaTheme="minorEastAsia" w:hAnsiTheme="minorHAnsi" w:cstheme="minorHAnsi"/>
                <w:noProof/>
                <w:szCs w:val="22"/>
                <w:lang w:eastAsia="de-AT"/>
              </w:rPr>
              <w:tab/>
            </w:r>
            <w:r w:rsidR="00C75201" w:rsidRPr="00C75201">
              <w:rPr>
                <w:rStyle w:val="Hyperlink"/>
                <w:rFonts w:asciiTheme="minorHAnsi" w:hAnsiTheme="minorHAnsi" w:cstheme="minorHAnsi"/>
                <w:noProof/>
                <w:lang w:val="en-US"/>
              </w:rPr>
              <w:t>Hohe Tumorlast</w:t>
            </w:r>
            <w:r w:rsidR="00C75201" w:rsidRPr="00C75201">
              <w:rPr>
                <w:rFonts w:asciiTheme="minorHAnsi" w:hAnsiTheme="minorHAnsi" w:cstheme="minorHAnsi"/>
                <w:noProof/>
                <w:webHidden/>
              </w:rPr>
              <w:tab/>
            </w:r>
            <w:r w:rsidR="00C75201" w:rsidRPr="00C75201">
              <w:rPr>
                <w:rFonts w:asciiTheme="minorHAnsi" w:hAnsiTheme="minorHAnsi" w:cstheme="minorHAnsi"/>
                <w:noProof/>
                <w:webHidden/>
              </w:rPr>
              <w:fldChar w:fldCharType="begin"/>
            </w:r>
            <w:r w:rsidR="00C75201" w:rsidRPr="00C75201">
              <w:rPr>
                <w:rFonts w:asciiTheme="minorHAnsi" w:hAnsiTheme="minorHAnsi" w:cstheme="minorHAnsi"/>
                <w:noProof/>
                <w:webHidden/>
              </w:rPr>
              <w:instrText xml:space="preserve"> PAGEREF _Toc61379700 \h </w:instrText>
            </w:r>
            <w:r w:rsidR="00C75201" w:rsidRPr="00C75201">
              <w:rPr>
                <w:rFonts w:asciiTheme="minorHAnsi" w:hAnsiTheme="minorHAnsi" w:cstheme="minorHAnsi"/>
                <w:noProof/>
                <w:webHidden/>
              </w:rPr>
            </w:r>
            <w:r w:rsidR="00C75201" w:rsidRPr="00C75201">
              <w:rPr>
                <w:rFonts w:asciiTheme="minorHAnsi" w:hAnsiTheme="minorHAnsi" w:cstheme="minorHAnsi"/>
                <w:noProof/>
                <w:webHidden/>
              </w:rPr>
              <w:fldChar w:fldCharType="separate"/>
            </w:r>
            <w:r w:rsidR="009F3DFA">
              <w:rPr>
                <w:rFonts w:asciiTheme="minorHAnsi" w:hAnsiTheme="minorHAnsi" w:cstheme="minorHAnsi"/>
                <w:noProof/>
                <w:webHidden/>
              </w:rPr>
              <w:t>15</w:t>
            </w:r>
            <w:r w:rsidR="00C75201" w:rsidRPr="00C75201">
              <w:rPr>
                <w:rFonts w:asciiTheme="minorHAnsi" w:hAnsiTheme="minorHAnsi" w:cstheme="minorHAnsi"/>
                <w:noProof/>
                <w:webHidden/>
              </w:rPr>
              <w:fldChar w:fldCharType="end"/>
            </w:r>
          </w:hyperlink>
        </w:p>
        <w:p w14:paraId="334120E4" w14:textId="77777777" w:rsidR="00C75201" w:rsidRPr="00C75201" w:rsidRDefault="00E57A6B" w:rsidP="00C75201">
          <w:pPr>
            <w:pStyle w:val="Verzeichnis2"/>
            <w:tabs>
              <w:tab w:val="left" w:pos="880"/>
            </w:tabs>
            <w:spacing w:after="0"/>
            <w:rPr>
              <w:rFonts w:asciiTheme="minorHAnsi" w:eastAsiaTheme="minorEastAsia" w:hAnsiTheme="minorHAnsi" w:cstheme="minorHAnsi"/>
              <w:noProof/>
              <w:szCs w:val="22"/>
              <w:lang w:eastAsia="de-AT"/>
            </w:rPr>
          </w:pPr>
          <w:hyperlink w:anchor="_Toc61379701" w:history="1">
            <w:r w:rsidR="00C75201" w:rsidRPr="00C75201">
              <w:rPr>
                <w:rStyle w:val="Hyperlink"/>
                <w:rFonts w:asciiTheme="minorHAnsi" w:hAnsiTheme="minorHAnsi" w:cstheme="minorHAnsi"/>
                <w:noProof/>
                <w:lang w:val="en-US"/>
              </w:rPr>
              <w:t>4.2</w:t>
            </w:r>
            <w:r w:rsidR="00C75201" w:rsidRPr="00C75201">
              <w:rPr>
                <w:rFonts w:asciiTheme="minorHAnsi" w:eastAsiaTheme="minorEastAsia" w:hAnsiTheme="minorHAnsi" w:cstheme="minorHAnsi"/>
                <w:noProof/>
                <w:szCs w:val="22"/>
                <w:lang w:eastAsia="de-AT"/>
              </w:rPr>
              <w:tab/>
            </w:r>
            <w:r w:rsidR="00C75201" w:rsidRPr="00C75201">
              <w:rPr>
                <w:rStyle w:val="Hyperlink"/>
                <w:rFonts w:asciiTheme="minorHAnsi" w:hAnsiTheme="minorHAnsi" w:cstheme="minorHAnsi"/>
                <w:noProof/>
                <w:lang w:val="en-US"/>
              </w:rPr>
              <w:t>ZNS-Befall</w:t>
            </w:r>
            <w:r w:rsidR="00C75201" w:rsidRPr="00C75201">
              <w:rPr>
                <w:rFonts w:asciiTheme="minorHAnsi" w:hAnsiTheme="minorHAnsi" w:cstheme="minorHAnsi"/>
                <w:noProof/>
                <w:webHidden/>
              </w:rPr>
              <w:tab/>
            </w:r>
            <w:r w:rsidR="00C75201" w:rsidRPr="00C75201">
              <w:rPr>
                <w:rFonts w:asciiTheme="minorHAnsi" w:hAnsiTheme="minorHAnsi" w:cstheme="minorHAnsi"/>
                <w:noProof/>
                <w:webHidden/>
              </w:rPr>
              <w:fldChar w:fldCharType="begin"/>
            </w:r>
            <w:r w:rsidR="00C75201" w:rsidRPr="00C75201">
              <w:rPr>
                <w:rFonts w:asciiTheme="minorHAnsi" w:hAnsiTheme="minorHAnsi" w:cstheme="minorHAnsi"/>
                <w:noProof/>
                <w:webHidden/>
              </w:rPr>
              <w:instrText xml:space="preserve"> PAGEREF _Toc61379701 \h </w:instrText>
            </w:r>
            <w:r w:rsidR="00C75201" w:rsidRPr="00C75201">
              <w:rPr>
                <w:rFonts w:asciiTheme="minorHAnsi" w:hAnsiTheme="minorHAnsi" w:cstheme="minorHAnsi"/>
                <w:noProof/>
                <w:webHidden/>
              </w:rPr>
            </w:r>
            <w:r w:rsidR="00C75201" w:rsidRPr="00C75201">
              <w:rPr>
                <w:rFonts w:asciiTheme="minorHAnsi" w:hAnsiTheme="minorHAnsi" w:cstheme="minorHAnsi"/>
                <w:noProof/>
                <w:webHidden/>
              </w:rPr>
              <w:fldChar w:fldCharType="separate"/>
            </w:r>
            <w:r w:rsidR="009F3DFA">
              <w:rPr>
                <w:rFonts w:asciiTheme="minorHAnsi" w:hAnsiTheme="minorHAnsi" w:cstheme="minorHAnsi"/>
                <w:noProof/>
                <w:webHidden/>
              </w:rPr>
              <w:t>15</w:t>
            </w:r>
            <w:r w:rsidR="00C75201" w:rsidRPr="00C75201">
              <w:rPr>
                <w:rFonts w:asciiTheme="minorHAnsi" w:hAnsiTheme="minorHAnsi" w:cstheme="minorHAnsi"/>
                <w:noProof/>
                <w:webHidden/>
              </w:rPr>
              <w:fldChar w:fldCharType="end"/>
            </w:r>
          </w:hyperlink>
        </w:p>
        <w:p w14:paraId="64979AED" w14:textId="77777777" w:rsidR="00C75201" w:rsidRPr="00C75201" w:rsidRDefault="00E57A6B" w:rsidP="00C75201">
          <w:pPr>
            <w:pStyle w:val="Verzeichnis2"/>
            <w:tabs>
              <w:tab w:val="left" w:pos="880"/>
            </w:tabs>
            <w:spacing w:after="0"/>
            <w:rPr>
              <w:rFonts w:asciiTheme="minorHAnsi" w:eastAsiaTheme="minorEastAsia" w:hAnsiTheme="minorHAnsi" w:cstheme="minorHAnsi"/>
              <w:noProof/>
              <w:szCs w:val="22"/>
              <w:lang w:eastAsia="de-AT"/>
            </w:rPr>
          </w:pPr>
          <w:hyperlink w:anchor="_Toc61379702" w:history="1">
            <w:r w:rsidR="00C75201" w:rsidRPr="00C75201">
              <w:rPr>
                <w:rStyle w:val="Hyperlink"/>
                <w:rFonts w:asciiTheme="minorHAnsi" w:hAnsiTheme="minorHAnsi" w:cstheme="minorHAnsi"/>
                <w:noProof/>
              </w:rPr>
              <w:t>4.3</w:t>
            </w:r>
            <w:r w:rsidR="00C75201" w:rsidRPr="00C75201">
              <w:rPr>
                <w:rFonts w:asciiTheme="minorHAnsi" w:eastAsiaTheme="minorEastAsia" w:hAnsiTheme="minorHAnsi" w:cstheme="minorHAnsi"/>
                <w:noProof/>
                <w:szCs w:val="22"/>
                <w:lang w:eastAsia="de-AT"/>
              </w:rPr>
              <w:tab/>
            </w:r>
            <w:r w:rsidR="00C75201" w:rsidRPr="00C75201">
              <w:rPr>
                <w:rStyle w:val="Hyperlink"/>
                <w:rFonts w:asciiTheme="minorHAnsi" w:hAnsiTheme="minorHAnsi" w:cstheme="minorHAnsi"/>
                <w:noProof/>
              </w:rPr>
              <w:t>Eingeschränkte Linksventrikelfunktion / erhöhtes kardiovaskuläres Risiko</w:t>
            </w:r>
            <w:r w:rsidR="00C75201" w:rsidRPr="00C75201">
              <w:rPr>
                <w:rFonts w:asciiTheme="minorHAnsi" w:hAnsiTheme="minorHAnsi" w:cstheme="minorHAnsi"/>
                <w:noProof/>
                <w:webHidden/>
              </w:rPr>
              <w:tab/>
            </w:r>
            <w:r w:rsidR="00C75201" w:rsidRPr="00C75201">
              <w:rPr>
                <w:rFonts w:asciiTheme="minorHAnsi" w:hAnsiTheme="minorHAnsi" w:cstheme="minorHAnsi"/>
                <w:noProof/>
                <w:webHidden/>
              </w:rPr>
              <w:fldChar w:fldCharType="begin"/>
            </w:r>
            <w:r w:rsidR="00C75201" w:rsidRPr="00C75201">
              <w:rPr>
                <w:rFonts w:asciiTheme="minorHAnsi" w:hAnsiTheme="minorHAnsi" w:cstheme="minorHAnsi"/>
                <w:noProof/>
                <w:webHidden/>
              </w:rPr>
              <w:instrText xml:space="preserve"> PAGEREF _Toc61379702 \h </w:instrText>
            </w:r>
            <w:r w:rsidR="00C75201" w:rsidRPr="00C75201">
              <w:rPr>
                <w:rFonts w:asciiTheme="minorHAnsi" w:hAnsiTheme="minorHAnsi" w:cstheme="minorHAnsi"/>
                <w:noProof/>
                <w:webHidden/>
              </w:rPr>
            </w:r>
            <w:r w:rsidR="00C75201" w:rsidRPr="00C75201">
              <w:rPr>
                <w:rFonts w:asciiTheme="minorHAnsi" w:hAnsiTheme="minorHAnsi" w:cstheme="minorHAnsi"/>
                <w:noProof/>
                <w:webHidden/>
              </w:rPr>
              <w:fldChar w:fldCharType="separate"/>
            </w:r>
            <w:r w:rsidR="009F3DFA">
              <w:rPr>
                <w:rFonts w:asciiTheme="minorHAnsi" w:hAnsiTheme="minorHAnsi" w:cstheme="minorHAnsi"/>
                <w:noProof/>
                <w:webHidden/>
              </w:rPr>
              <w:t>16</w:t>
            </w:r>
            <w:r w:rsidR="00C75201" w:rsidRPr="00C75201">
              <w:rPr>
                <w:rFonts w:asciiTheme="minorHAnsi" w:hAnsiTheme="minorHAnsi" w:cstheme="minorHAnsi"/>
                <w:noProof/>
                <w:webHidden/>
              </w:rPr>
              <w:fldChar w:fldCharType="end"/>
            </w:r>
          </w:hyperlink>
        </w:p>
        <w:p w14:paraId="271F569B" w14:textId="77777777" w:rsidR="00C75201" w:rsidRPr="00C75201" w:rsidRDefault="00E57A6B" w:rsidP="00C75201">
          <w:pPr>
            <w:pStyle w:val="Verzeichnis1"/>
            <w:spacing w:line="276" w:lineRule="auto"/>
            <w:rPr>
              <w:rFonts w:asciiTheme="minorHAnsi" w:eastAsiaTheme="minorEastAsia" w:hAnsiTheme="minorHAnsi" w:cstheme="minorHAnsi"/>
              <w:noProof/>
              <w:szCs w:val="22"/>
              <w:lang w:eastAsia="de-AT"/>
            </w:rPr>
          </w:pPr>
          <w:hyperlink w:anchor="_Toc61379703" w:history="1">
            <w:r w:rsidR="00C75201" w:rsidRPr="00C75201">
              <w:rPr>
                <w:rStyle w:val="Hyperlink"/>
                <w:rFonts w:asciiTheme="minorHAnsi" w:hAnsiTheme="minorHAnsi" w:cstheme="minorHAnsi"/>
                <w:noProof/>
              </w:rPr>
              <w:t>5</w:t>
            </w:r>
            <w:r w:rsidR="00C75201" w:rsidRPr="00C75201">
              <w:rPr>
                <w:rFonts w:asciiTheme="minorHAnsi" w:eastAsiaTheme="minorEastAsia" w:hAnsiTheme="minorHAnsi" w:cstheme="minorHAnsi"/>
                <w:noProof/>
                <w:szCs w:val="22"/>
                <w:lang w:eastAsia="de-AT"/>
              </w:rPr>
              <w:tab/>
            </w:r>
            <w:r w:rsidR="00C75201" w:rsidRPr="00C75201">
              <w:rPr>
                <w:rStyle w:val="Hyperlink"/>
                <w:rFonts w:asciiTheme="minorHAnsi" w:hAnsiTheme="minorHAnsi" w:cstheme="minorHAnsi"/>
                <w:noProof/>
              </w:rPr>
              <w:t>Verlaufskontrolle und Nachsorge</w:t>
            </w:r>
            <w:r w:rsidR="00C75201" w:rsidRPr="00C75201">
              <w:rPr>
                <w:rFonts w:asciiTheme="minorHAnsi" w:hAnsiTheme="minorHAnsi" w:cstheme="minorHAnsi"/>
                <w:noProof/>
                <w:webHidden/>
              </w:rPr>
              <w:tab/>
            </w:r>
            <w:r w:rsidR="00C75201" w:rsidRPr="00C75201">
              <w:rPr>
                <w:rFonts w:asciiTheme="minorHAnsi" w:hAnsiTheme="minorHAnsi" w:cstheme="minorHAnsi"/>
                <w:noProof/>
                <w:webHidden/>
              </w:rPr>
              <w:fldChar w:fldCharType="begin"/>
            </w:r>
            <w:r w:rsidR="00C75201" w:rsidRPr="00C75201">
              <w:rPr>
                <w:rFonts w:asciiTheme="minorHAnsi" w:hAnsiTheme="minorHAnsi" w:cstheme="minorHAnsi"/>
                <w:noProof/>
                <w:webHidden/>
              </w:rPr>
              <w:instrText xml:space="preserve"> PAGEREF _Toc61379703 \h </w:instrText>
            </w:r>
            <w:r w:rsidR="00C75201" w:rsidRPr="00C75201">
              <w:rPr>
                <w:rFonts w:asciiTheme="minorHAnsi" w:hAnsiTheme="minorHAnsi" w:cstheme="minorHAnsi"/>
                <w:noProof/>
                <w:webHidden/>
              </w:rPr>
            </w:r>
            <w:r w:rsidR="00C75201" w:rsidRPr="00C75201">
              <w:rPr>
                <w:rFonts w:asciiTheme="minorHAnsi" w:hAnsiTheme="minorHAnsi" w:cstheme="minorHAnsi"/>
                <w:noProof/>
                <w:webHidden/>
              </w:rPr>
              <w:fldChar w:fldCharType="separate"/>
            </w:r>
            <w:r w:rsidR="009F3DFA">
              <w:rPr>
                <w:rFonts w:asciiTheme="minorHAnsi" w:hAnsiTheme="minorHAnsi" w:cstheme="minorHAnsi"/>
                <w:noProof/>
                <w:webHidden/>
              </w:rPr>
              <w:t>17</w:t>
            </w:r>
            <w:r w:rsidR="00C75201" w:rsidRPr="00C75201">
              <w:rPr>
                <w:rFonts w:asciiTheme="minorHAnsi" w:hAnsiTheme="minorHAnsi" w:cstheme="minorHAnsi"/>
                <w:noProof/>
                <w:webHidden/>
              </w:rPr>
              <w:fldChar w:fldCharType="end"/>
            </w:r>
          </w:hyperlink>
        </w:p>
        <w:p w14:paraId="784A5059" w14:textId="77777777" w:rsidR="00C75201" w:rsidRPr="00C75201" w:rsidRDefault="00E57A6B" w:rsidP="00C75201">
          <w:pPr>
            <w:pStyle w:val="Verzeichnis2"/>
            <w:tabs>
              <w:tab w:val="left" w:pos="880"/>
            </w:tabs>
            <w:spacing w:after="0"/>
            <w:rPr>
              <w:rFonts w:asciiTheme="minorHAnsi" w:eastAsiaTheme="minorEastAsia" w:hAnsiTheme="minorHAnsi" w:cstheme="minorHAnsi"/>
              <w:noProof/>
              <w:szCs w:val="22"/>
              <w:lang w:eastAsia="de-AT"/>
            </w:rPr>
          </w:pPr>
          <w:hyperlink w:anchor="_Toc61379704" w:history="1">
            <w:r w:rsidR="00C75201" w:rsidRPr="00C75201">
              <w:rPr>
                <w:rStyle w:val="Hyperlink"/>
                <w:rFonts w:asciiTheme="minorHAnsi" w:hAnsiTheme="minorHAnsi" w:cstheme="minorHAnsi"/>
                <w:noProof/>
              </w:rPr>
              <w:t>5.1</w:t>
            </w:r>
            <w:r w:rsidR="00C75201" w:rsidRPr="00C75201">
              <w:rPr>
                <w:rFonts w:asciiTheme="minorHAnsi" w:eastAsiaTheme="minorEastAsia" w:hAnsiTheme="minorHAnsi" w:cstheme="minorHAnsi"/>
                <w:noProof/>
                <w:szCs w:val="22"/>
                <w:lang w:eastAsia="de-AT"/>
              </w:rPr>
              <w:tab/>
            </w:r>
            <w:r w:rsidR="00C75201" w:rsidRPr="00C75201">
              <w:rPr>
                <w:rStyle w:val="Hyperlink"/>
                <w:rFonts w:asciiTheme="minorHAnsi" w:hAnsiTheme="minorHAnsi" w:cstheme="minorHAnsi"/>
                <w:noProof/>
              </w:rPr>
              <w:t>Responsebeurteilung</w:t>
            </w:r>
            <w:r w:rsidR="00C75201" w:rsidRPr="00C75201">
              <w:rPr>
                <w:rFonts w:asciiTheme="minorHAnsi" w:hAnsiTheme="minorHAnsi" w:cstheme="minorHAnsi"/>
                <w:noProof/>
                <w:webHidden/>
              </w:rPr>
              <w:tab/>
            </w:r>
            <w:r w:rsidR="00C75201" w:rsidRPr="00C75201">
              <w:rPr>
                <w:rFonts w:asciiTheme="minorHAnsi" w:hAnsiTheme="minorHAnsi" w:cstheme="minorHAnsi"/>
                <w:noProof/>
                <w:webHidden/>
              </w:rPr>
              <w:fldChar w:fldCharType="begin"/>
            </w:r>
            <w:r w:rsidR="00C75201" w:rsidRPr="00C75201">
              <w:rPr>
                <w:rFonts w:asciiTheme="minorHAnsi" w:hAnsiTheme="minorHAnsi" w:cstheme="minorHAnsi"/>
                <w:noProof/>
                <w:webHidden/>
              </w:rPr>
              <w:instrText xml:space="preserve"> PAGEREF _Toc61379704 \h </w:instrText>
            </w:r>
            <w:r w:rsidR="00C75201" w:rsidRPr="00C75201">
              <w:rPr>
                <w:rFonts w:asciiTheme="minorHAnsi" w:hAnsiTheme="minorHAnsi" w:cstheme="minorHAnsi"/>
                <w:noProof/>
                <w:webHidden/>
              </w:rPr>
            </w:r>
            <w:r w:rsidR="00C75201" w:rsidRPr="00C75201">
              <w:rPr>
                <w:rFonts w:asciiTheme="minorHAnsi" w:hAnsiTheme="minorHAnsi" w:cstheme="minorHAnsi"/>
                <w:noProof/>
                <w:webHidden/>
              </w:rPr>
              <w:fldChar w:fldCharType="separate"/>
            </w:r>
            <w:r w:rsidR="009F3DFA">
              <w:rPr>
                <w:rFonts w:asciiTheme="minorHAnsi" w:hAnsiTheme="minorHAnsi" w:cstheme="minorHAnsi"/>
                <w:noProof/>
                <w:webHidden/>
              </w:rPr>
              <w:t>17</w:t>
            </w:r>
            <w:r w:rsidR="00C75201" w:rsidRPr="00C75201">
              <w:rPr>
                <w:rFonts w:asciiTheme="minorHAnsi" w:hAnsiTheme="minorHAnsi" w:cstheme="minorHAnsi"/>
                <w:noProof/>
                <w:webHidden/>
              </w:rPr>
              <w:fldChar w:fldCharType="end"/>
            </w:r>
          </w:hyperlink>
        </w:p>
        <w:p w14:paraId="55F95094" w14:textId="77777777" w:rsidR="00C75201" w:rsidRPr="00C75201" w:rsidRDefault="00E57A6B" w:rsidP="00C75201">
          <w:pPr>
            <w:pStyle w:val="Verzeichnis2"/>
            <w:tabs>
              <w:tab w:val="left" w:pos="880"/>
            </w:tabs>
            <w:spacing w:after="0"/>
            <w:rPr>
              <w:rFonts w:asciiTheme="minorHAnsi" w:eastAsiaTheme="minorEastAsia" w:hAnsiTheme="minorHAnsi" w:cstheme="minorHAnsi"/>
              <w:noProof/>
              <w:szCs w:val="22"/>
              <w:lang w:eastAsia="de-AT"/>
            </w:rPr>
          </w:pPr>
          <w:hyperlink w:anchor="_Toc61379705" w:history="1">
            <w:r w:rsidR="00C75201" w:rsidRPr="00C75201">
              <w:rPr>
                <w:rStyle w:val="Hyperlink"/>
                <w:rFonts w:asciiTheme="minorHAnsi" w:hAnsiTheme="minorHAnsi" w:cstheme="minorHAnsi"/>
                <w:noProof/>
              </w:rPr>
              <w:t>5.2</w:t>
            </w:r>
            <w:r w:rsidR="00C75201" w:rsidRPr="00C75201">
              <w:rPr>
                <w:rFonts w:asciiTheme="minorHAnsi" w:eastAsiaTheme="minorEastAsia" w:hAnsiTheme="minorHAnsi" w:cstheme="minorHAnsi"/>
                <w:noProof/>
                <w:szCs w:val="22"/>
                <w:lang w:eastAsia="de-AT"/>
              </w:rPr>
              <w:tab/>
            </w:r>
            <w:r w:rsidR="00C75201" w:rsidRPr="00C75201">
              <w:rPr>
                <w:rStyle w:val="Hyperlink"/>
                <w:rFonts w:asciiTheme="minorHAnsi" w:hAnsiTheme="minorHAnsi" w:cstheme="minorHAnsi"/>
                <w:noProof/>
                <w:lang w:val="de-DE"/>
              </w:rPr>
              <w:t>Verlaufskontrolle</w:t>
            </w:r>
            <w:r w:rsidR="00C75201" w:rsidRPr="00C75201">
              <w:rPr>
                <w:rStyle w:val="Hyperlink"/>
                <w:rFonts w:asciiTheme="minorHAnsi" w:hAnsiTheme="minorHAnsi" w:cstheme="minorHAnsi"/>
                <w:noProof/>
              </w:rPr>
              <w:t>n unter Therapie und nach Therapieabschluss</w:t>
            </w:r>
            <w:r w:rsidR="00C75201" w:rsidRPr="00C75201">
              <w:rPr>
                <w:rFonts w:asciiTheme="minorHAnsi" w:hAnsiTheme="minorHAnsi" w:cstheme="minorHAnsi"/>
                <w:noProof/>
                <w:webHidden/>
              </w:rPr>
              <w:tab/>
            </w:r>
            <w:r w:rsidR="00C75201" w:rsidRPr="00C75201">
              <w:rPr>
                <w:rFonts w:asciiTheme="minorHAnsi" w:hAnsiTheme="minorHAnsi" w:cstheme="minorHAnsi"/>
                <w:noProof/>
                <w:webHidden/>
              </w:rPr>
              <w:fldChar w:fldCharType="begin"/>
            </w:r>
            <w:r w:rsidR="00C75201" w:rsidRPr="00C75201">
              <w:rPr>
                <w:rFonts w:asciiTheme="minorHAnsi" w:hAnsiTheme="minorHAnsi" w:cstheme="minorHAnsi"/>
                <w:noProof/>
                <w:webHidden/>
              </w:rPr>
              <w:instrText xml:space="preserve"> PAGEREF _Toc61379705 \h </w:instrText>
            </w:r>
            <w:r w:rsidR="00C75201" w:rsidRPr="00C75201">
              <w:rPr>
                <w:rFonts w:asciiTheme="minorHAnsi" w:hAnsiTheme="minorHAnsi" w:cstheme="minorHAnsi"/>
                <w:noProof/>
                <w:webHidden/>
              </w:rPr>
            </w:r>
            <w:r w:rsidR="00C75201" w:rsidRPr="00C75201">
              <w:rPr>
                <w:rFonts w:asciiTheme="minorHAnsi" w:hAnsiTheme="minorHAnsi" w:cstheme="minorHAnsi"/>
                <w:noProof/>
                <w:webHidden/>
              </w:rPr>
              <w:fldChar w:fldCharType="separate"/>
            </w:r>
            <w:r w:rsidR="009F3DFA">
              <w:rPr>
                <w:rFonts w:asciiTheme="minorHAnsi" w:hAnsiTheme="minorHAnsi" w:cstheme="minorHAnsi"/>
                <w:noProof/>
                <w:webHidden/>
              </w:rPr>
              <w:t>19</w:t>
            </w:r>
            <w:r w:rsidR="00C75201" w:rsidRPr="00C75201">
              <w:rPr>
                <w:rFonts w:asciiTheme="minorHAnsi" w:hAnsiTheme="minorHAnsi" w:cstheme="minorHAnsi"/>
                <w:noProof/>
                <w:webHidden/>
              </w:rPr>
              <w:fldChar w:fldCharType="end"/>
            </w:r>
          </w:hyperlink>
        </w:p>
        <w:p w14:paraId="58952D7C" w14:textId="77777777" w:rsidR="00C75201" w:rsidRPr="00C75201" w:rsidRDefault="00E57A6B" w:rsidP="00C75201">
          <w:pPr>
            <w:pStyle w:val="Verzeichnis1"/>
            <w:spacing w:line="276" w:lineRule="auto"/>
            <w:rPr>
              <w:rFonts w:asciiTheme="minorHAnsi" w:eastAsiaTheme="minorEastAsia" w:hAnsiTheme="minorHAnsi" w:cstheme="minorHAnsi"/>
              <w:noProof/>
              <w:szCs w:val="22"/>
              <w:lang w:eastAsia="de-AT"/>
            </w:rPr>
          </w:pPr>
          <w:hyperlink w:anchor="_Toc61379706" w:history="1">
            <w:r w:rsidR="00C75201" w:rsidRPr="00C75201">
              <w:rPr>
                <w:rStyle w:val="Hyperlink"/>
                <w:rFonts w:asciiTheme="minorHAnsi" w:hAnsiTheme="minorHAnsi" w:cstheme="minorHAnsi"/>
                <w:noProof/>
              </w:rPr>
              <w:t>6</w:t>
            </w:r>
            <w:r w:rsidR="00C75201" w:rsidRPr="00C75201">
              <w:rPr>
                <w:rFonts w:asciiTheme="minorHAnsi" w:eastAsiaTheme="minorEastAsia" w:hAnsiTheme="minorHAnsi" w:cstheme="minorHAnsi"/>
                <w:noProof/>
                <w:szCs w:val="22"/>
                <w:lang w:eastAsia="de-AT"/>
              </w:rPr>
              <w:tab/>
            </w:r>
            <w:r w:rsidR="00C75201" w:rsidRPr="00C75201">
              <w:rPr>
                <w:rStyle w:val="Hyperlink"/>
                <w:rFonts w:asciiTheme="minorHAnsi" w:hAnsiTheme="minorHAnsi" w:cstheme="minorHAnsi"/>
                <w:noProof/>
              </w:rPr>
              <w:t>Literatur/Quellenangaben</w:t>
            </w:r>
            <w:r w:rsidR="00C75201" w:rsidRPr="00C75201">
              <w:rPr>
                <w:rFonts w:asciiTheme="minorHAnsi" w:hAnsiTheme="minorHAnsi" w:cstheme="minorHAnsi"/>
                <w:noProof/>
                <w:webHidden/>
              </w:rPr>
              <w:tab/>
            </w:r>
            <w:r w:rsidR="00C75201" w:rsidRPr="00C75201">
              <w:rPr>
                <w:rFonts w:asciiTheme="minorHAnsi" w:hAnsiTheme="minorHAnsi" w:cstheme="minorHAnsi"/>
                <w:noProof/>
                <w:webHidden/>
              </w:rPr>
              <w:fldChar w:fldCharType="begin"/>
            </w:r>
            <w:r w:rsidR="00C75201" w:rsidRPr="00C75201">
              <w:rPr>
                <w:rFonts w:asciiTheme="minorHAnsi" w:hAnsiTheme="minorHAnsi" w:cstheme="minorHAnsi"/>
                <w:noProof/>
                <w:webHidden/>
              </w:rPr>
              <w:instrText xml:space="preserve"> PAGEREF _Toc61379706 \h </w:instrText>
            </w:r>
            <w:r w:rsidR="00C75201" w:rsidRPr="00C75201">
              <w:rPr>
                <w:rFonts w:asciiTheme="minorHAnsi" w:hAnsiTheme="minorHAnsi" w:cstheme="minorHAnsi"/>
                <w:noProof/>
                <w:webHidden/>
              </w:rPr>
            </w:r>
            <w:r w:rsidR="00C75201" w:rsidRPr="00C75201">
              <w:rPr>
                <w:rFonts w:asciiTheme="minorHAnsi" w:hAnsiTheme="minorHAnsi" w:cstheme="minorHAnsi"/>
                <w:noProof/>
                <w:webHidden/>
              </w:rPr>
              <w:fldChar w:fldCharType="separate"/>
            </w:r>
            <w:r w:rsidR="009F3DFA">
              <w:rPr>
                <w:rFonts w:asciiTheme="minorHAnsi" w:hAnsiTheme="minorHAnsi" w:cstheme="minorHAnsi"/>
                <w:noProof/>
                <w:webHidden/>
              </w:rPr>
              <w:t>20</w:t>
            </w:r>
            <w:r w:rsidR="00C75201" w:rsidRPr="00C75201">
              <w:rPr>
                <w:rFonts w:asciiTheme="minorHAnsi" w:hAnsiTheme="minorHAnsi" w:cstheme="minorHAnsi"/>
                <w:noProof/>
                <w:webHidden/>
              </w:rPr>
              <w:fldChar w:fldCharType="end"/>
            </w:r>
          </w:hyperlink>
        </w:p>
        <w:p w14:paraId="6DFEC137" w14:textId="77777777" w:rsidR="00C75201" w:rsidRPr="00C75201" w:rsidRDefault="00E57A6B" w:rsidP="00C75201">
          <w:pPr>
            <w:pStyle w:val="Verzeichnis1"/>
            <w:spacing w:line="276" w:lineRule="auto"/>
            <w:rPr>
              <w:rFonts w:asciiTheme="minorHAnsi" w:eastAsiaTheme="minorEastAsia" w:hAnsiTheme="minorHAnsi" w:cstheme="minorHAnsi"/>
              <w:noProof/>
              <w:szCs w:val="22"/>
              <w:lang w:eastAsia="de-AT"/>
            </w:rPr>
          </w:pPr>
          <w:hyperlink w:anchor="_Toc61379707" w:history="1">
            <w:r w:rsidR="00C75201" w:rsidRPr="00C75201">
              <w:rPr>
                <w:rStyle w:val="Hyperlink"/>
                <w:rFonts w:asciiTheme="minorHAnsi" w:hAnsiTheme="minorHAnsi" w:cstheme="minorHAnsi"/>
                <w:noProof/>
                <w:lang w:val="en-GB"/>
              </w:rPr>
              <w:t xml:space="preserve">Anhang: </w:t>
            </w:r>
            <w:r w:rsidR="00C75201" w:rsidRPr="00C75201">
              <w:rPr>
                <w:rStyle w:val="Hyperlink"/>
                <w:rFonts w:asciiTheme="minorHAnsi" w:hAnsiTheme="minorHAnsi" w:cstheme="minorHAnsi"/>
                <w:noProof/>
                <w:lang w:val="en-US"/>
              </w:rPr>
              <w:t>Therapieprotokolle</w:t>
            </w:r>
            <w:r w:rsidR="00C75201" w:rsidRPr="00C75201">
              <w:rPr>
                <w:rFonts w:asciiTheme="minorHAnsi" w:hAnsiTheme="minorHAnsi" w:cstheme="minorHAnsi"/>
                <w:noProof/>
                <w:webHidden/>
              </w:rPr>
              <w:tab/>
            </w:r>
            <w:r w:rsidR="00C75201" w:rsidRPr="00C75201">
              <w:rPr>
                <w:rFonts w:asciiTheme="minorHAnsi" w:hAnsiTheme="minorHAnsi" w:cstheme="minorHAnsi"/>
                <w:noProof/>
                <w:webHidden/>
              </w:rPr>
              <w:fldChar w:fldCharType="begin"/>
            </w:r>
            <w:r w:rsidR="00C75201" w:rsidRPr="00C75201">
              <w:rPr>
                <w:rFonts w:asciiTheme="minorHAnsi" w:hAnsiTheme="minorHAnsi" w:cstheme="minorHAnsi"/>
                <w:noProof/>
                <w:webHidden/>
              </w:rPr>
              <w:instrText xml:space="preserve"> PAGEREF _Toc61379707 \h </w:instrText>
            </w:r>
            <w:r w:rsidR="00C75201" w:rsidRPr="00C75201">
              <w:rPr>
                <w:rFonts w:asciiTheme="minorHAnsi" w:hAnsiTheme="minorHAnsi" w:cstheme="minorHAnsi"/>
                <w:noProof/>
                <w:webHidden/>
              </w:rPr>
            </w:r>
            <w:r w:rsidR="00C75201" w:rsidRPr="00C75201">
              <w:rPr>
                <w:rFonts w:asciiTheme="minorHAnsi" w:hAnsiTheme="minorHAnsi" w:cstheme="minorHAnsi"/>
                <w:noProof/>
                <w:webHidden/>
              </w:rPr>
              <w:fldChar w:fldCharType="separate"/>
            </w:r>
            <w:r w:rsidR="009F3DFA">
              <w:rPr>
                <w:rFonts w:asciiTheme="minorHAnsi" w:hAnsiTheme="minorHAnsi" w:cstheme="minorHAnsi"/>
                <w:noProof/>
                <w:webHidden/>
              </w:rPr>
              <w:t>22</w:t>
            </w:r>
            <w:r w:rsidR="00C75201" w:rsidRPr="00C75201">
              <w:rPr>
                <w:rFonts w:asciiTheme="minorHAnsi" w:hAnsiTheme="minorHAnsi" w:cstheme="minorHAnsi"/>
                <w:noProof/>
                <w:webHidden/>
              </w:rPr>
              <w:fldChar w:fldCharType="end"/>
            </w:r>
          </w:hyperlink>
        </w:p>
        <w:p w14:paraId="61474CA5" w14:textId="77777777" w:rsidR="00C75201" w:rsidRPr="00C75201" w:rsidRDefault="00E57A6B" w:rsidP="00C75201">
          <w:pPr>
            <w:pStyle w:val="Verzeichnis1"/>
            <w:spacing w:line="276" w:lineRule="auto"/>
            <w:rPr>
              <w:rFonts w:asciiTheme="minorHAnsi" w:eastAsiaTheme="minorEastAsia" w:hAnsiTheme="minorHAnsi" w:cstheme="minorHAnsi"/>
              <w:noProof/>
              <w:szCs w:val="22"/>
              <w:lang w:eastAsia="de-AT"/>
            </w:rPr>
          </w:pPr>
          <w:hyperlink w:anchor="_Toc61379718" w:history="1">
            <w:r w:rsidR="00C75201" w:rsidRPr="00C75201">
              <w:rPr>
                <w:rStyle w:val="Hyperlink"/>
                <w:rFonts w:asciiTheme="minorHAnsi" w:hAnsiTheme="minorHAnsi" w:cstheme="minorHAnsi"/>
                <w:noProof/>
              </w:rPr>
              <w:t>Anhang: Studienblatt</w:t>
            </w:r>
            <w:r w:rsidR="00C75201" w:rsidRPr="00C75201">
              <w:rPr>
                <w:rFonts w:asciiTheme="minorHAnsi" w:hAnsiTheme="minorHAnsi" w:cstheme="minorHAnsi"/>
                <w:noProof/>
                <w:webHidden/>
              </w:rPr>
              <w:tab/>
            </w:r>
            <w:r w:rsidR="00C75201" w:rsidRPr="00C75201">
              <w:rPr>
                <w:rFonts w:asciiTheme="minorHAnsi" w:hAnsiTheme="minorHAnsi" w:cstheme="minorHAnsi"/>
                <w:noProof/>
                <w:webHidden/>
              </w:rPr>
              <w:fldChar w:fldCharType="begin"/>
            </w:r>
            <w:r w:rsidR="00C75201" w:rsidRPr="00C75201">
              <w:rPr>
                <w:rFonts w:asciiTheme="minorHAnsi" w:hAnsiTheme="minorHAnsi" w:cstheme="minorHAnsi"/>
                <w:noProof/>
                <w:webHidden/>
              </w:rPr>
              <w:instrText xml:space="preserve"> PAGEREF _Toc61379718 \h </w:instrText>
            </w:r>
            <w:r w:rsidR="00C75201" w:rsidRPr="00C75201">
              <w:rPr>
                <w:rFonts w:asciiTheme="minorHAnsi" w:hAnsiTheme="minorHAnsi" w:cstheme="minorHAnsi"/>
                <w:noProof/>
                <w:webHidden/>
              </w:rPr>
            </w:r>
            <w:r w:rsidR="00C75201" w:rsidRPr="00C75201">
              <w:rPr>
                <w:rFonts w:asciiTheme="minorHAnsi" w:hAnsiTheme="minorHAnsi" w:cstheme="minorHAnsi"/>
                <w:noProof/>
                <w:webHidden/>
              </w:rPr>
              <w:fldChar w:fldCharType="separate"/>
            </w:r>
            <w:r w:rsidR="009F3DFA">
              <w:rPr>
                <w:rFonts w:asciiTheme="minorHAnsi" w:hAnsiTheme="minorHAnsi" w:cstheme="minorHAnsi"/>
                <w:noProof/>
                <w:webHidden/>
              </w:rPr>
              <w:t>23</w:t>
            </w:r>
            <w:r w:rsidR="00C75201" w:rsidRPr="00C75201">
              <w:rPr>
                <w:rFonts w:asciiTheme="minorHAnsi" w:hAnsiTheme="minorHAnsi" w:cstheme="minorHAnsi"/>
                <w:noProof/>
                <w:webHidden/>
              </w:rPr>
              <w:fldChar w:fldCharType="end"/>
            </w:r>
          </w:hyperlink>
        </w:p>
        <w:p w14:paraId="075444EA" w14:textId="77777777" w:rsidR="00C75201" w:rsidRPr="00C75201" w:rsidRDefault="00E57A6B" w:rsidP="00C75201">
          <w:pPr>
            <w:pStyle w:val="Verzeichnis1"/>
            <w:spacing w:line="276" w:lineRule="auto"/>
            <w:rPr>
              <w:rFonts w:asciiTheme="minorHAnsi" w:eastAsiaTheme="minorEastAsia" w:hAnsiTheme="minorHAnsi" w:cstheme="minorHAnsi"/>
              <w:noProof/>
              <w:szCs w:val="22"/>
              <w:lang w:eastAsia="de-AT"/>
            </w:rPr>
          </w:pPr>
          <w:hyperlink w:anchor="_Toc61379719" w:history="1">
            <w:r w:rsidR="00C75201" w:rsidRPr="00C75201">
              <w:rPr>
                <w:rStyle w:val="Hyperlink"/>
                <w:rFonts w:asciiTheme="minorHAnsi" w:hAnsiTheme="minorHAnsi" w:cstheme="minorHAnsi"/>
                <w:noProof/>
              </w:rPr>
              <w:t>Anhang: Wirtschaftliche Analyse (optional)</w:t>
            </w:r>
            <w:r w:rsidR="00C75201" w:rsidRPr="00C75201">
              <w:rPr>
                <w:rFonts w:asciiTheme="minorHAnsi" w:hAnsiTheme="minorHAnsi" w:cstheme="minorHAnsi"/>
                <w:noProof/>
                <w:webHidden/>
              </w:rPr>
              <w:tab/>
            </w:r>
            <w:r w:rsidR="00C75201" w:rsidRPr="00C75201">
              <w:rPr>
                <w:rFonts w:asciiTheme="minorHAnsi" w:hAnsiTheme="minorHAnsi" w:cstheme="minorHAnsi"/>
                <w:noProof/>
                <w:webHidden/>
              </w:rPr>
              <w:fldChar w:fldCharType="begin"/>
            </w:r>
            <w:r w:rsidR="00C75201" w:rsidRPr="00C75201">
              <w:rPr>
                <w:rFonts w:asciiTheme="minorHAnsi" w:hAnsiTheme="minorHAnsi" w:cstheme="minorHAnsi"/>
                <w:noProof/>
                <w:webHidden/>
              </w:rPr>
              <w:instrText xml:space="preserve"> PAGEREF _Toc61379719 \h </w:instrText>
            </w:r>
            <w:r w:rsidR="00C75201" w:rsidRPr="00C75201">
              <w:rPr>
                <w:rFonts w:asciiTheme="minorHAnsi" w:hAnsiTheme="minorHAnsi" w:cstheme="minorHAnsi"/>
                <w:noProof/>
                <w:webHidden/>
              </w:rPr>
            </w:r>
            <w:r w:rsidR="00C75201" w:rsidRPr="00C75201">
              <w:rPr>
                <w:rFonts w:asciiTheme="minorHAnsi" w:hAnsiTheme="minorHAnsi" w:cstheme="minorHAnsi"/>
                <w:noProof/>
                <w:webHidden/>
              </w:rPr>
              <w:fldChar w:fldCharType="separate"/>
            </w:r>
            <w:r w:rsidR="009F3DFA">
              <w:rPr>
                <w:rFonts w:asciiTheme="minorHAnsi" w:hAnsiTheme="minorHAnsi" w:cstheme="minorHAnsi"/>
                <w:noProof/>
                <w:webHidden/>
              </w:rPr>
              <w:t>23</w:t>
            </w:r>
            <w:r w:rsidR="00C75201" w:rsidRPr="00C75201">
              <w:rPr>
                <w:rFonts w:asciiTheme="minorHAnsi" w:hAnsiTheme="minorHAnsi" w:cstheme="minorHAnsi"/>
                <w:noProof/>
                <w:webHidden/>
              </w:rPr>
              <w:fldChar w:fldCharType="end"/>
            </w:r>
          </w:hyperlink>
        </w:p>
        <w:p w14:paraId="46E478DC" w14:textId="77777777" w:rsidR="003C2F32" w:rsidRPr="00C34AEE" w:rsidRDefault="003C2F32" w:rsidP="004501B1">
          <w:pPr>
            <w:spacing w:line="276" w:lineRule="auto"/>
            <w:jc w:val="left"/>
            <w:rPr>
              <w:rFonts w:asciiTheme="minorHAnsi" w:hAnsiTheme="minorHAnsi" w:cstheme="minorHAnsi"/>
              <w:szCs w:val="22"/>
            </w:rPr>
          </w:pPr>
          <w:r w:rsidRPr="00B8236C">
            <w:rPr>
              <w:rFonts w:asciiTheme="minorHAnsi" w:hAnsiTheme="minorHAnsi" w:cstheme="minorHAnsi"/>
              <w:b/>
              <w:bCs/>
              <w:szCs w:val="22"/>
            </w:rPr>
            <w:fldChar w:fldCharType="end"/>
          </w:r>
        </w:p>
      </w:sdtContent>
    </w:sdt>
    <w:p w14:paraId="45FD5E12" w14:textId="77777777" w:rsidR="007F3064" w:rsidRDefault="007F3064" w:rsidP="007374FB">
      <w:pPr>
        <w:jc w:val="left"/>
      </w:pPr>
    </w:p>
    <w:p w14:paraId="240EC3B0" w14:textId="77777777" w:rsidR="00B8236C" w:rsidRDefault="00B8236C">
      <w:pPr>
        <w:spacing w:line="240" w:lineRule="auto"/>
        <w:jc w:val="left"/>
      </w:pPr>
      <w:r>
        <w:br w:type="page"/>
      </w:r>
    </w:p>
    <w:p w14:paraId="65760709" w14:textId="77777777" w:rsidR="006D4DAC" w:rsidRPr="00E344D4" w:rsidRDefault="006D4DAC" w:rsidP="007374FB">
      <w:pPr>
        <w:pStyle w:val="berschrift1"/>
      </w:pPr>
      <w:bookmarkStart w:id="2" w:name="_Toc367183615"/>
      <w:bookmarkStart w:id="3" w:name="_Toc367183853"/>
      <w:bookmarkStart w:id="4" w:name="_Toc61379679"/>
      <w:r w:rsidRPr="00E344D4">
        <w:lastRenderedPageBreak/>
        <w:t>1</w:t>
      </w:r>
      <w:r w:rsidRPr="00E344D4">
        <w:tab/>
      </w:r>
      <w:bookmarkEnd w:id="2"/>
      <w:bookmarkEnd w:id="3"/>
      <w:r w:rsidR="0049768A">
        <w:t>Allgemeines</w:t>
      </w:r>
      <w:bookmarkEnd w:id="4"/>
    </w:p>
    <w:p w14:paraId="7BF8C4C6" w14:textId="77777777" w:rsidR="003E6DDD" w:rsidRPr="0005570D" w:rsidRDefault="00914DA9" w:rsidP="004501B1">
      <w:pPr>
        <w:pStyle w:val="Titel"/>
        <w:spacing w:line="276" w:lineRule="auto"/>
        <w:jc w:val="both"/>
        <w:rPr>
          <w:rFonts w:asciiTheme="minorHAnsi" w:hAnsiTheme="minorHAnsi" w:cstheme="minorHAnsi"/>
          <w:sz w:val="22"/>
          <w:szCs w:val="22"/>
          <w:lang w:val="de-AT"/>
        </w:rPr>
      </w:pPr>
      <w:r w:rsidRPr="0005570D">
        <w:rPr>
          <w:rFonts w:asciiTheme="minorHAnsi" w:hAnsiTheme="minorHAnsi" w:cstheme="minorHAnsi"/>
          <w:sz w:val="22"/>
          <w:szCs w:val="22"/>
          <w:lang w:val="de-AT"/>
        </w:rPr>
        <w:t xml:space="preserve">Unter dem Begriff periphere T-Zell Lymphome (PTCL) werden die klinisch meist aggressiv verlaufenden nodalen und extranodalen Lymphome mit dem Phänotyp reifer post-thymischer NK- und T-Zellen zusammengefasst. Nach der </w:t>
      </w:r>
      <w:r w:rsidR="00876E5F">
        <w:rPr>
          <w:rFonts w:asciiTheme="minorHAnsi" w:hAnsiTheme="minorHAnsi" w:cstheme="minorHAnsi"/>
          <w:sz w:val="22"/>
          <w:szCs w:val="22"/>
          <w:lang w:val="de-AT"/>
        </w:rPr>
        <w:t xml:space="preserve">überarbeiteten </w:t>
      </w:r>
      <w:r w:rsidRPr="0005570D">
        <w:rPr>
          <w:rFonts w:asciiTheme="minorHAnsi" w:hAnsiTheme="minorHAnsi" w:cstheme="minorHAnsi"/>
          <w:sz w:val="22"/>
          <w:szCs w:val="22"/>
          <w:lang w:val="de-AT"/>
        </w:rPr>
        <w:t>WHO-Klassifikation von 20</w:t>
      </w:r>
      <w:r w:rsidR="00041F40">
        <w:rPr>
          <w:rFonts w:asciiTheme="minorHAnsi" w:hAnsiTheme="minorHAnsi" w:cstheme="minorHAnsi"/>
          <w:sz w:val="22"/>
          <w:szCs w:val="22"/>
          <w:lang w:val="de-AT"/>
        </w:rPr>
        <w:t>17</w:t>
      </w:r>
      <w:r w:rsidRPr="0005570D">
        <w:rPr>
          <w:rFonts w:asciiTheme="minorHAnsi" w:hAnsiTheme="minorHAnsi" w:cstheme="minorHAnsi"/>
          <w:sz w:val="22"/>
          <w:szCs w:val="22"/>
          <w:lang w:val="de-AT"/>
        </w:rPr>
        <w:t xml:space="preserve"> sind sie von unreifen T-Zell Neo</w:t>
      </w:r>
      <w:r w:rsidR="008B7E62">
        <w:rPr>
          <w:rFonts w:asciiTheme="minorHAnsi" w:hAnsiTheme="minorHAnsi" w:cstheme="minorHAnsi"/>
          <w:sz w:val="22"/>
          <w:szCs w:val="22"/>
          <w:lang w:val="de-AT"/>
        </w:rPr>
        <w:t>plasien (</w:t>
      </w:r>
      <w:r w:rsidR="008B7E62" w:rsidRPr="00B83D1C">
        <w:rPr>
          <w:rFonts w:asciiTheme="minorHAnsi" w:hAnsiTheme="minorHAnsi" w:cstheme="minorHAnsi"/>
          <w:sz w:val="22"/>
          <w:szCs w:val="22"/>
          <w:lang w:val="de-AT"/>
        </w:rPr>
        <w:t>lymphoblastisches T-Zell-Lymphom</w:t>
      </w:r>
      <w:r w:rsidRPr="00B83D1C">
        <w:rPr>
          <w:rFonts w:asciiTheme="minorHAnsi" w:hAnsiTheme="minorHAnsi" w:cstheme="minorHAnsi"/>
          <w:sz w:val="22"/>
          <w:szCs w:val="22"/>
          <w:lang w:val="de-AT"/>
        </w:rPr>
        <w:t>,</w:t>
      </w:r>
      <w:r w:rsidRPr="0005570D">
        <w:rPr>
          <w:rFonts w:asciiTheme="minorHAnsi" w:hAnsiTheme="minorHAnsi" w:cstheme="minorHAnsi"/>
          <w:sz w:val="22"/>
          <w:szCs w:val="22"/>
          <w:lang w:val="de-AT"/>
        </w:rPr>
        <w:t xml:space="preserve"> T-ALL), sowie den primär kutanen (</w:t>
      </w:r>
      <w:r w:rsidR="00A47D1F" w:rsidRPr="0005570D">
        <w:rPr>
          <w:rFonts w:asciiTheme="minorHAnsi" w:hAnsiTheme="minorHAnsi" w:cstheme="minorHAnsi"/>
          <w:sz w:val="22"/>
          <w:szCs w:val="22"/>
          <w:lang w:val="de-AT"/>
        </w:rPr>
        <w:t>Cutaneous T-Cell lymphoma = CTCL</w:t>
      </w:r>
      <w:r w:rsidRPr="0005570D">
        <w:rPr>
          <w:rFonts w:asciiTheme="minorHAnsi" w:hAnsiTheme="minorHAnsi" w:cstheme="minorHAnsi"/>
          <w:sz w:val="22"/>
          <w:szCs w:val="22"/>
          <w:lang w:val="de-AT"/>
        </w:rPr>
        <w:t>, Mycosis fungoides u.a.) und den primär leukämisch verlaufenden reifen T/NK-Zell Neoplasien (T-PLL, T-LGL) abzugrenzen</w:t>
      </w:r>
      <w:r w:rsidR="00993247" w:rsidRPr="0005570D">
        <w:rPr>
          <w:rFonts w:asciiTheme="minorHAnsi" w:hAnsiTheme="minorHAnsi" w:cstheme="minorHAnsi"/>
          <w:sz w:val="22"/>
          <w:szCs w:val="22"/>
          <w:lang w:val="de-AT"/>
        </w:rPr>
        <w:t xml:space="preserve">. </w:t>
      </w:r>
      <w:r w:rsidR="00EE7DEC" w:rsidRPr="0005570D">
        <w:rPr>
          <w:rFonts w:asciiTheme="minorHAnsi" w:hAnsiTheme="minorHAnsi" w:cstheme="minorHAnsi"/>
          <w:sz w:val="22"/>
          <w:szCs w:val="22"/>
          <w:lang w:val="de-AT"/>
        </w:rPr>
        <w:t xml:space="preserve"> </w:t>
      </w:r>
      <w:r w:rsidR="00EE58F8" w:rsidRPr="0005570D">
        <w:rPr>
          <w:rFonts w:asciiTheme="minorHAnsi" w:hAnsiTheme="minorHAnsi" w:cstheme="minorHAnsi"/>
          <w:sz w:val="22"/>
          <w:szCs w:val="22"/>
          <w:lang w:val="de-AT"/>
        </w:rPr>
        <w:t>PTCL</w:t>
      </w:r>
      <w:r w:rsidR="00EE7DEC" w:rsidRPr="0005570D">
        <w:rPr>
          <w:rFonts w:asciiTheme="minorHAnsi" w:hAnsiTheme="minorHAnsi" w:cstheme="minorHAnsi"/>
          <w:sz w:val="22"/>
          <w:szCs w:val="22"/>
          <w:lang w:val="de-AT"/>
        </w:rPr>
        <w:t xml:space="preserve"> machen</w:t>
      </w:r>
      <w:r w:rsidR="00920BFB" w:rsidRPr="0005570D">
        <w:rPr>
          <w:rFonts w:asciiTheme="minorHAnsi" w:hAnsiTheme="minorHAnsi" w:cstheme="minorHAnsi"/>
          <w:sz w:val="22"/>
          <w:szCs w:val="22"/>
          <w:lang w:val="de-AT"/>
        </w:rPr>
        <w:t xml:space="preserve"> etwa 10 % </w:t>
      </w:r>
      <w:r w:rsidR="00CF62D5" w:rsidRPr="0005570D">
        <w:rPr>
          <w:rFonts w:asciiTheme="minorHAnsi" w:hAnsiTheme="minorHAnsi" w:cstheme="minorHAnsi"/>
          <w:sz w:val="22"/>
          <w:szCs w:val="22"/>
          <w:lang w:val="de-AT"/>
        </w:rPr>
        <w:t xml:space="preserve">aller </w:t>
      </w:r>
      <w:r w:rsidR="00713C07" w:rsidRPr="0005570D">
        <w:rPr>
          <w:rFonts w:asciiTheme="minorHAnsi" w:hAnsiTheme="minorHAnsi" w:cstheme="minorHAnsi"/>
          <w:sz w:val="22"/>
          <w:szCs w:val="22"/>
          <w:lang w:val="de-AT"/>
        </w:rPr>
        <w:t>neu diagnostizierten NHL aus.</w:t>
      </w:r>
    </w:p>
    <w:p w14:paraId="11A1DE56" w14:textId="77777777" w:rsidR="00914DA9" w:rsidRPr="0005570D" w:rsidRDefault="00914DA9" w:rsidP="004501B1">
      <w:pPr>
        <w:pStyle w:val="Titel"/>
        <w:spacing w:line="276" w:lineRule="auto"/>
        <w:jc w:val="both"/>
        <w:rPr>
          <w:rFonts w:asciiTheme="minorHAnsi" w:hAnsiTheme="minorHAnsi" w:cstheme="minorHAnsi"/>
          <w:sz w:val="22"/>
          <w:szCs w:val="22"/>
          <w:lang w:val="de-AT"/>
        </w:rPr>
      </w:pPr>
    </w:p>
    <w:p w14:paraId="09DB4D35" w14:textId="77777777" w:rsidR="00A47D1F" w:rsidRPr="0005570D" w:rsidRDefault="00CC5E71" w:rsidP="004501B1">
      <w:pPr>
        <w:pStyle w:val="Titel"/>
        <w:spacing w:line="276" w:lineRule="auto"/>
        <w:jc w:val="both"/>
        <w:rPr>
          <w:rFonts w:asciiTheme="minorHAnsi" w:hAnsiTheme="minorHAnsi" w:cstheme="minorHAnsi"/>
          <w:sz w:val="22"/>
          <w:szCs w:val="22"/>
          <w:lang w:val="de-AT"/>
        </w:rPr>
      </w:pPr>
      <w:r w:rsidRPr="0005570D">
        <w:rPr>
          <w:rFonts w:asciiTheme="minorHAnsi" w:hAnsiTheme="minorHAnsi" w:cstheme="minorHAnsi"/>
          <w:sz w:val="22"/>
          <w:szCs w:val="22"/>
          <w:lang w:val="de-AT"/>
        </w:rPr>
        <w:t xml:space="preserve">Die </w:t>
      </w:r>
      <w:r w:rsidR="00A47D1F" w:rsidRPr="0005570D">
        <w:rPr>
          <w:rFonts w:asciiTheme="minorHAnsi" w:hAnsiTheme="minorHAnsi" w:cstheme="minorHAnsi"/>
          <w:sz w:val="22"/>
          <w:szCs w:val="22"/>
          <w:lang w:val="de-AT"/>
        </w:rPr>
        <w:t>Inzidenz</w:t>
      </w:r>
      <w:r w:rsidRPr="0005570D">
        <w:rPr>
          <w:rFonts w:asciiTheme="minorHAnsi" w:hAnsiTheme="minorHAnsi" w:cstheme="minorHAnsi"/>
          <w:sz w:val="22"/>
          <w:szCs w:val="22"/>
          <w:lang w:val="de-AT"/>
        </w:rPr>
        <w:t xml:space="preserve"> der einzelnen Entität</w:t>
      </w:r>
      <w:r w:rsidR="00EE58F8" w:rsidRPr="0005570D">
        <w:rPr>
          <w:rFonts w:asciiTheme="minorHAnsi" w:hAnsiTheme="minorHAnsi" w:cstheme="minorHAnsi"/>
          <w:sz w:val="22"/>
          <w:szCs w:val="22"/>
          <w:lang w:val="de-AT"/>
        </w:rPr>
        <w:t>en</w:t>
      </w:r>
      <w:r w:rsidRPr="0005570D">
        <w:rPr>
          <w:rFonts w:asciiTheme="minorHAnsi" w:hAnsiTheme="minorHAnsi" w:cstheme="minorHAnsi"/>
          <w:sz w:val="22"/>
          <w:szCs w:val="22"/>
          <w:lang w:val="de-AT"/>
        </w:rPr>
        <w:t xml:space="preserve"> ist </w:t>
      </w:r>
      <w:r w:rsidR="001073F0" w:rsidRPr="0005570D">
        <w:rPr>
          <w:rFonts w:asciiTheme="minorHAnsi" w:hAnsiTheme="minorHAnsi" w:cstheme="minorHAnsi"/>
          <w:sz w:val="22"/>
          <w:szCs w:val="22"/>
          <w:lang w:val="de-AT"/>
        </w:rPr>
        <w:t xml:space="preserve">regional </w:t>
      </w:r>
      <w:r w:rsidR="005F49C0" w:rsidRPr="0005570D">
        <w:rPr>
          <w:rFonts w:asciiTheme="minorHAnsi" w:hAnsiTheme="minorHAnsi" w:cstheme="minorHAnsi"/>
          <w:sz w:val="22"/>
          <w:szCs w:val="22"/>
          <w:lang w:val="de-AT"/>
        </w:rPr>
        <w:t>a</w:t>
      </w:r>
      <w:r w:rsidRPr="0005570D">
        <w:rPr>
          <w:rFonts w:asciiTheme="minorHAnsi" w:hAnsiTheme="minorHAnsi" w:cstheme="minorHAnsi"/>
          <w:sz w:val="22"/>
          <w:szCs w:val="22"/>
          <w:lang w:val="de-AT"/>
        </w:rPr>
        <w:t xml:space="preserve">bhängig. </w:t>
      </w:r>
      <w:r w:rsidR="00914DA9" w:rsidRPr="0005570D">
        <w:rPr>
          <w:rFonts w:asciiTheme="minorHAnsi" w:hAnsiTheme="minorHAnsi" w:cstheme="minorHAnsi"/>
          <w:sz w:val="22"/>
          <w:szCs w:val="22"/>
          <w:lang w:val="de-AT"/>
        </w:rPr>
        <w:t xml:space="preserve">In Europa </w:t>
      </w:r>
      <w:r w:rsidR="006C27A0" w:rsidRPr="0005570D">
        <w:rPr>
          <w:rFonts w:asciiTheme="minorHAnsi" w:hAnsiTheme="minorHAnsi" w:cstheme="minorHAnsi"/>
          <w:sz w:val="22"/>
          <w:szCs w:val="22"/>
          <w:lang w:val="de-AT"/>
        </w:rPr>
        <w:t xml:space="preserve">ist </w:t>
      </w:r>
      <w:r w:rsidR="00914DA9" w:rsidRPr="0005570D">
        <w:rPr>
          <w:rFonts w:asciiTheme="minorHAnsi" w:hAnsiTheme="minorHAnsi" w:cstheme="minorHAnsi"/>
          <w:sz w:val="22"/>
          <w:szCs w:val="22"/>
          <w:lang w:val="de-AT"/>
        </w:rPr>
        <w:t xml:space="preserve">das PTCL ohne weitere Spezifizierung (PTCL, NOS), das angioimmunoblastische T-Zell Lymphom (AITL), sowie die </w:t>
      </w:r>
      <w:r w:rsidR="00914B1B" w:rsidRPr="0005570D">
        <w:rPr>
          <w:rFonts w:asciiTheme="minorHAnsi" w:hAnsiTheme="minorHAnsi" w:cstheme="minorHAnsi"/>
          <w:sz w:val="22"/>
          <w:szCs w:val="22"/>
          <w:lang w:val="de-AT"/>
        </w:rPr>
        <w:t xml:space="preserve">anaplastisch </w:t>
      </w:r>
      <w:r w:rsidR="00914DA9" w:rsidRPr="0005570D">
        <w:rPr>
          <w:rFonts w:asciiTheme="minorHAnsi" w:hAnsiTheme="minorHAnsi" w:cstheme="minorHAnsi"/>
          <w:sz w:val="22"/>
          <w:szCs w:val="22"/>
          <w:lang w:val="de-AT"/>
        </w:rPr>
        <w:t>großzelligen Lymphome (ALCL) mit und ohne ALK-Expression</w:t>
      </w:r>
      <w:r w:rsidR="00914B1B" w:rsidRPr="0005570D">
        <w:rPr>
          <w:rFonts w:asciiTheme="minorHAnsi" w:hAnsiTheme="minorHAnsi" w:cstheme="minorHAnsi"/>
          <w:sz w:val="22"/>
          <w:szCs w:val="22"/>
          <w:lang w:val="de-AT"/>
        </w:rPr>
        <w:t xml:space="preserve"> (</w:t>
      </w:r>
      <w:r w:rsidR="00914DA9" w:rsidRPr="0005570D">
        <w:rPr>
          <w:rFonts w:asciiTheme="minorHAnsi" w:hAnsiTheme="minorHAnsi" w:cstheme="minorHAnsi"/>
          <w:sz w:val="22"/>
          <w:szCs w:val="22"/>
          <w:lang w:val="de-AT"/>
        </w:rPr>
        <w:t>Anaplastic lymphoma kinase)</w:t>
      </w:r>
      <w:r w:rsidR="002F7AF6" w:rsidRPr="0005570D">
        <w:rPr>
          <w:rFonts w:asciiTheme="minorHAnsi" w:hAnsiTheme="minorHAnsi" w:cstheme="minorHAnsi"/>
          <w:sz w:val="22"/>
          <w:szCs w:val="22"/>
          <w:lang w:val="de-AT"/>
        </w:rPr>
        <w:t xml:space="preserve"> </w:t>
      </w:r>
      <w:r w:rsidR="00914DA9" w:rsidRPr="0005570D">
        <w:rPr>
          <w:rFonts w:asciiTheme="minorHAnsi" w:hAnsiTheme="minorHAnsi" w:cstheme="minorHAnsi"/>
          <w:sz w:val="22"/>
          <w:szCs w:val="22"/>
          <w:lang w:val="de-AT"/>
        </w:rPr>
        <w:t>die häufigsten</w:t>
      </w:r>
      <w:r w:rsidR="006C27A0" w:rsidRPr="0005570D">
        <w:rPr>
          <w:rFonts w:asciiTheme="minorHAnsi" w:hAnsiTheme="minorHAnsi" w:cstheme="minorHAnsi"/>
          <w:sz w:val="22"/>
          <w:szCs w:val="22"/>
          <w:lang w:val="de-AT"/>
        </w:rPr>
        <w:t xml:space="preserve"> Formen</w:t>
      </w:r>
      <w:r w:rsidR="001073F0" w:rsidRPr="0005570D">
        <w:rPr>
          <w:rFonts w:asciiTheme="minorHAnsi" w:hAnsiTheme="minorHAnsi" w:cstheme="minorHAnsi"/>
          <w:sz w:val="22"/>
          <w:szCs w:val="22"/>
          <w:lang w:val="de-AT"/>
        </w:rPr>
        <w:t xml:space="preserve">.  </w:t>
      </w:r>
      <w:r w:rsidR="00914B1B" w:rsidRPr="0005570D">
        <w:rPr>
          <w:rFonts w:asciiTheme="minorHAnsi" w:hAnsiTheme="minorHAnsi" w:cstheme="minorHAnsi"/>
          <w:sz w:val="22"/>
          <w:szCs w:val="22"/>
          <w:lang w:val="de-AT"/>
        </w:rPr>
        <w:t>Die</w:t>
      </w:r>
      <w:r w:rsidR="00827B25" w:rsidRPr="0005570D">
        <w:rPr>
          <w:rFonts w:asciiTheme="minorHAnsi" w:hAnsiTheme="minorHAnsi" w:cstheme="minorHAnsi"/>
          <w:sz w:val="22"/>
          <w:szCs w:val="22"/>
          <w:lang w:val="de-AT"/>
        </w:rPr>
        <w:t xml:space="preserve"> extranodale</w:t>
      </w:r>
      <w:r w:rsidR="00914B1B" w:rsidRPr="0005570D">
        <w:rPr>
          <w:rFonts w:asciiTheme="minorHAnsi" w:hAnsiTheme="minorHAnsi" w:cstheme="minorHAnsi"/>
          <w:sz w:val="22"/>
          <w:szCs w:val="22"/>
          <w:lang w:val="de-AT"/>
        </w:rPr>
        <w:t>n</w:t>
      </w:r>
      <w:r w:rsidR="00827B25" w:rsidRPr="0005570D">
        <w:rPr>
          <w:rFonts w:asciiTheme="minorHAnsi" w:hAnsiTheme="minorHAnsi" w:cstheme="minorHAnsi"/>
          <w:sz w:val="22"/>
          <w:szCs w:val="22"/>
          <w:lang w:val="de-AT"/>
        </w:rPr>
        <w:t xml:space="preserve"> NK/T-Zell Lym</w:t>
      </w:r>
      <w:r w:rsidR="00914B1B" w:rsidRPr="0005570D">
        <w:rPr>
          <w:rFonts w:asciiTheme="minorHAnsi" w:hAnsiTheme="minorHAnsi" w:cstheme="minorHAnsi"/>
          <w:sz w:val="22"/>
          <w:szCs w:val="22"/>
          <w:lang w:val="de-AT"/>
        </w:rPr>
        <w:t xml:space="preserve">phome </w:t>
      </w:r>
      <w:r w:rsidR="00A47D1F" w:rsidRPr="0005570D">
        <w:rPr>
          <w:rFonts w:asciiTheme="minorHAnsi" w:hAnsiTheme="minorHAnsi" w:cstheme="minorHAnsi"/>
          <w:sz w:val="22"/>
          <w:szCs w:val="22"/>
          <w:lang w:val="de-AT"/>
        </w:rPr>
        <w:t xml:space="preserve">hingegen </w:t>
      </w:r>
      <w:r w:rsidR="00914B1B" w:rsidRPr="0005570D">
        <w:rPr>
          <w:rFonts w:asciiTheme="minorHAnsi" w:hAnsiTheme="minorHAnsi" w:cstheme="minorHAnsi"/>
          <w:sz w:val="22"/>
          <w:szCs w:val="22"/>
          <w:lang w:val="de-AT"/>
        </w:rPr>
        <w:t>kommen</w:t>
      </w:r>
      <w:r w:rsidR="00A47D1F" w:rsidRPr="0005570D">
        <w:rPr>
          <w:rFonts w:asciiTheme="minorHAnsi" w:hAnsiTheme="minorHAnsi" w:cstheme="minorHAnsi"/>
          <w:sz w:val="22"/>
          <w:szCs w:val="22"/>
          <w:lang w:val="de-AT"/>
        </w:rPr>
        <w:t xml:space="preserve"> im asiatischen Raum gehäuft vor.</w:t>
      </w:r>
    </w:p>
    <w:p w14:paraId="3D2D9410" w14:textId="77777777" w:rsidR="00914DA9" w:rsidRPr="0005570D" w:rsidRDefault="00914DA9" w:rsidP="004501B1">
      <w:pPr>
        <w:pStyle w:val="Titel"/>
        <w:spacing w:line="276" w:lineRule="auto"/>
        <w:jc w:val="both"/>
        <w:rPr>
          <w:rFonts w:asciiTheme="minorHAnsi" w:hAnsiTheme="minorHAnsi" w:cstheme="minorHAnsi"/>
          <w:sz w:val="22"/>
          <w:szCs w:val="22"/>
          <w:lang w:val="de-AT"/>
        </w:rPr>
      </w:pPr>
    </w:p>
    <w:p w14:paraId="1896114B" w14:textId="77777777" w:rsidR="00517BAE" w:rsidRPr="0005570D" w:rsidRDefault="00D32165" w:rsidP="004501B1">
      <w:pPr>
        <w:pStyle w:val="Titel"/>
        <w:spacing w:line="276" w:lineRule="auto"/>
        <w:jc w:val="both"/>
        <w:rPr>
          <w:rFonts w:asciiTheme="minorHAnsi" w:hAnsiTheme="minorHAnsi" w:cstheme="minorHAnsi"/>
          <w:sz w:val="22"/>
          <w:szCs w:val="22"/>
          <w:lang w:val="de-AT"/>
        </w:rPr>
      </w:pPr>
      <w:r w:rsidRPr="0005570D">
        <w:rPr>
          <w:rFonts w:asciiTheme="minorHAnsi" w:hAnsiTheme="minorHAnsi" w:cstheme="minorHAnsi"/>
          <w:sz w:val="22"/>
          <w:szCs w:val="22"/>
          <w:lang w:val="de-AT"/>
        </w:rPr>
        <w:t>Zur sicheren Diagnosestellung ist die Beurt</w:t>
      </w:r>
      <w:r w:rsidR="00914B1B" w:rsidRPr="0005570D">
        <w:rPr>
          <w:rFonts w:asciiTheme="minorHAnsi" w:hAnsiTheme="minorHAnsi" w:cstheme="minorHAnsi"/>
          <w:sz w:val="22"/>
          <w:szCs w:val="22"/>
          <w:lang w:val="de-AT"/>
        </w:rPr>
        <w:t>eilung eines histologischen</w:t>
      </w:r>
      <w:r w:rsidR="00B80ADF" w:rsidRPr="0005570D">
        <w:rPr>
          <w:rFonts w:asciiTheme="minorHAnsi" w:hAnsiTheme="minorHAnsi" w:cstheme="minorHAnsi"/>
          <w:sz w:val="22"/>
          <w:szCs w:val="22"/>
          <w:lang w:val="de-AT"/>
        </w:rPr>
        <w:t xml:space="preserve"> Präparates (</w:t>
      </w:r>
      <w:r w:rsidR="00914B1B" w:rsidRPr="0005570D">
        <w:rPr>
          <w:rFonts w:asciiTheme="minorHAnsi" w:hAnsiTheme="minorHAnsi" w:cstheme="minorHAnsi"/>
          <w:sz w:val="22"/>
          <w:szCs w:val="22"/>
          <w:lang w:val="de-AT"/>
        </w:rPr>
        <w:t>Lymphknoten</w:t>
      </w:r>
      <w:r w:rsidRPr="0005570D">
        <w:rPr>
          <w:rFonts w:asciiTheme="minorHAnsi" w:hAnsiTheme="minorHAnsi" w:cstheme="minorHAnsi"/>
          <w:sz w:val="22"/>
          <w:szCs w:val="22"/>
          <w:lang w:val="de-AT"/>
        </w:rPr>
        <w:t>-Exstirpation</w:t>
      </w:r>
      <w:r w:rsidR="00517BAE" w:rsidRPr="0005570D">
        <w:rPr>
          <w:rFonts w:asciiTheme="minorHAnsi" w:hAnsiTheme="minorHAnsi" w:cstheme="minorHAnsi"/>
          <w:sz w:val="22"/>
          <w:szCs w:val="22"/>
          <w:lang w:val="de-AT"/>
        </w:rPr>
        <w:t>)</w:t>
      </w:r>
      <w:r w:rsidR="00EE58F8" w:rsidRPr="0005570D">
        <w:rPr>
          <w:rFonts w:asciiTheme="minorHAnsi" w:hAnsiTheme="minorHAnsi" w:cstheme="minorHAnsi"/>
          <w:sz w:val="22"/>
          <w:szCs w:val="22"/>
          <w:lang w:val="de-AT"/>
        </w:rPr>
        <w:t xml:space="preserve"> </w:t>
      </w:r>
      <w:r w:rsidR="005F2AEF" w:rsidRPr="0005570D">
        <w:rPr>
          <w:rFonts w:asciiTheme="minorHAnsi" w:hAnsiTheme="minorHAnsi" w:cstheme="minorHAnsi"/>
          <w:sz w:val="22"/>
          <w:szCs w:val="22"/>
          <w:lang w:val="de-AT"/>
        </w:rPr>
        <w:t>notwendig. E</w:t>
      </w:r>
      <w:r w:rsidRPr="0005570D">
        <w:rPr>
          <w:rFonts w:asciiTheme="minorHAnsi" w:hAnsiTheme="minorHAnsi" w:cstheme="minorHAnsi"/>
          <w:sz w:val="22"/>
          <w:szCs w:val="22"/>
          <w:lang w:val="de-AT"/>
        </w:rPr>
        <w:t>ine Feinnadela</w:t>
      </w:r>
      <w:r w:rsidR="00EE58F8" w:rsidRPr="0005570D">
        <w:rPr>
          <w:rFonts w:asciiTheme="minorHAnsi" w:hAnsiTheme="minorHAnsi" w:cstheme="minorHAnsi"/>
          <w:sz w:val="22"/>
          <w:szCs w:val="22"/>
          <w:lang w:val="de-AT"/>
        </w:rPr>
        <w:t>spiration</w:t>
      </w:r>
      <w:r w:rsidR="005F2AEF" w:rsidRPr="0005570D">
        <w:rPr>
          <w:rFonts w:asciiTheme="minorHAnsi" w:hAnsiTheme="minorHAnsi" w:cstheme="minorHAnsi"/>
          <w:sz w:val="22"/>
          <w:szCs w:val="22"/>
          <w:lang w:val="de-AT"/>
        </w:rPr>
        <w:t xml:space="preserve"> oder Stanzbiopsie</w:t>
      </w:r>
      <w:r w:rsidR="00EE58F8" w:rsidRPr="0005570D">
        <w:rPr>
          <w:rFonts w:asciiTheme="minorHAnsi" w:hAnsiTheme="minorHAnsi" w:cstheme="minorHAnsi"/>
          <w:sz w:val="22"/>
          <w:szCs w:val="22"/>
          <w:lang w:val="de-AT"/>
        </w:rPr>
        <w:t xml:space="preserve"> ist nicht ausreichend</w:t>
      </w:r>
      <w:r w:rsidR="005F2AEF" w:rsidRPr="0005570D">
        <w:rPr>
          <w:rFonts w:asciiTheme="minorHAnsi" w:hAnsiTheme="minorHAnsi" w:cstheme="minorHAnsi"/>
          <w:sz w:val="22"/>
          <w:szCs w:val="22"/>
          <w:lang w:val="de-AT"/>
        </w:rPr>
        <w:t xml:space="preserve"> um eine sichere Subklassifizierung vorzunehmen</w:t>
      </w:r>
      <w:r w:rsidR="000035FC" w:rsidRPr="0005570D">
        <w:rPr>
          <w:rFonts w:asciiTheme="minorHAnsi" w:hAnsiTheme="minorHAnsi" w:cstheme="minorHAnsi"/>
          <w:sz w:val="22"/>
          <w:szCs w:val="22"/>
          <w:lang w:val="de-AT"/>
        </w:rPr>
        <w:t xml:space="preserve">. </w:t>
      </w:r>
      <w:r w:rsidR="005F2AEF" w:rsidRPr="0005570D">
        <w:rPr>
          <w:rFonts w:asciiTheme="minorHAnsi" w:hAnsiTheme="minorHAnsi" w:cstheme="minorHAnsi"/>
          <w:sz w:val="22"/>
          <w:szCs w:val="22"/>
          <w:lang w:val="de-AT"/>
        </w:rPr>
        <w:t>Nicht selten lässt sich die Diagnose nur aus Zusammenschau von Zytomorphologie, Immunhistochemie und</w:t>
      </w:r>
      <w:r w:rsidR="00AF24DA" w:rsidRPr="0005570D">
        <w:rPr>
          <w:rFonts w:asciiTheme="minorHAnsi" w:hAnsiTheme="minorHAnsi" w:cstheme="minorHAnsi"/>
          <w:sz w:val="22"/>
          <w:szCs w:val="22"/>
          <w:lang w:val="de-AT"/>
        </w:rPr>
        <w:t xml:space="preserve"> Klonalitätsnachweis </w:t>
      </w:r>
      <w:r w:rsidR="005F2AEF" w:rsidRPr="0005570D">
        <w:rPr>
          <w:rFonts w:asciiTheme="minorHAnsi" w:hAnsiTheme="minorHAnsi" w:cstheme="minorHAnsi"/>
          <w:sz w:val="22"/>
          <w:szCs w:val="22"/>
          <w:lang w:val="de-AT"/>
        </w:rPr>
        <w:t>(</w:t>
      </w:r>
      <w:r w:rsidR="00AF24DA" w:rsidRPr="0005570D">
        <w:rPr>
          <w:rFonts w:asciiTheme="minorHAnsi" w:hAnsiTheme="minorHAnsi" w:cstheme="minorHAnsi"/>
          <w:sz w:val="22"/>
          <w:szCs w:val="22"/>
          <w:lang w:val="de-AT"/>
        </w:rPr>
        <w:t>T-</w:t>
      </w:r>
      <w:r w:rsidR="005F2AEF" w:rsidRPr="0005570D">
        <w:rPr>
          <w:rFonts w:asciiTheme="minorHAnsi" w:hAnsiTheme="minorHAnsi" w:cstheme="minorHAnsi"/>
          <w:sz w:val="22"/>
          <w:szCs w:val="22"/>
          <w:lang w:val="de-AT"/>
        </w:rPr>
        <w:t xml:space="preserve">Zellrezeptor-Gen-Rearrangement, </w:t>
      </w:r>
      <w:r w:rsidR="00AF24DA" w:rsidRPr="0005570D">
        <w:rPr>
          <w:rFonts w:asciiTheme="minorHAnsi" w:hAnsiTheme="minorHAnsi" w:cstheme="minorHAnsi"/>
          <w:sz w:val="22"/>
          <w:szCs w:val="22"/>
          <w:lang w:val="de-AT"/>
        </w:rPr>
        <w:t xml:space="preserve">TCR) </w:t>
      </w:r>
      <w:r w:rsidR="005F2AEF" w:rsidRPr="0005570D">
        <w:rPr>
          <w:rFonts w:asciiTheme="minorHAnsi" w:hAnsiTheme="minorHAnsi" w:cstheme="minorHAnsi"/>
          <w:sz w:val="22"/>
          <w:szCs w:val="22"/>
          <w:lang w:val="de-AT"/>
        </w:rPr>
        <w:t>stellen.</w:t>
      </w:r>
    </w:p>
    <w:p w14:paraId="502217CD" w14:textId="77777777" w:rsidR="009E64A7" w:rsidRDefault="009E64A7" w:rsidP="007374FB">
      <w:pPr>
        <w:pStyle w:val="Textkrper-Einzug2"/>
        <w:spacing w:after="0" w:line="276" w:lineRule="auto"/>
        <w:ind w:left="0"/>
        <w:jc w:val="left"/>
        <w:rPr>
          <w:rFonts w:asciiTheme="minorHAnsi" w:hAnsiTheme="minorHAnsi" w:cstheme="minorHAnsi"/>
          <w:szCs w:val="22"/>
        </w:rPr>
      </w:pPr>
    </w:p>
    <w:p w14:paraId="46F7FE18" w14:textId="77777777" w:rsidR="003609C9" w:rsidRPr="00CE0093" w:rsidRDefault="003609C9" w:rsidP="007374FB">
      <w:pPr>
        <w:pStyle w:val="Textkrper-Einzug2"/>
        <w:spacing w:after="0" w:line="276" w:lineRule="auto"/>
        <w:ind w:left="0"/>
        <w:jc w:val="left"/>
        <w:rPr>
          <w:rFonts w:asciiTheme="minorHAnsi" w:hAnsiTheme="minorHAnsi" w:cstheme="minorHAnsi"/>
          <w:szCs w:val="22"/>
        </w:rPr>
      </w:pPr>
    </w:p>
    <w:p w14:paraId="32DBCAC4" w14:textId="77777777" w:rsidR="006D4DAC" w:rsidRPr="00E344D4" w:rsidRDefault="00913D1D" w:rsidP="007374FB">
      <w:pPr>
        <w:pStyle w:val="berschrift1"/>
      </w:pPr>
      <w:bookmarkStart w:id="5" w:name="_Toc61379680"/>
      <w:r>
        <w:t>2</w:t>
      </w:r>
      <w:r>
        <w:tab/>
      </w:r>
      <w:r w:rsidR="0049768A">
        <w:t>Diagnostik und Scoring</w:t>
      </w:r>
      <w:bookmarkEnd w:id="5"/>
    </w:p>
    <w:p w14:paraId="34FE9832" w14:textId="77777777" w:rsidR="00CE0093" w:rsidRDefault="006F5B21" w:rsidP="007374FB">
      <w:pPr>
        <w:pStyle w:val="berschrift2"/>
        <w:jc w:val="left"/>
      </w:pPr>
      <w:bookmarkStart w:id="6" w:name="_Toc353200739"/>
      <w:bookmarkStart w:id="7" w:name="_Toc61379681"/>
      <w:r>
        <w:t>2.1</w:t>
      </w:r>
      <w:r>
        <w:tab/>
      </w:r>
      <w:r w:rsidR="00CE0093">
        <w:t>Diagnostik</w:t>
      </w:r>
      <w:bookmarkEnd w:id="6"/>
      <w:bookmarkEnd w:id="7"/>
    </w:p>
    <w:p w14:paraId="26218B96" w14:textId="77777777" w:rsidR="00E92FF6" w:rsidRPr="009D185C" w:rsidRDefault="00E92FF6" w:rsidP="004501B1">
      <w:pPr>
        <w:pStyle w:val="Textkrper-Einzug2"/>
        <w:numPr>
          <w:ilvl w:val="0"/>
          <w:numId w:val="3"/>
        </w:numPr>
        <w:spacing w:after="0" w:line="276" w:lineRule="auto"/>
        <w:ind w:left="426" w:hanging="426"/>
        <w:jc w:val="both"/>
        <w:rPr>
          <w:rFonts w:asciiTheme="minorHAnsi" w:hAnsiTheme="minorHAnsi" w:cstheme="minorHAnsi"/>
          <w:color w:val="000000" w:themeColor="text1"/>
          <w:szCs w:val="22"/>
        </w:rPr>
      </w:pPr>
      <w:r w:rsidRPr="006F0A22">
        <w:rPr>
          <w:rFonts w:asciiTheme="minorHAnsi" w:hAnsiTheme="minorHAnsi" w:cstheme="minorHAnsi"/>
          <w:szCs w:val="22"/>
        </w:rPr>
        <w:t>Anamnese, u.a. B-Symptomatik, Risiko bzgl. NHL wie Immunsuppression, Familienanamnese</w:t>
      </w:r>
      <w:r w:rsidR="003909D5">
        <w:rPr>
          <w:rFonts w:asciiTheme="minorHAnsi" w:hAnsiTheme="minorHAnsi" w:cstheme="minorHAnsi"/>
          <w:szCs w:val="22"/>
        </w:rPr>
        <w:t xml:space="preserve"> </w:t>
      </w:r>
      <w:r w:rsidR="003909D5" w:rsidRPr="009D185C">
        <w:rPr>
          <w:rFonts w:asciiTheme="minorHAnsi" w:hAnsiTheme="minorHAnsi" w:cstheme="minorHAnsi"/>
          <w:color w:val="000000" w:themeColor="text1"/>
          <w:szCs w:val="22"/>
        </w:rPr>
        <w:t>insbesonder</w:t>
      </w:r>
      <w:r w:rsidR="00556FC4" w:rsidRPr="009D185C">
        <w:rPr>
          <w:rFonts w:asciiTheme="minorHAnsi" w:hAnsiTheme="minorHAnsi" w:cstheme="minorHAnsi"/>
          <w:color w:val="000000" w:themeColor="text1"/>
          <w:szCs w:val="22"/>
        </w:rPr>
        <w:t>e</w:t>
      </w:r>
      <w:r w:rsidR="003909D5" w:rsidRPr="009D185C">
        <w:rPr>
          <w:rFonts w:asciiTheme="minorHAnsi" w:hAnsiTheme="minorHAnsi" w:cstheme="minorHAnsi"/>
          <w:color w:val="000000" w:themeColor="text1"/>
          <w:szCs w:val="22"/>
        </w:rPr>
        <w:t xml:space="preserve"> bzgl Krebserkrankungen</w:t>
      </w:r>
    </w:p>
    <w:p w14:paraId="6FF4AFAA" w14:textId="77777777" w:rsidR="00CE0093" w:rsidRPr="009D185C" w:rsidRDefault="00CE0093" w:rsidP="004501B1">
      <w:pPr>
        <w:pStyle w:val="Textkrper-Einzug2"/>
        <w:numPr>
          <w:ilvl w:val="0"/>
          <w:numId w:val="3"/>
        </w:numPr>
        <w:spacing w:after="0" w:line="276" w:lineRule="auto"/>
        <w:ind w:left="426" w:hanging="426"/>
        <w:jc w:val="both"/>
        <w:rPr>
          <w:rFonts w:asciiTheme="minorHAnsi" w:hAnsiTheme="minorHAnsi" w:cstheme="minorHAnsi"/>
          <w:color w:val="000000" w:themeColor="text1"/>
          <w:szCs w:val="22"/>
        </w:rPr>
      </w:pPr>
      <w:r w:rsidRPr="009D185C">
        <w:rPr>
          <w:rFonts w:asciiTheme="minorHAnsi" w:hAnsiTheme="minorHAnsi" w:cstheme="minorHAnsi"/>
          <w:color w:val="000000" w:themeColor="text1"/>
          <w:szCs w:val="22"/>
        </w:rPr>
        <w:t>Klinischer Status, ECOG</w:t>
      </w:r>
    </w:p>
    <w:p w14:paraId="1903F31D" w14:textId="77777777" w:rsidR="007E6916" w:rsidRPr="009D185C" w:rsidRDefault="00AF4529" w:rsidP="004501B1">
      <w:pPr>
        <w:pStyle w:val="Textkrper-Einzug2"/>
        <w:numPr>
          <w:ilvl w:val="0"/>
          <w:numId w:val="3"/>
        </w:numPr>
        <w:spacing w:after="0" w:line="276" w:lineRule="auto"/>
        <w:ind w:left="426" w:hanging="426"/>
        <w:jc w:val="both"/>
        <w:rPr>
          <w:rFonts w:asciiTheme="minorHAnsi" w:hAnsiTheme="minorHAnsi" w:cstheme="minorHAnsi"/>
          <w:color w:val="000000" w:themeColor="text1"/>
          <w:szCs w:val="22"/>
        </w:rPr>
      </w:pPr>
      <w:r w:rsidRPr="009D185C">
        <w:rPr>
          <w:rFonts w:asciiTheme="minorHAnsi" w:hAnsiTheme="minorHAnsi" w:cstheme="minorHAnsi"/>
          <w:color w:val="000000" w:themeColor="text1"/>
          <w:szCs w:val="22"/>
        </w:rPr>
        <w:t>Histologie: Lymphknotenexstirpation</w:t>
      </w:r>
      <w:r w:rsidR="00E31013" w:rsidRPr="009D185C">
        <w:rPr>
          <w:rFonts w:asciiTheme="minorHAnsi" w:hAnsiTheme="minorHAnsi" w:cstheme="minorHAnsi"/>
          <w:color w:val="000000" w:themeColor="text1"/>
          <w:szCs w:val="22"/>
        </w:rPr>
        <w:t xml:space="preserve"> (Stanzbiopsie nur, wenn </w:t>
      </w:r>
      <w:r w:rsidR="00D51210" w:rsidRPr="009D185C">
        <w:rPr>
          <w:rFonts w:asciiTheme="minorHAnsi" w:hAnsiTheme="minorHAnsi" w:cstheme="minorHAnsi"/>
          <w:color w:val="000000" w:themeColor="text1"/>
          <w:szCs w:val="22"/>
        </w:rPr>
        <w:t>Gewebegewinnung nicht anders möglich; Feinnadelaspiration</w:t>
      </w:r>
      <w:r w:rsidR="00E31013" w:rsidRPr="009D185C">
        <w:rPr>
          <w:rFonts w:asciiTheme="minorHAnsi" w:hAnsiTheme="minorHAnsi" w:cstheme="minorHAnsi"/>
          <w:color w:val="000000" w:themeColor="text1"/>
          <w:szCs w:val="22"/>
        </w:rPr>
        <w:t xml:space="preserve"> nur zur Sicherung eines Rezidivs)</w:t>
      </w:r>
      <w:r w:rsidRPr="009D185C">
        <w:rPr>
          <w:rFonts w:asciiTheme="minorHAnsi" w:hAnsiTheme="minorHAnsi" w:cstheme="minorHAnsi"/>
          <w:color w:val="000000" w:themeColor="text1"/>
          <w:szCs w:val="22"/>
        </w:rPr>
        <w:t xml:space="preserve"> </w:t>
      </w:r>
      <w:r w:rsidR="007E6916" w:rsidRPr="009D185C">
        <w:rPr>
          <w:rFonts w:asciiTheme="minorHAnsi" w:hAnsiTheme="minorHAnsi" w:cstheme="minorHAnsi"/>
          <w:color w:val="000000" w:themeColor="text1"/>
          <w:szCs w:val="22"/>
        </w:rPr>
        <w:t>oder Hautbiopsie je nach Klinik bzw. Befall</w:t>
      </w:r>
    </w:p>
    <w:p w14:paraId="479257CE" w14:textId="77777777" w:rsidR="00E31013" w:rsidRPr="009D185C" w:rsidRDefault="00CE0093" w:rsidP="004501B1">
      <w:pPr>
        <w:pStyle w:val="Textkrper-Einzug2"/>
        <w:numPr>
          <w:ilvl w:val="0"/>
          <w:numId w:val="3"/>
        </w:numPr>
        <w:spacing w:after="0" w:line="276" w:lineRule="auto"/>
        <w:ind w:left="426" w:hanging="426"/>
        <w:jc w:val="both"/>
        <w:rPr>
          <w:rFonts w:asciiTheme="minorHAnsi" w:hAnsiTheme="minorHAnsi" w:cstheme="minorHAnsi"/>
          <w:color w:val="000000" w:themeColor="text1"/>
          <w:szCs w:val="22"/>
        </w:rPr>
      </w:pPr>
      <w:r w:rsidRPr="009D185C">
        <w:rPr>
          <w:rFonts w:asciiTheme="minorHAnsi" w:hAnsiTheme="minorHAnsi" w:cstheme="minorHAnsi"/>
          <w:color w:val="000000" w:themeColor="text1"/>
          <w:szCs w:val="22"/>
        </w:rPr>
        <w:t>Labor (BB + Diff., LDH</w:t>
      </w:r>
      <w:r w:rsidR="00D51210" w:rsidRPr="009D185C">
        <w:rPr>
          <w:rFonts w:asciiTheme="minorHAnsi" w:hAnsiTheme="minorHAnsi" w:cstheme="minorHAnsi"/>
          <w:color w:val="000000" w:themeColor="text1"/>
          <w:szCs w:val="22"/>
        </w:rPr>
        <w:t>, Harnsäure, ß2-Mikrogobulin, Eiweißelektrop</w:t>
      </w:r>
      <w:r w:rsidRPr="009D185C">
        <w:rPr>
          <w:rFonts w:asciiTheme="minorHAnsi" w:hAnsiTheme="minorHAnsi" w:cstheme="minorHAnsi"/>
          <w:color w:val="000000" w:themeColor="text1"/>
          <w:szCs w:val="22"/>
        </w:rPr>
        <w:t>herese</w:t>
      </w:r>
      <w:r w:rsidR="00D87E7D" w:rsidRPr="009D185C">
        <w:rPr>
          <w:rFonts w:asciiTheme="minorHAnsi" w:hAnsiTheme="minorHAnsi" w:cstheme="minorHAnsi"/>
          <w:color w:val="000000" w:themeColor="text1"/>
          <w:szCs w:val="22"/>
        </w:rPr>
        <w:t>, Immunglobuline quantitativ</w:t>
      </w:r>
      <w:r w:rsidRPr="009D185C">
        <w:rPr>
          <w:rFonts w:asciiTheme="minorHAnsi" w:hAnsiTheme="minorHAnsi" w:cstheme="minorHAnsi"/>
          <w:color w:val="000000" w:themeColor="text1"/>
          <w:szCs w:val="22"/>
        </w:rPr>
        <w:t>)</w:t>
      </w:r>
      <w:r w:rsidR="00E92FF6" w:rsidRPr="009D185C">
        <w:rPr>
          <w:rFonts w:asciiTheme="minorHAnsi" w:hAnsiTheme="minorHAnsi" w:cstheme="minorHAnsi"/>
          <w:color w:val="000000" w:themeColor="text1"/>
          <w:szCs w:val="22"/>
        </w:rPr>
        <w:t>, Schwangerschaftstest (ß-HCG im Blut)</w:t>
      </w:r>
      <w:r w:rsidR="00656F2C" w:rsidRPr="009D185C">
        <w:rPr>
          <w:rFonts w:asciiTheme="minorHAnsi" w:hAnsiTheme="minorHAnsi" w:cstheme="minorHAnsi"/>
          <w:color w:val="000000" w:themeColor="text1"/>
          <w:szCs w:val="22"/>
        </w:rPr>
        <w:t>, TSH</w:t>
      </w:r>
      <w:r w:rsidR="00D51210" w:rsidRPr="009D185C">
        <w:rPr>
          <w:rFonts w:asciiTheme="minorHAnsi" w:hAnsiTheme="minorHAnsi" w:cstheme="minorHAnsi"/>
          <w:color w:val="000000" w:themeColor="text1"/>
          <w:szCs w:val="22"/>
        </w:rPr>
        <w:t>, proBNP (bei</w:t>
      </w:r>
      <w:r w:rsidR="00391BC8" w:rsidRPr="009D185C">
        <w:rPr>
          <w:rFonts w:asciiTheme="minorHAnsi" w:hAnsiTheme="minorHAnsi" w:cstheme="minorHAnsi"/>
          <w:color w:val="000000" w:themeColor="text1"/>
          <w:szCs w:val="22"/>
        </w:rPr>
        <w:t xml:space="preserve"> Anthrazyklin</w:t>
      </w:r>
      <w:r w:rsidR="006B33FB" w:rsidRPr="009D185C">
        <w:rPr>
          <w:rFonts w:asciiTheme="minorHAnsi" w:hAnsiTheme="minorHAnsi" w:cstheme="minorHAnsi"/>
          <w:color w:val="000000" w:themeColor="text1"/>
          <w:szCs w:val="22"/>
        </w:rPr>
        <w:t>therapie</w:t>
      </w:r>
      <w:r w:rsidR="00391BC8" w:rsidRPr="009D185C">
        <w:rPr>
          <w:rFonts w:asciiTheme="minorHAnsi" w:hAnsiTheme="minorHAnsi" w:cstheme="minorHAnsi"/>
          <w:color w:val="000000" w:themeColor="text1"/>
          <w:szCs w:val="22"/>
        </w:rPr>
        <w:t>)</w:t>
      </w:r>
    </w:p>
    <w:p w14:paraId="543F637C" w14:textId="77777777" w:rsidR="00F546F0" w:rsidRPr="009D185C" w:rsidRDefault="00E31013" w:rsidP="00F546F0">
      <w:pPr>
        <w:pStyle w:val="Textkrper-Einzug2"/>
        <w:numPr>
          <w:ilvl w:val="0"/>
          <w:numId w:val="3"/>
        </w:numPr>
        <w:spacing w:after="0" w:line="276" w:lineRule="auto"/>
        <w:ind w:left="426" w:hanging="426"/>
        <w:jc w:val="both"/>
        <w:rPr>
          <w:rFonts w:asciiTheme="minorHAnsi" w:hAnsiTheme="minorHAnsi" w:cstheme="minorHAnsi"/>
          <w:color w:val="000000" w:themeColor="text1"/>
          <w:szCs w:val="22"/>
        </w:rPr>
      </w:pPr>
      <w:r w:rsidRPr="009D185C">
        <w:rPr>
          <w:rFonts w:asciiTheme="minorHAnsi" w:hAnsiTheme="minorHAnsi" w:cstheme="minorHAnsi"/>
          <w:color w:val="000000" w:themeColor="text1"/>
          <w:szCs w:val="22"/>
        </w:rPr>
        <w:t>HIV- und Hepatitis-Serologie (inkl. HBs Ag: Impfung falls Hepatitis B naiv)</w:t>
      </w:r>
    </w:p>
    <w:p w14:paraId="1ED86A3C" w14:textId="77777777" w:rsidR="003909D5" w:rsidRPr="009D185C" w:rsidRDefault="00F546F0" w:rsidP="003909D5">
      <w:pPr>
        <w:pStyle w:val="Textkrper-Einzug2"/>
        <w:numPr>
          <w:ilvl w:val="0"/>
          <w:numId w:val="3"/>
        </w:numPr>
        <w:spacing w:after="0" w:line="276" w:lineRule="auto"/>
        <w:ind w:left="426" w:hanging="426"/>
        <w:jc w:val="both"/>
        <w:rPr>
          <w:rFonts w:asciiTheme="minorHAnsi" w:hAnsiTheme="minorHAnsi" w:cstheme="minorHAnsi"/>
          <w:color w:val="000000" w:themeColor="text1"/>
          <w:szCs w:val="22"/>
        </w:rPr>
      </w:pPr>
      <w:r w:rsidRPr="009D185C">
        <w:rPr>
          <w:rFonts w:asciiTheme="minorHAnsi" w:hAnsiTheme="minorHAnsi" w:cstheme="minorHAnsi"/>
          <w:color w:val="000000" w:themeColor="text1"/>
          <w:szCs w:val="22"/>
        </w:rPr>
        <w:t>Anamnese/Information bzgl. Influenza- und Covid-19 Impfung und Nutzen einer Umgebungsimpfung (Influenza, Covid-19)</w:t>
      </w:r>
    </w:p>
    <w:p w14:paraId="6F703FA2" w14:textId="77777777" w:rsidR="002969E4" w:rsidRPr="009D185C" w:rsidRDefault="002969E4" w:rsidP="003909D5">
      <w:pPr>
        <w:pStyle w:val="Textkrper-Einzug2"/>
        <w:numPr>
          <w:ilvl w:val="0"/>
          <w:numId w:val="3"/>
        </w:numPr>
        <w:spacing w:after="0" w:line="276" w:lineRule="auto"/>
        <w:ind w:left="426" w:hanging="426"/>
        <w:jc w:val="both"/>
        <w:rPr>
          <w:rFonts w:asciiTheme="minorHAnsi" w:hAnsiTheme="minorHAnsi" w:cstheme="minorHAnsi"/>
          <w:color w:val="000000" w:themeColor="text1"/>
          <w:szCs w:val="22"/>
        </w:rPr>
      </w:pPr>
      <w:r w:rsidRPr="009D185C">
        <w:rPr>
          <w:rFonts w:asciiTheme="minorHAnsi" w:hAnsiTheme="minorHAnsi" w:cstheme="minorHAnsi"/>
          <w:color w:val="000000" w:themeColor="text1"/>
          <w:szCs w:val="22"/>
        </w:rPr>
        <w:t>EBV-PCR</w:t>
      </w:r>
    </w:p>
    <w:p w14:paraId="404620C3" w14:textId="77777777" w:rsidR="007B6E14" w:rsidRPr="006F0A22" w:rsidRDefault="00CE0093" w:rsidP="004501B1">
      <w:pPr>
        <w:pStyle w:val="Textkrper-Einzug2"/>
        <w:numPr>
          <w:ilvl w:val="0"/>
          <w:numId w:val="3"/>
        </w:numPr>
        <w:spacing w:after="0" w:line="276" w:lineRule="auto"/>
        <w:ind w:left="426" w:hanging="426"/>
        <w:jc w:val="both"/>
        <w:rPr>
          <w:rFonts w:asciiTheme="minorHAnsi" w:hAnsiTheme="minorHAnsi" w:cstheme="minorHAnsi"/>
          <w:szCs w:val="22"/>
        </w:rPr>
      </w:pPr>
      <w:r w:rsidRPr="006F0A22">
        <w:rPr>
          <w:rFonts w:asciiTheme="minorHAnsi" w:hAnsiTheme="minorHAnsi" w:cstheme="minorHAnsi"/>
          <w:szCs w:val="22"/>
        </w:rPr>
        <w:t>EKG, Echokardiographie</w:t>
      </w:r>
    </w:p>
    <w:p w14:paraId="5D63BCDE" w14:textId="77777777" w:rsidR="000755F0" w:rsidRPr="005F5829" w:rsidRDefault="00915069" w:rsidP="004501B1">
      <w:pPr>
        <w:pStyle w:val="Textkrper-Einzug2"/>
        <w:spacing w:after="0" w:line="276" w:lineRule="auto"/>
        <w:ind w:left="426"/>
        <w:jc w:val="both"/>
        <w:rPr>
          <w:rFonts w:asciiTheme="minorHAnsi" w:hAnsiTheme="minorHAnsi" w:cstheme="minorHAnsi"/>
          <w:szCs w:val="22"/>
        </w:rPr>
      </w:pPr>
      <w:r w:rsidRPr="006F0A22">
        <w:rPr>
          <w:rFonts w:asciiTheme="minorHAnsi" w:hAnsiTheme="minorHAnsi" w:cstheme="minorHAnsi"/>
          <w:szCs w:val="22"/>
        </w:rPr>
        <w:t>PET-CT (</w:t>
      </w:r>
      <w:r w:rsidR="00827B25" w:rsidRPr="006F0A22">
        <w:rPr>
          <w:rFonts w:asciiTheme="minorHAnsi" w:hAnsiTheme="minorHAnsi" w:cstheme="minorHAnsi"/>
          <w:szCs w:val="22"/>
        </w:rPr>
        <w:t>mit</w:t>
      </w:r>
      <w:r w:rsidRPr="006F0A22">
        <w:rPr>
          <w:rFonts w:asciiTheme="minorHAnsi" w:hAnsiTheme="minorHAnsi" w:cstheme="minorHAnsi"/>
          <w:szCs w:val="22"/>
        </w:rPr>
        <w:t xml:space="preserve"> </w:t>
      </w:r>
      <w:r w:rsidRPr="007374FB">
        <w:rPr>
          <w:rFonts w:asciiTheme="minorHAnsi" w:hAnsiTheme="minorHAnsi" w:cstheme="minorHAnsi"/>
          <w:szCs w:val="22"/>
          <w:u w:val="single"/>
        </w:rPr>
        <w:t>diagnostische</w:t>
      </w:r>
      <w:r w:rsidR="00827B25" w:rsidRPr="007374FB">
        <w:rPr>
          <w:rFonts w:asciiTheme="minorHAnsi" w:hAnsiTheme="minorHAnsi" w:cstheme="minorHAnsi"/>
          <w:szCs w:val="22"/>
          <w:u w:val="single"/>
        </w:rPr>
        <w:t>m</w:t>
      </w:r>
      <w:r w:rsidR="00827B25" w:rsidRPr="006F0A22">
        <w:rPr>
          <w:rFonts w:asciiTheme="minorHAnsi" w:hAnsiTheme="minorHAnsi" w:cstheme="minorHAnsi"/>
          <w:szCs w:val="22"/>
        </w:rPr>
        <w:t xml:space="preserve"> CT</w:t>
      </w:r>
      <w:r w:rsidRPr="006F0A22">
        <w:rPr>
          <w:rFonts w:asciiTheme="minorHAnsi" w:hAnsiTheme="minorHAnsi" w:cstheme="minorHAnsi"/>
          <w:szCs w:val="22"/>
        </w:rPr>
        <w:t xml:space="preserve">): </w:t>
      </w:r>
      <w:r w:rsidR="000755F0" w:rsidRPr="006F0A22">
        <w:rPr>
          <w:rFonts w:asciiTheme="minorHAnsi" w:hAnsiTheme="minorHAnsi" w:cstheme="minorHAnsi"/>
          <w:szCs w:val="22"/>
        </w:rPr>
        <w:t>Bei dringlicher Notwendigkeit einer Therapieeinleitung und fehlender rascher Verfügbarkeit eines PET</w:t>
      </w:r>
      <w:r w:rsidR="000755F0" w:rsidRPr="005F5829">
        <w:rPr>
          <w:rFonts w:asciiTheme="minorHAnsi" w:hAnsiTheme="minorHAnsi" w:cstheme="minorHAnsi"/>
          <w:szCs w:val="22"/>
        </w:rPr>
        <w:t>-CTs ist eine CT Thorax/Abdomen +/- Hals  ausreichend.</w:t>
      </w:r>
    </w:p>
    <w:p w14:paraId="56517D4B" w14:textId="77777777" w:rsidR="000755F0" w:rsidRPr="006F0A22" w:rsidRDefault="000755F0" w:rsidP="004501B1">
      <w:pPr>
        <w:pStyle w:val="Textkrper-Einzug2"/>
        <w:spacing w:after="0" w:line="276" w:lineRule="auto"/>
        <w:ind w:left="426"/>
        <w:jc w:val="both"/>
        <w:rPr>
          <w:rFonts w:asciiTheme="minorHAnsi" w:hAnsiTheme="minorHAnsi" w:cstheme="minorHAnsi"/>
          <w:szCs w:val="22"/>
          <w:lang w:val="en-US"/>
        </w:rPr>
      </w:pPr>
      <w:r w:rsidRPr="005F5829">
        <w:rPr>
          <w:rFonts w:asciiTheme="minorHAnsi" w:hAnsiTheme="minorHAnsi" w:cstheme="minorHAnsi"/>
          <w:szCs w:val="22"/>
        </w:rPr>
        <w:t>Ü</w:t>
      </w:r>
      <w:r w:rsidR="00915069" w:rsidRPr="005F5829">
        <w:rPr>
          <w:rFonts w:asciiTheme="minorHAnsi" w:hAnsiTheme="minorHAnsi" w:cstheme="minorHAnsi"/>
          <w:szCs w:val="22"/>
        </w:rPr>
        <w:t>ber 90% der PTCL sin</w:t>
      </w:r>
      <w:r w:rsidR="00827B25" w:rsidRPr="005F5829">
        <w:rPr>
          <w:rFonts w:asciiTheme="minorHAnsi" w:hAnsiTheme="minorHAnsi" w:cstheme="minorHAnsi"/>
          <w:szCs w:val="22"/>
        </w:rPr>
        <w:t>d FDG-avid</w:t>
      </w:r>
      <w:r w:rsidR="00786511" w:rsidRPr="005F5829">
        <w:rPr>
          <w:rFonts w:asciiTheme="minorHAnsi" w:hAnsiTheme="minorHAnsi" w:cstheme="minorHAnsi"/>
          <w:szCs w:val="22"/>
        </w:rPr>
        <w:t xml:space="preserve"> (Gurion R, 2018)</w:t>
      </w:r>
      <w:r w:rsidR="00212B87" w:rsidRPr="005F5829">
        <w:rPr>
          <w:rFonts w:asciiTheme="minorHAnsi" w:hAnsiTheme="minorHAnsi" w:cstheme="minorHAnsi"/>
          <w:szCs w:val="22"/>
        </w:rPr>
        <w:t xml:space="preserve">: </w:t>
      </w:r>
      <w:r w:rsidR="00915069" w:rsidRPr="005F5829">
        <w:rPr>
          <w:rFonts w:asciiTheme="minorHAnsi" w:hAnsiTheme="minorHAnsi" w:cstheme="minorHAnsi"/>
          <w:szCs w:val="22"/>
        </w:rPr>
        <w:t>Das PET</w:t>
      </w:r>
      <w:r w:rsidRPr="006F0A22">
        <w:rPr>
          <w:rFonts w:asciiTheme="minorHAnsi" w:hAnsiTheme="minorHAnsi" w:cstheme="minorHAnsi"/>
          <w:szCs w:val="22"/>
        </w:rPr>
        <w:t>-CT</w:t>
      </w:r>
      <w:r w:rsidR="00915069" w:rsidRPr="006F0A22">
        <w:rPr>
          <w:rFonts w:asciiTheme="minorHAnsi" w:hAnsiTheme="minorHAnsi" w:cstheme="minorHAnsi"/>
          <w:szCs w:val="22"/>
        </w:rPr>
        <w:t xml:space="preserve"> besitzt bei extranodalen nicht-kutanen Manifestationen, insbesondere im GI-Trakt, eine der CT überlegene Sensitivität.</w:t>
      </w:r>
      <w:r w:rsidR="00430963" w:rsidRPr="006F0A22">
        <w:rPr>
          <w:rFonts w:asciiTheme="minorHAnsi" w:hAnsiTheme="minorHAnsi" w:cstheme="minorHAnsi"/>
          <w:szCs w:val="22"/>
        </w:rPr>
        <w:t xml:space="preserve"> </w:t>
      </w:r>
      <w:r w:rsidR="00430963" w:rsidRPr="006F0A22">
        <w:rPr>
          <w:rFonts w:asciiTheme="minorHAnsi" w:hAnsiTheme="minorHAnsi" w:cstheme="minorHAnsi"/>
          <w:szCs w:val="22"/>
          <w:lang w:val="en-US"/>
        </w:rPr>
        <w:t>Die Beurteilung erfolgt nach Deauville-Score (5-Punkte-Skala: 1: no uptake above background; 2: uptake ≤ mediastinum; 3: uptake &gt; mediastinum but ≤ liver; 4: uptake moderately &gt; liver; 5, uptake markedly higher than liver and/or new lesions; X, new areas of uptake unlik</w:t>
      </w:r>
      <w:r w:rsidR="00212B87" w:rsidRPr="006F0A22">
        <w:rPr>
          <w:rFonts w:asciiTheme="minorHAnsi" w:hAnsiTheme="minorHAnsi" w:cstheme="minorHAnsi"/>
          <w:szCs w:val="22"/>
          <w:lang w:val="en-US"/>
        </w:rPr>
        <w:t>ely to be related to lymphoma.)</w:t>
      </w:r>
      <w:r w:rsidR="00430963" w:rsidRPr="006F0A22">
        <w:rPr>
          <w:rFonts w:asciiTheme="minorHAnsi" w:hAnsiTheme="minorHAnsi" w:cstheme="minorHAnsi"/>
          <w:szCs w:val="22"/>
          <w:lang w:val="en-US"/>
        </w:rPr>
        <w:t xml:space="preserve"> </w:t>
      </w:r>
    </w:p>
    <w:p w14:paraId="0F408EA0" w14:textId="77777777" w:rsidR="00F671BF" w:rsidRPr="006F0A22" w:rsidRDefault="00212B87" w:rsidP="004501B1">
      <w:pPr>
        <w:pStyle w:val="Textkrper-Einzug2"/>
        <w:numPr>
          <w:ilvl w:val="0"/>
          <w:numId w:val="3"/>
        </w:numPr>
        <w:spacing w:after="0" w:line="276" w:lineRule="auto"/>
        <w:ind w:left="426" w:hanging="426"/>
        <w:jc w:val="both"/>
        <w:rPr>
          <w:rFonts w:asciiTheme="minorHAnsi" w:hAnsiTheme="minorHAnsi" w:cstheme="minorHAnsi"/>
          <w:szCs w:val="22"/>
        </w:rPr>
      </w:pPr>
      <w:r w:rsidRPr="006F0A22">
        <w:rPr>
          <w:rFonts w:asciiTheme="minorHAnsi" w:hAnsiTheme="minorHAnsi" w:cstheme="minorHAnsi"/>
          <w:szCs w:val="22"/>
        </w:rPr>
        <w:t>Knochenmarksaspiration + -biopsie (Morphologie, IHC</w:t>
      </w:r>
      <w:r w:rsidR="008C2027" w:rsidRPr="006F0A22">
        <w:rPr>
          <w:rFonts w:asciiTheme="minorHAnsi" w:hAnsiTheme="minorHAnsi" w:cstheme="minorHAnsi"/>
          <w:szCs w:val="22"/>
        </w:rPr>
        <w:t>, FACS, Zytogenetik und Molekularbiologie)</w:t>
      </w:r>
    </w:p>
    <w:p w14:paraId="3AAC4493" w14:textId="77777777" w:rsidR="00D87E7D" w:rsidRDefault="00915069" w:rsidP="004501B1">
      <w:pPr>
        <w:pStyle w:val="Textkrper-Einzug2"/>
        <w:numPr>
          <w:ilvl w:val="0"/>
          <w:numId w:val="3"/>
        </w:numPr>
        <w:spacing w:after="0" w:line="276" w:lineRule="auto"/>
        <w:ind w:left="426" w:hanging="426"/>
        <w:jc w:val="both"/>
        <w:rPr>
          <w:rFonts w:asciiTheme="minorHAnsi" w:hAnsiTheme="minorHAnsi" w:cstheme="minorHAnsi"/>
          <w:szCs w:val="22"/>
        </w:rPr>
      </w:pPr>
      <w:r w:rsidRPr="00915069">
        <w:rPr>
          <w:rFonts w:asciiTheme="minorHAnsi" w:hAnsiTheme="minorHAnsi" w:cstheme="minorHAnsi"/>
          <w:szCs w:val="22"/>
        </w:rPr>
        <w:lastRenderedPageBreak/>
        <w:t xml:space="preserve">Eine </w:t>
      </w:r>
      <w:r w:rsidR="000755F0">
        <w:rPr>
          <w:rFonts w:asciiTheme="minorHAnsi" w:hAnsiTheme="minorHAnsi" w:cstheme="minorHAnsi"/>
          <w:szCs w:val="22"/>
        </w:rPr>
        <w:t>C</w:t>
      </w:r>
      <w:r w:rsidRPr="00915069">
        <w:rPr>
          <w:rFonts w:asciiTheme="minorHAnsi" w:hAnsiTheme="minorHAnsi" w:cstheme="minorHAnsi"/>
          <w:szCs w:val="22"/>
        </w:rPr>
        <w:t xml:space="preserve">CT </w:t>
      </w:r>
      <w:r w:rsidR="000755F0">
        <w:rPr>
          <w:rFonts w:asciiTheme="minorHAnsi" w:hAnsiTheme="minorHAnsi" w:cstheme="minorHAnsi"/>
          <w:szCs w:val="22"/>
        </w:rPr>
        <w:t>bzw.</w:t>
      </w:r>
      <w:r w:rsidRPr="00915069">
        <w:rPr>
          <w:rFonts w:asciiTheme="minorHAnsi" w:hAnsiTheme="minorHAnsi" w:cstheme="minorHAnsi"/>
          <w:szCs w:val="22"/>
        </w:rPr>
        <w:t xml:space="preserve"> MRT-Untersuchung des Schädels oder eine Lumbalpunktion werden nur bei klinischem Verdacht empfohlen.</w:t>
      </w:r>
      <w:r>
        <w:rPr>
          <w:rFonts w:asciiTheme="minorHAnsi" w:hAnsiTheme="minorHAnsi" w:cstheme="minorHAnsi"/>
          <w:szCs w:val="22"/>
        </w:rPr>
        <w:t xml:space="preserve"> </w:t>
      </w:r>
      <w:r w:rsidR="002A6DFE">
        <w:rPr>
          <w:rFonts w:asciiTheme="minorHAnsi" w:hAnsiTheme="minorHAnsi" w:cstheme="minorHAnsi"/>
          <w:szCs w:val="22"/>
        </w:rPr>
        <w:t xml:space="preserve">Bei höherer Zellzahl </w:t>
      </w:r>
      <w:r w:rsidR="002A6DFE" w:rsidRPr="00212B87">
        <w:rPr>
          <w:rFonts w:asciiTheme="minorHAnsi" w:hAnsiTheme="minorHAnsi" w:cstheme="minorHAnsi"/>
          <w:szCs w:val="22"/>
        </w:rPr>
        <w:t>(&gt; 5/</w:t>
      </w:r>
      <w:r w:rsidR="005824CC" w:rsidRPr="00212B87">
        <w:rPr>
          <w:rFonts w:asciiTheme="minorHAnsi" w:hAnsiTheme="minorHAnsi" w:cstheme="minorHAnsi"/>
          <w:szCs w:val="22"/>
        </w:rPr>
        <w:t>µl</w:t>
      </w:r>
      <w:r w:rsidR="002A6DFE" w:rsidRPr="00212B87">
        <w:rPr>
          <w:rFonts w:asciiTheme="minorHAnsi" w:hAnsiTheme="minorHAnsi" w:cstheme="minorHAnsi"/>
          <w:szCs w:val="22"/>
        </w:rPr>
        <w:t>)</w:t>
      </w:r>
      <w:r w:rsidR="002A6DFE">
        <w:rPr>
          <w:rFonts w:asciiTheme="minorHAnsi" w:hAnsiTheme="minorHAnsi" w:cstheme="minorHAnsi"/>
          <w:szCs w:val="22"/>
        </w:rPr>
        <w:t xml:space="preserve"> ist </w:t>
      </w:r>
      <w:r w:rsidR="00562CEE">
        <w:rPr>
          <w:rFonts w:asciiTheme="minorHAnsi" w:hAnsiTheme="minorHAnsi" w:cstheme="minorHAnsi"/>
          <w:szCs w:val="22"/>
        </w:rPr>
        <w:t xml:space="preserve">eine FACS-Diagnostik </w:t>
      </w:r>
      <w:r w:rsidR="002A6DFE">
        <w:rPr>
          <w:rFonts w:asciiTheme="minorHAnsi" w:hAnsiTheme="minorHAnsi" w:cstheme="minorHAnsi"/>
          <w:szCs w:val="22"/>
        </w:rPr>
        <w:t>aus dem Liquor durchzuführen.</w:t>
      </w:r>
    </w:p>
    <w:p w14:paraId="7DCF9AEF" w14:textId="77777777" w:rsidR="00942D0D" w:rsidRDefault="00942D0D" w:rsidP="004501B1">
      <w:pPr>
        <w:pStyle w:val="Textkrper-Einzug2"/>
        <w:numPr>
          <w:ilvl w:val="0"/>
          <w:numId w:val="3"/>
        </w:numPr>
        <w:spacing w:after="0" w:line="276" w:lineRule="auto"/>
        <w:ind w:left="426" w:hanging="426"/>
        <w:jc w:val="both"/>
        <w:rPr>
          <w:rFonts w:asciiTheme="minorHAnsi" w:hAnsiTheme="minorHAnsi" w:cstheme="minorHAnsi"/>
          <w:szCs w:val="22"/>
        </w:rPr>
      </w:pPr>
      <w:r>
        <w:rPr>
          <w:rFonts w:asciiTheme="minorHAnsi" w:hAnsiTheme="minorHAnsi" w:cstheme="minorHAnsi"/>
          <w:szCs w:val="22"/>
        </w:rPr>
        <w:t>Fertilität siehe 2.2</w:t>
      </w:r>
    </w:p>
    <w:p w14:paraId="2077B35E" w14:textId="77777777" w:rsidR="00942D0D" w:rsidRDefault="00942D0D" w:rsidP="004501B1">
      <w:pPr>
        <w:pStyle w:val="Textkrper-Einzug2"/>
        <w:spacing w:after="0" w:line="276" w:lineRule="auto"/>
        <w:jc w:val="both"/>
        <w:rPr>
          <w:rFonts w:asciiTheme="minorHAnsi" w:hAnsiTheme="minorHAnsi" w:cstheme="minorHAnsi"/>
          <w:szCs w:val="22"/>
        </w:rPr>
      </w:pPr>
    </w:p>
    <w:p w14:paraId="2B28F065" w14:textId="77777777" w:rsidR="00942D0D" w:rsidRPr="00942D0D" w:rsidRDefault="00942D0D" w:rsidP="004501B1">
      <w:pPr>
        <w:pStyle w:val="berschrift2"/>
      </w:pPr>
      <w:bookmarkStart w:id="8" w:name="_Toc61379682"/>
      <w:r>
        <w:t>2.2</w:t>
      </w:r>
      <w:r>
        <w:tab/>
      </w:r>
      <w:r w:rsidRPr="00942D0D">
        <w:t>Fertilität</w:t>
      </w:r>
      <w:bookmarkEnd w:id="8"/>
    </w:p>
    <w:p w14:paraId="5C9B24F6" w14:textId="77777777" w:rsidR="00942D0D" w:rsidRDefault="00942D0D" w:rsidP="004501B1">
      <w:pPr>
        <w:pStyle w:val="Textkrper-Einzug2"/>
        <w:numPr>
          <w:ilvl w:val="0"/>
          <w:numId w:val="3"/>
        </w:numPr>
        <w:spacing w:after="0" w:line="276" w:lineRule="auto"/>
        <w:ind w:left="426" w:hanging="426"/>
        <w:jc w:val="both"/>
        <w:rPr>
          <w:rStyle w:val="c4"/>
          <w:rFonts w:asciiTheme="minorHAnsi" w:hAnsiTheme="minorHAnsi" w:cstheme="minorHAnsi"/>
          <w:szCs w:val="22"/>
        </w:rPr>
      </w:pPr>
      <w:r w:rsidRPr="006F0A22">
        <w:rPr>
          <w:rFonts w:asciiTheme="minorHAnsi" w:hAnsiTheme="minorHAnsi" w:cstheme="minorHAnsi"/>
          <w:szCs w:val="22"/>
        </w:rPr>
        <w:t>Männer</w:t>
      </w:r>
      <w:r w:rsidRPr="006F0A22">
        <w:rPr>
          <w:rFonts w:asciiTheme="minorHAnsi" w:hAnsiTheme="minorHAnsi" w:cstheme="minorHAnsi"/>
          <w:b/>
          <w:szCs w:val="22"/>
        </w:rPr>
        <w:t xml:space="preserve">: </w:t>
      </w:r>
      <w:r w:rsidRPr="006F0A22">
        <w:rPr>
          <w:rStyle w:val="c4"/>
          <w:rFonts w:asciiTheme="minorHAnsi" w:hAnsiTheme="minorHAnsi" w:cstheme="minorHAnsi"/>
          <w:szCs w:val="22"/>
        </w:rPr>
        <w:t>Bei einem Teil mit dem CHOP-Protokoll behandelter Männer kommt es innerhalb von 5 bis 7 Jahren zu einer Erholung der Spermatogenese. Da dies im Einzelfall nicht vorhersehbar ist, sollte bei Kinderwunsch vor der Chemotherapie eine Samenkonservierung erfolgen.</w:t>
      </w:r>
    </w:p>
    <w:p w14:paraId="46E5DC24" w14:textId="77777777" w:rsidR="007374FB" w:rsidRPr="006F0A22" w:rsidRDefault="007374FB" w:rsidP="004501B1">
      <w:pPr>
        <w:pStyle w:val="Textkrper-Einzug2"/>
        <w:spacing w:after="0" w:line="276" w:lineRule="auto"/>
        <w:ind w:left="720"/>
        <w:jc w:val="both"/>
        <w:rPr>
          <w:rStyle w:val="c4"/>
          <w:rFonts w:asciiTheme="minorHAnsi" w:hAnsiTheme="minorHAnsi" w:cstheme="minorHAnsi"/>
          <w:szCs w:val="22"/>
        </w:rPr>
      </w:pPr>
    </w:p>
    <w:p w14:paraId="7B3B24B2" w14:textId="77777777" w:rsidR="00942D0D" w:rsidRPr="006F0A22" w:rsidRDefault="00942D0D" w:rsidP="004501B1">
      <w:pPr>
        <w:pStyle w:val="Textkrper-Einzug2"/>
        <w:numPr>
          <w:ilvl w:val="0"/>
          <w:numId w:val="3"/>
        </w:numPr>
        <w:spacing w:after="0" w:line="276" w:lineRule="auto"/>
        <w:ind w:left="426" w:hanging="426"/>
        <w:jc w:val="both"/>
        <w:rPr>
          <w:rStyle w:val="c4"/>
          <w:rFonts w:asciiTheme="minorHAnsi" w:hAnsiTheme="minorHAnsi" w:cstheme="minorHAnsi"/>
          <w:szCs w:val="22"/>
        </w:rPr>
      </w:pPr>
      <w:r w:rsidRPr="006F0A22">
        <w:rPr>
          <w:rStyle w:val="c4"/>
          <w:rFonts w:asciiTheme="minorHAnsi" w:hAnsiTheme="minorHAnsi" w:cstheme="minorHAnsi"/>
          <w:szCs w:val="22"/>
        </w:rPr>
        <w:t>Bei Frauen kommt es im Anschluss an eine Behandlung mit CHOP nur selten zu bleibender Amenorrhoe. Häufig ist dagegen eine Verminderung der Ovarialreserve mit vorzeitiger Menopause (letzter Zyklus vor dem 40. Lebensjahr). Das zeitliche Fenster für die Erfüllung eines Kinderwunsches ist insbesondere für Patientinnen, die zum Zeitpunkt der Chemotherapie das 30. Lebensjahr überschritten haben, kurz.</w:t>
      </w:r>
    </w:p>
    <w:p w14:paraId="26FBB5C7" w14:textId="77777777" w:rsidR="00942D0D" w:rsidRDefault="00942D0D" w:rsidP="004501B1">
      <w:pPr>
        <w:pStyle w:val="Textkrper-Einzug2"/>
        <w:spacing w:line="276" w:lineRule="auto"/>
        <w:ind w:left="426"/>
        <w:jc w:val="both"/>
        <w:rPr>
          <w:rFonts w:asciiTheme="minorHAnsi" w:hAnsiTheme="minorHAnsi" w:cstheme="minorHAnsi"/>
          <w:szCs w:val="22"/>
        </w:rPr>
      </w:pPr>
      <w:r w:rsidRPr="006F0A22">
        <w:rPr>
          <w:rFonts w:asciiTheme="minorHAnsi" w:hAnsiTheme="minorHAnsi" w:cstheme="minorHAnsi"/>
          <w:szCs w:val="22"/>
        </w:rPr>
        <w:t xml:space="preserve">Patientinnen mit prospektivem Kinderwunsch sollten soweit vertretbar vor Einleitung der Therapie einem reproduktionsmedizinischen Zentrum vorgestellt werden. </w:t>
      </w:r>
    </w:p>
    <w:p w14:paraId="2179698A" w14:textId="77777777" w:rsidR="00942D0D" w:rsidRPr="006F0A22" w:rsidRDefault="00942D0D" w:rsidP="004501B1">
      <w:pPr>
        <w:pStyle w:val="Textkrper-Einzug2"/>
        <w:spacing w:line="276" w:lineRule="auto"/>
        <w:ind w:left="426"/>
        <w:jc w:val="both"/>
        <w:rPr>
          <w:rFonts w:asciiTheme="minorHAnsi" w:hAnsiTheme="minorHAnsi" w:cstheme="minorHAnsi"/>
          <w:szCs w:val="22"/>
        </w:rPr>
      </w:pPr>
      <w:r w:rsidRPr="006F0A22">
        <w:rPr>
          <w:rFonts w:asciiTheme="minorHAnsi" w:hAnsiTheme="minorHAnsi" w:cstheme="minorHAnsi"/>
          <w:szCs w:val="22"/>
          <w:u w:val="single"/>
        </w:rPr>
        <w:t>GnRH Analoga:</w:t>
      </w:r>
      <w:r w:rsidRPr="006F0A22">
        <w:rPr>
          <w:rFonts w:asciiTheme="minorHAnsi" w:hAnsiTheme="minorHAnsi" w:cstheme="minorHAnsi"/>
          <w:szCs w:val="22"/>
        </w:rPr>
        <w:t xml:space="preserve"> Der Einsatz von GnRH Analoga zur Ovarialprotektion unter Chemotherapie ist keine Standardtherapie, kann jedoch die ovarielle Funktion und das Risiko einer langfristigen Chemotherapie-induzierten Amenorrhoe senken (Goserelin (Zoladex®) 3.6 mg subkutan alle 4 Wochen: Start 1 Woche vor dem 1. Zyklus Chemotherapie bis 2 Wochen vor oder nach Ende des letzten Zyklus Chemotherapie)</w:t>
      </w:r>
    </w:p>
    <w:p w14:paraId="49D2893B" w14:textId="77777777" w:rsidR="00942D0D" w:rsidRPr="0019728C" w:rsidRDefault="00942D0D" w:rsidP="004501B1">
      <w:pPr>
        <w:pStyle w:val="Textkrper-Einzug2"/>
        <w:spacing w:after="0" w:line="276" w:lineRule="auto"/>
        <w:ind w:left="426"/>
        <w:jc w:val="both"/>
        <w:rPr>
          <w:rFonts w:asciiTheme="minorHAnsi" w:hAnsiTheme="minorHAnsi" w:cstheme="minorHAnsi"/>
          <w:szCs w:val="22"/>
        </w:rPr>
      </w:pPr>
      <w:r w:rsidRPr="006F0A22">
        <w:rPr>
          <w:rFonts w:asciiTheme="minorHAnsi" w:hAnsiTheme="minorHAnsi" w:cstheme="minorHAnsi"/>
          <w:szCs w:val="22"/>
          <w:u w:val="single"/>
        </w:rPr>
        <w:t>Kryokonservierung von Ovarialgewebe:</w:t>
      </w:r>
      <w:r w:rsidRPr="006F0A22">
        <w:rPr>
          <w:rFonts w:asciiTheme="minorHAnsi" w:hAnsiTheme="minorHAnsi" w:cstheme="minorHAnsi"/>
          <w:szCs w:val="22"/>
        </w:rPr>
        <w:t xml:space="preserve"> Die Kryokonservierung von laparoskopisch entnommenem Ovarialgewebe ist ein neuer, experimenteller Ansatz. Aufgrund der mit dem Alter abnehmenden Follikeldichte im Ovar wird diese fertilitätsprotektive Technik nur bei Frauen bis zu einem Alter von 35 Jahren empfohlen. Die Maßnahme ist partnerunabhängig und würde bei </w:t>
      </w:r>
      <w:r w:rsidRPr="0019728C">
        <w:rPr>
          <w:rFonts w:asciiTheme="minorHAnsi" w:hAnsiTheme="minorHAnsi" w:cstheme="minorHAnsi"/>
          <w:szCs w:val="22"/>
        </w:rPr>
        <w:t>einem späteren erfolgreichen Angehen des Transplantates auch die endokrinologische Situation der Patientin verbessern. Der Zeitbedarf beträgt ca. 2 Tage.</w:t>
      </w:r>
    </w:p>
    <w:p w14:paraId="2CE77BD2" w14:textId="77777777" w:rsidR="00966867" w:rsidRDefault="00942D0D" w:rsidP="004501B1">
      <w:pPr>
        <w:pStyle w:val="Textkrper-Einzug2"/>
        <w:spacing w:after="0" w:line="276" w:lineRule="auto"/>
        <w:ind w:left="426"/>
        <w:jc w:val="both"/>
        <w:rPr>
          <w:rFonts w:asciiTheme="minorHAnsi" w:hAnsiTheme="minorHAnsi"/>
          <w:szCs w:val="22"/>
        </w:rPr>
      </w:pPr>
      <w:r w:rsidRPr="00D70A3B">
        <w:rPr>
          <w:rFonts w:asciiTheme="minorHAnsi" w:hAnsiTheme="minorHAnsi" w:cstheme="minorHAnsi"/>
          <w:szCs w:val="22"/>
        </w:rPr>
        <w:t>Kontakt:</w:t>
      </w:r>
      <w:r w:rsidRPr="0019728C">
        <w:rPr>
          <w:rFonts w:asciiTheme="minorHAnsi" w:hAnsiTheme="minorHAnsi" w:cstheme="minorHAnsi"/>
          <w:szCs w:val="22"/>
        </w:rPr>
        <w:t xml:space="preserve"> </w:t>
      </w:r>
      <w:r w:rsidR="00D70A3B">
        <w:rPr>
          <w:rFonts w:asciiTheme="minorHAnsi" w:hAnsiTheme="minorHAnsi" w:cstheme="minorHAnsi"/>
          <w:szCs w:val="22"/>
        </w:rPr>
        <w:t xml:space="preserve"> </w:t>
      </w:r>
      <w:r w:rsidR="00D70A3B" w:rsidRPr="00D70A3B">
        <w:rPr>
          <w:rStyle w:val="Fett"/>
          <w:rFonts w:asciiTheme="minorHAnsi" w:hAnsiTheme="minorHAnsi"/>
          <w:szCs w:val="22"/>
        </w:rPr>
        <w:t>Kepler-</w:t>
      </w:r>
      <w:r w:rsidRPr="00D70A3B">
        <w:rPr>
          <w:rStyle w:val="Fett"/>
          <w:rFonts w:asciiTheme="minorHAnsi" w:hAnsiTheme="minorHAnsi"/>
          <w:szCs w:val="22"/>
        </w:rPr>
        <w:t xml:space="preserve">Universitätsklinikum, </w:t>
      </w:r>
      <w:r w:rsidR="00D70A3B" w:rsidRPr="00D70A3B">
        <w:rPr>
          <w:rStyle w:val="Fett"/>
          <w:rFonts w:asciiTheme="minorHAnsi" w:hAnsiTheme="minorHAnsi"/>
          <w:szCs w:val="22"/>
        </w:rPr>
        <w:t>Kinderwunschz</w:t>
      </w:r>
      <w:r w:rsidRPr="00D70A3B">
        <w:rPr>
          <w:rStyle w:val="Fett"/>
          <w:rFonts w:asciiTheme="minorHAnsi" w:hAnsiTheme="minorHAnsi"/>
          <w:szCs w:val="22"/>
        </w:rPr>
        <w:t>entrum</w:t>
      </w:r>
      <w:r w:rsidR="00D70A3B" w:rsidRPr="00D70A3B">
        <w:rPr>
          <w:rStyle w:val="Fett"/>
          <w:rFonts w:asciiTheme="minorHAnsi" w:hAnsiTheme="minorHAnsi"/>
          <w:szCs w:val="22"/>
        </w:rPr>
        <w:t xml:space="preserve">, </w:t>
      </w:r>
      <w:r w:rsidRPr="00D70A3B">
        <w:rPr>
          <w:rFonts w:asciiTheme="minorHAnsi" w:hAnsiTheme="minorHAnsi"/>
          <w:szCs w:val="22"/>
        </w:rPr>
        <w:t xml:space="preserve">Tel.: </w:t>
      </w:r>
      <w:r w:rsidR="00D70A3B">
        <w:rPr>
          <w:rFonts w:asciiTheme="minorHAnsi" w:hAnsiTheme="minorHAnsi"/>
          <w:szCs w:val="22"/>
        </w:rPr>
        <w:t>+</w:t>
      </w:r>
      <w:r w:rsidRPr="00D70A3B">
        <w:rPr>
          <w:rFonts w:asciiTheme="minorHAnsi" w:hAnsiTheme="minorHAnsi"/>
          <w:szCs w:val="22"/>
        </w:rPr>
        <w:t>43</w:t>
      </w:r>
      <w:r w:rsidRPr="00AF4529">
        <w:rPr>
          <w:rFonts w:asciiTheme="minorHAnsi" w:hAnsiTheme="minorHAnsi"/>
          <w:szCs w:val="22"/>
        </w:rPr>
        <w:t xml:space="preserve"> (0)5 7680 84 </w:t>
      </w:r>
      <w:r>
        <w:rPr>
          <w:rFonts w:asciiTheme="minorHAnsi" w:hAnsiTheme="minorHAnsi"/>
          <w:szCs w:val="22"/>
        </w:rPr>
        <w:t>–</w:t>
      </w:r>
      <w:r w:rsidRPr="00AF4529">
        <w:rPr>
          <w:rFonts w:asciiTheme="minorHAnsi" w:hAnsiTheme="minorHAnsi"/>
          <w:szCs w:val="22"/>
        </w:rPr>
        <w:t xml:space="preserve"> 24630</w:t>
      </w:r>
    </w:p>
    <w:p w14:paraId="4785E388" w14:textId="77777777" w:rsidR="007374FB" w:rsidRPr="00D70A3B" w:rsidRDefault="007374FB" w:rsidP="00D70A3B">
      <w:pPr>
        <w:pStyle w:val="Textkrper-Einzug2"/>
        <w:spacing w:after="0" w:line="276" w:lineRule="auto"/>
        <w:ind w:firstLine="425"/>
        <w:jc w:val="left"/>
        <w:rPr>
          <w:rFonts w:asciiTheme="minorHAnsi" w:hAnsiTheme="minorHAnsi"/>
          <w:szCs w:val="22"/>
        </w:rPr>
      </w:pPr>
      <w:r>
        <w:br w:type="page"/>
      </w:r>
    </w:p>
    <w:p w14:paraId="7676B3BE" w14:textId="77777777" w:rsidR="00942D0D" w:rsidRPr="004501B1" w:rsidRDefault="00942D0D" w:rsidP="007374FB">
      <w:pPr>
        <w:pStyle w:val="berschrift2"/>
        <w:jc w:val="left"/>
        <w:rPr>
          <w:lang w:val="en-GB"/>
        </w:rPr>
      </w:pPr>
      <w:bookmarkStart w:id="9" w:name="_Toc61379683"/>
      <w:r w:rsidRPr="004501B1">
        <w:rPr>
          <w:lang w:val="en-GB"/>
        </w:rPr>
        <w:lastRenderedPageBreak/>
        <w:t>2.3</w:t>
      </w:r>
      <w:r w:rsidRPr="004501B1">
        <w:rPr>
          <w:lang w:val="en-GB"/>
        </w:rPr>
        <w:tab/>
        <w:t>WHO-Klassifikation</w:t>
      </w:r>
      <w:bookmarkEnd w:id="9"/>
    </w:p>
    <w:p w14:paraId="42DA69F9" w14:textId="77777777" w:rsidR="00942D0D" w:rsidRPr="004501B1" w:rsidRDefault="00942D0D" w:rsidP="007374FB">
      <w:pPr>
        <w:pStyle w:val="Textkrper-Einzug2"/>
        <w:spacing w:after="0" w:line="276" w:lineRule="auto"/>
        <w:ind w:left="0"/>
        <w:jc w:val="left"/>
        <w:rPr>
          <w:rFonts w:asciiTheme="minorHAnsi" w:hAnsiTheme="minorHAnsi" w:cstheme="minorHAnsi"/>
          <w:b/>
          <w:szCs w:val="22"/>
          <w:lang w:val="en-GB"/>
        </w:rPr>
      </w:pPr>
    </w:p>
    <w:p w14:paraId="5020494D" w14:textId="77777777" w:rsidR="00942D0D" w:rsidRDefault="00942D0D" w:rsidP="007374FB">
      <w:pPr>
        <w:pStyle w:val="Textkrper-Einzug2"/>
        <w:spacing w:after="0" w:line="276" w:lineRule="auto"/>
        <w:ind w:left="0"/>
        <w:jc w:val="left"/>
        <w:rPr>
          <w:rFonts w:asciiTheme="minorHAnsi" w:hAnsiTheme="minorHAnsi" w:cstheme="minorHAnsi"/>
          <w:b/>
          <w:szCs w:val="22"/>
          <w:lang w:val="en-GB"/>
        </w:rPr>
      </w:pPr>
      <w:r>
        <w:rPr>
          <w:rFonts w:asciiTheme="minorHAnsi" w:hAnsiTheme="minorHAnsi" w:cstheme="minorHAnsi"/>
          <w:b/>
          <w:szCs w:val="22"/>
          <w:lang w:val="en-GB"/>
        </w:rPr>
        <w:t>Mature T- and NK-cell neoplasms:</w:t>
      </w:r>
    </w:p>
    <w:tbl>
      <w:tblPr>
        <w:tblStyle w:val="Tabellenraster"/>
        <w:tblW w:w="0" w:type="auto"/>
        <w:tblLook w:val="04A0" w:firstRow="1" w:lastRow="0" w:firstColumn="1" w:lastColumn="0" w:noHBand="0" w:noVBand="1"/>
      </w:tblPr>
      <w:tblGrid>
        <w:gridCol w:w="4688"/>
        <w:gridCol w:w="4684"/>
      </w:tblGrid>
      <w:tr w:rsidR="00942D0D" w:rsidRPr="00E57A6B" w14:paraId="351AF96F" w14:textId="77777777" w:rsidTr="005444C8">
        <w:tc>
          <w:tcPr>
            <w:tcW w:w="4761" w:type="dxa"/>
            <w:tcBorders>
              <w:top w:val="single" w:sz="4" w:space="0" w:color="auto"/>
              <w:left w:val="single" w:sz="4" w:space="0" w:color="auto"/>
              <w:bottom w:val="single" w:sz="4" w:space="0" w:color="auto"/>
              <w:right w:val="single" w:sz="4" w:space="0" w:color="auto"/>
            </w:tcBorders>
          </w:tcPr>
          <w:p w14:paraId="01A8F2A2" w14:textId="77777777" w:rsidR="00942D0D" w:rsidRDefault="00942D0D" w:rsidP="005C6EE4">
            <w:pPr>
              <w:pStyle w:val="Textkrper-Einzug2"/>
              <w:numPr>
                <w:ilvl w:val="0"/>
                <w:numId w:val="4"/>
              </w:numPr>
              <w:spacing w:after="0" w:line="240" w:lineRule="auto"/>
              <w:ind w:left="426" w:hanging="426"/>
              <w:jc w:val="left"/>
              <w:rPr>
                <w:rFonts w:asciiTheme="minorHAnsi" w:hAnsiTheme="minorHAnsi" w:cstheme="minorHAnsi"/>
                <w:szCs w:val="22"/>
                <w:lang w:val="en-GB"/>
              </w:rPr>
            </w:pPr>
            <w:r>
              <w:rPr>
                <w:rFonts w:asciiTheme="minorHAnsi" w:hAnsiTheme="minorHAnsi" w:cstheme="minorHAnsi"/>
                <w:szCs w:val="22"/>
                <w:lang w:val="en-GB"/>
              </w:rPr>
              <w:t>T-cell prolymphocytic leukaemia</w:t>
            </w:r>
          </w:p>
          <w:p w14:paraId="4970D44B" w14:textId="77777777" w:rsidR="00942D0D" w:rsidRDefault="00942D0D" w:rsidP="005C6EE4">
            <w:pPr>
              <w:pStyle w:val="Textkrper-Einzug2"/>
              <w:numPr>
                <w:ilvl w:val="0"/>
                <w:numId w:val="4"/>
              </w:numPr>
              <w:spacing w:after="0" w:line="240" w:lineRule="auto"/>
              <w:ind w:left="426" w:hanging="426"/>
              <w:jc w:val="left"/>
              <w:rPr>
                <w:rFonts w:asciiTheme="minorHAnsi" w:hAnsiTheme="minorHAnsi" w:cstheme="minorHAnsi"/>
                <w:szCs w:val="22"/>
                <w:lang w:val="en-GB"/>
              </w:rPr>
            </w:pPr>
            <w:r>
              <w:rPr>
                <w:rFonts w:asciiTheme="minorHAnsi" w:hAnsiTheme="minorHAnsi" w:cstheme="minorHAnsi"/>
                <w:szCs w:val="22"/>
                <w:lang w:val="en-GB"/>
              </w:rPr>
              <w:t>T-cell large granular lymphocytic leukaemia</w:t>
            </w:r>
          </w:p>
          <w:p w14:paraId="088D17DE" w14:textId="77777777" w:rsidR="00942D0D" w:rsidRPr="00FC6FEE" w:rsidRDefault="00942D0D" w:rsidP="005C6EE4">
            <w:pPr>
              <w:pStyle w:val="Textkrper-Einzug2"/>
              <w:numPr>
                <w:ilvl w:val="0"/>
                <w:numId w:val="4"/>
              </w:numPr>
              <w:spacing w:after="0" w:line="240" w:lineRule="auto"/>
              <w:ind w:left="426" w:hanging="426"/>
              <w:jc w:val="left"/>
              <w:rPr>
                <w:rFonts w:asciiTheme="minorHAnsi" w:hAnsiTheme="minorHAnsi" w:cstheme="minorHAnsi"/>
                <w:szCs w:val="22"/>
                <w:lang w:val="en-US"/>
              </w:rPr>
            </w:pPr>
            <w:r w:rsidRPr="00FC6FEE">
              <w:rPr>
                <w:rFonts w:asciiTheme="minorHAnsi" w:hAnsiTheme="minorHAnsi" w:cstheme="minorHAnsi"/>
                <w:szCs w:val="22"/>
                <w:lang w:val="en-US"/>
              </w:rPr>
              <w:t>Chronic lymphoproliferative disorder of NK cells</w:t>
            </w:r>
          </w:p>
          <w:p w14:paraId="27D95DB1" w14:textId="77777777" w:rsidR="00942D0D" w:rsidRDefault="00942D0D" w:rsidP="005C6EE4">
            <w:pPr>
              <w:pStyle w:val="Textkrper-Einzug2"/>
              <w:numPr>
                <w:ilvl w:val="0"/>
                <w:numId w:val="4"/>
              </w:numPr>
              <w:spacing w:after="0" w:line="240" w:lineRule="auto"/>
              <w:ind w:left="426" w:hanging="426"/>
              <w:jc w:val="left"/>
              <w:rPr>
                <w:rFonts w:asciiTheme="minorHAnsi" w:hAnsiTheme="minorHAnsi" w:cstheme="minorHAnsi"/>
                <w:szCs w:val="22"/>
              </w:rPr>
            </w:pPr>
            <w:r>
              <w:rPr>
                <w:rFonts w:asciiTheme="minorHAnsi" w:hAnsiTheme="minorHAnsi" w:cstheme="minorHAnsi"/>
                <w:szCs w:val="22"/>
              </w:rPr>
              <w:t>Aggressive NK-cell leukaemia</w:t>
            </w:r>
          </w:p>
          <w:p w14:paraId="58EC1210" w14:textId="77777777" w:rsidR="00942D0D" w:rsidRPr="00FC6FEE" w:rsidRDefault="00942D0D" w:rsidP="005C6EE4">
            <w:pPr>
              <w:pStyle w:val="Textkrper-Einzug2"/>
              <w:numPr>
                <w:ilvl w:val="0"/>
                <w:numId w:val="4"/>
              </w:numPr>
              <w:spacing w:after="0" w:line="240" w:lineRule="auto"/>
              <w:ind w:left="426" w:hanging="426"/>
              <w:jc w:val="left"/>
              <w:rPr>
                <w:rFonts w:asciiTheme="minorHAnsi" w:hAnsiTheme="minorHAnsi" w:cstheme="minorHAnsi"/>
                <w:szCs w:val="22"/>
                <w:lang w:val="en-US"/>
              </w:rPr>
            </w:pPr>
            <w:r w:rsidRPr="00FC6FEE">
              <w:rPr>
                <w:rFonts w:asciiTheme="minorHAnsi" w:hAnsiTheme="minorHAnsi" w:cstheme="minorHAnsi"/>
                <w:szCs w:val="22"/>
                <w:lang w:val="en-US"/>
              </w:rPr>
              <w:t>Systemic EBV-positive T-cell lymphoma of childhood</w:t>
            </w:r>
          </w:p>
          <w:p w14:paraId="737DC394" w14:textId="77777777" w:rsidR="00942D0D" w:rsidRDefault="00942D0D" w:rsidP="005C6EE4">
            <w:pPr>
              <w:pStyle w:val="Textkrper-Einzug2"/>
              <w:numPr>
                <w:ilvl w:val="0"/>
                <w:numId w:val="4"/>
              </w:numPr>
              <w:spacing w:after="0" w:line="240" w:lineRule="auto"/>
              <w:ind w:left="426" w:hanging="426"/>
              <w:jc w:val="left"/>
              <w:rPr>
                <w:rFonts w:asciiTheme="minorHAnsi" w:hAnsiTheme="minorHAnsi" w:cstheme="minorHAnsi"/>
                <w:szCs w:val="22"/>
                <w:lang w:val="en-GB"/>
              </w:rPr>
            </w:pPr>
            <w:r>
              <w:rPr>
                <w:rFonts w:asciiTheme="minorHAnsi" w:hAnsiTheme="minorHAnsi" w:cstheme="minorHAnsi"/>
                <w:szCs w:val="22"/>
                <w:lang w:val="en-GB"/>
              </w:rPr>
              <w:t>Chronic active EBV infection of T- and NK-cell type, systemic form</w:t>
            </w:r>
          </w:p>
          <w:p w14:paraId="3AC507D1" w14:textId="77777777" w:rsidR="00942D0D" w:rsidRDefault="00942D0D" w:rsidP="005C6EE4">
            <w:pPr>
              <w:pStyle w:val="Textkrper-Einzug2"/>
              <w:numPr>
                <w:ilvl w:val="0"/>
                <w:numId w:val="4"/>
              </w:numPr>
              <w:spacing w:after="0" w:line="240" w:lineRule="auto"/>
              <w:ind w:left="426" w:hanging="426"/>
              <w:jc w:val="left"/>
              <w:rPr>
                <w:rFonts w:asciiTheme="minorHAnsi" w:hAnsiTheme="minorHAnsi" w:cstheme="minorHAnsi"/>
                <w:szCs w:val="22"/>
              </w:rPr>
            </w:pPr>
            <w:r>
              <w:rPr>
                <w:rFonts w:asciiTheme="minorHAnsi" w:hAnsiTheme="minorHAnsi" w:cstheme="minorHAnsi"/>
                <w:szCs w:val="22"/>
              </w:rPr>
              <w:t>Hydroa vacciniforme-like lymphoproliferative disorder</w:t>
            </w:r>
          </w:p>
          <w:p w14:paraId="33C9AAED" w14:textId="77777777" w:rsidR="00942D0D" w:rsidRDefault="00942D0D" w:rsidP="007374FB">
            <w:pPr>
              <w:pStyle w:val="Textkrper-Einzug2"/>
              <w:spacing w:after="0" w:line="240" w:lineRule="auto"/>
              <w:ind w:left="426"/>
              <w:jc w:val="left"/>
              <w:rPr>
                <w:rFonts w:asciiTheme="minorHAnsi" w:hAnsiTheme="minorHAnsi" w:cstheme="minorHAnsi"/>
                <w:szCs w:val="22"/>
              </w:rPr>
            </w:pPr>
            <w:r>
              <w:rPr>
                <w:rFonts w:asciiTheme="minorHAnsi" w:hAnsiTheme="minorHAnsi" w:cstheme="minorHAnsi"/>
                <w:szCs w:val="22"/>
                <w:lang w:val="en-US"/>
              </w:rPr>
              <w:t>Adult T-cell leukaemia/lymphoma</w:t>
            </w:r>
          </w:p>
          <w:p w14:paraId="5AAF234F" w14:textId="77777777" w:rsidR="00942D0D" w:rsidRPr="00DD618D" w:rsidRDefault="00942D0D" w:rsidP="005C6EE4">
            <w:pPr>
              <w:pStyle w:val="Textkrper-Einzug2"/>
              <w:numPr>
                <w:ilvl w:val="0"/>
                <w:numId w:val="4"/>
              </w:numPr>
              <w:spacing w:after="0" w:line="240" w:lineRule="auto"/>
              <w:ind w:left="426" w:hanging="426"/>
              <w:jc w:val="left"/>
              <w:rPr>
                <w:rFonts w:asciiTheme="minorHAnsi" w:hAnsiTheme="minorHAnsi" w:cstheme="minorHAnsi"/>
                <w:szCs w:val="22"/>
                <w:lang w:val="en-US"/>
              </w:rPr>
            </w:pPr>
            <w:r>
              <w:rPr>
                <w:rFonts w:asciiTheme="minorHAnsi" w:hAnsiTheme="minorHAnsi" w:cstheme="minorHAnsi"/>
                <w:szCs w:val="22"/>
                <w:lang w:val="en-US"/>
              </w:rPr>
              <w:t>Extranodal NK/T-cell lymphoma, nasal type</w:t>
            </w:r>
          </w:p>
          <w:p w14:paraId="0BEA660B" w14:textId="77777777" w:rsidR="00942D0D" w:rsidRDefault="00942D0D" w:rsidP="005C6EE4">
            <w:pPr>
              <w:pStyle w:val="Textkrper-Einzug2"/>
              <w:numPr>
                <w:ilvl w:val="0"/>
                <w:numId w:val="4"/>
              </w:numPr>
              <w:spacing w:after="0" w:line="240" w:lineRule="auto"/>
              <w:ind w:left="426" w:hanging="426"/>
              <w:jc w:val="left"/>
              <w:rPr>
                <w:rFonts w:asciiTheme="minorHAnsi" w:hAnsiTheme="minorHAnsi" w:cstheme="minorHAnsi"/>
                <w:szCs w:val="22"/>
              </w:rPr>
            </w:pPr>
            <w:r>
              <w:rPr>
                <w:rFonts w:asciiTheme="minorHAnsi" w:hAnsiTheme="minorHAnsi" w:cstheme="minorHAnsi"/>
                <w:szCs w:val="22"/>
              </w:rPr>
              <w:t>Enteropathy-associated T-cell lymphoma</w:t>
            </w:r>
          </w:p>
          <w:p w14:paraId="3A596D64" w14:textId="77777777" w:rsidR="00942D0D" w:rsidRPr="00FC6FEE" w:rsidRDefault="00942D0D" w:rsidP="005C6EE4">
            <w:pPr>
              <w:pStyle w:val="Textkrper-Einzug2"/>
              <w:numPr>
                <w:ilvl w:val="0"/>
                <w:numId w:val="4"/>
              </w:numPr>
              <w:spacing w:after="0" w:line="240" w:lineRule="auto"/>
              <w:ind w:left="426" w:hanging="426"/>
              <w:jc w:val="left"/>
              <w:rPr>
                <w:rFonts w:asciiTheme="minorHAnsi" w:hAnsiTheme="minorHAnsi" w:cstheme="minorHAnsi"/>
                <w:szCs w:val="22"/>
                <w:lang w:val="en-US"/>
              </w:rPr>
            </w:pPr>
            <w:r w:rsidRPr="00FC6FEE">
              <w:rPr>
                <w:rFonts w:asciiTheme="minorHAnsi" w:hAnsiTheme="minorHAnsi" w:cstheme="minorHAnsi"/>
                <w:szCs w:val="22"/>
                <w:lang w:val="en-US"/>
              </w:rPr>
              <w:t>Monomorphic epitheliotropic intestinal T-cell lymphoma</w:t>
            </w:r>
          </w:p>
          <w:p w14:paraId="13C6746A" w14:textId="77777777" w:rsidR="00942D0D" w:rsidRDefault="00942D0D" w:rsidP="005C6EE4">
            <w:pPr>
              <w:pStyle w:val="Textkrper-Einzug2"/>
              <w:numPr>
                <w:ilvl w:val="0"/>
                <w:numId w:val="4"/>
              </w:numPr>
              <w:spacing w:after="0" w:line="240" w:lineRule="auto"/>
              <w:ind w:left="426" w:hanging="426"/>
              <w:jc w:val="left"/>
              <w:rPr>
                <w:rFonts w:asciiTheme="minorHAnsi" w:hAnsiTheme="minorHAnsi" w:cstheme="minorHAnsi"/>
                <w:szCs w:val="22"/>
              </w:rPr>
            </w:pPr>
            <w:r>
              <w:rPr>
                <w:rFonts w:asciiTheme="minorHAnsi" w:hAnsiTheme="minorHAnsi" w:cstheme="minorHAnsi"/>
                <w:szCs w:val="22"/>
              </w:rPr>
              <w:t>Intestinal T-cell lymphoma, NOS</w:t>
            </w:r>
          </w:p>
          <w:p w14:paraId="3F6CCD3E" w14:textId="77777777" w:rsidR="00942D0D" w:rsidRPr="00FC6FEE" w:rsidRDefault="00942D0D" w:rsidP="005C6EE4">
            <w:pPr>
              <w:pStyle w:val="Textkrper-Einzug2"/>
              <w:numPr>
                <w:ilvl w:val="0"/>
                <w:numId w:val="4"/>
              </w:numPr>
              <w:spacing w:after="0" w:line="240" w:lineRule="auto"/>
              <w:ind w:left="426" w:hanging="426"/>
              <w:jc w:val="left"/>
              <w:rPr>
                <w:rFonts w:asciiTheme="minorHAnsi" w:hAnsiTheme="minorHAnsi" w:cstheme="minorHAnsi"/>
                <w:szCs w:val="22"/>
                <w:lang w:val="en-US"/>
              </w:rPr>
            </w:pPr>
            <w:r w:rsidRPr="00FC6FEE">
              <w:rPr>
                <w:rFonts w:asciiTheme="minorHAnsi" w:hAnsiTheme="minorHAnsi" w:cstheme="minorHAnsi"/>
                <w:szCs w:val="22"/>
                <w:lang w:val="en-US"/>
              </w:rPr>
              <w:t>Indolent T-cell lymphoproliferative disorder of the gastrointestinal tract</w:t>
            </w:r>
          </w:p>
          <w:p w14:paraId="4C0A88FB" w14:textId="77777777" w:rsidR="00942D0D" w:rsidRDefault="00942D0D" w:rsidP="005C6EE4">
            <w:pPr>
              <w:pStyle w:val="Textkrper-Einzug2"/>
              <w:numPr>
                <w:ilvl w:val="0"/>
                <w:numId w:val="4"/>
              </w:numPr>
              <w:spacing w:after="0" w:line="240" w:lineRule="auto"/>
              <w:ind w:left="426" w:hanging="426"/>
              <w:jc w:val="left"/>
              <w:rPr>
                <w:rFonts w:asciiTheme="minorHAnsi" w:hAnsiTheme="minorHAnsi" w:cstheme="minorHAnsi"/>
                <w:szCs w:val="22"/>
                <w:lang w:val="en-GB"/>
              </w:rPr>
            </w:pPr>
            <w:r>
              <w:rPr>
                <w:rFonts w:asciiTheme="minorHAnsi" w:hAnsiTheme="minorHAnsi" w:cstheme="minorHAnsi"/>
                <w:szCs w:val="22"/>
                <w:lang w:val="en-GB"/>
              </w:rPr>
              <w:t>Hepatosplenic T-cell lymphoma</w:t>
            </w:r>
          </w:p>
          <w:p w14:paraId="4B35EDA2" w14:textId="77777777" w:rsidR="00942D0D" w:rsidRDefault="00942D0D" w:rsidP="005C6EE4">
            <w:pPr>
              <w:pStyle w:val="Textkrper-Einzug2"/>
              <w:numPr>
                <w:ilvl w:val="0"/>
                <w:numId w:val="4"/>
              </w:numPr>
              <w:spacing w:after="0" w:line="240" w:lineRule="auto"/>
              <w:ind w:left="426" w:hanging="426"/>
              <w:jc w:val="left"/>
              <w:rPr>
                <w:rFonts w:asciiTheme="minorHAnsi" w:hAnsiTheme="minorHAnsi" w:cstheme="minorHAnsi"/>
                <w:szCs w:val="22"/>
                <w:lang w:val="en-GB"/>
              </w:rPr>
            </w:pPr>
            <w:r>
              <w:rPr>
                <w:rFonts w:asciiTheme="minorHAnsi" w:hAnsiTheme="minorHAnsi" w:cstheme="minorHAnsi"/>
                <w:szCs w:val="22"/>
                <w:lang w:val="en-GB"/>
              </w:rPr>
              <w:t>Subcutaneous panniculitis-like T-cell lymphoma</w:t>
            </w:r>
          </w:p>
          <w:p w14:paraId="6EEA41A1" w14:textId="77777777" w:rsidR="00942D0D" w:rsidRDefault="00942D0D" w:rsidP="005C6EE4">
            <w:pPr>
              <w:pStyle w:val="Textkrper-Einzug2"/>
              <w:numPr>
                <w:ilvl w:val="0"/>
                <w:numId w:val="4"/>
              </w:numPr>
              <w:spacing w:after="0" w:line="240" w:lineRule="auto"/>
              <w:ind w:left="426" w:hanging="426"/>
              <w:jc w:val="left"/>
              <w:rPr>
                <w:rFonts w:asciiTheme="minorHAnsi" w:hAnsiTheme="minorHAnsi" w:cstheme="minorHAnsi"/>
                <w:szCs w:val="22"/>
                <w:lang w:val="en-GB"/>
              </w:rPr>
            </w:pPr>
            <w:r w:rsidRPr="009328DC">
              <w:rPr>
                <w:rFonts w:asciiTheme="minorHAnsi" w:hAnsiTheme="minorHAnsi" w:cstheme="minorHAnsi"/>
                <w:szCs w:val="22"/>
                <w:lang w:val="en-GB"/>
              </w:rPr>
              <w:t>Mycosis fungoides</w:t>
            </w:r>
          </w:p>
          <w:p w14:paraId="2BE4BF44" w14:textId="77777777" w:rsidR="00942D0D" w:rsidRPr="002B27E4" w:rsidRDefault="00942D0D" w:rsidP="005C6EE4">
            <w:pPr>
              <w:pStyle w:val="Textkrper-Einzug2"/>
              <w:numPr>
                <w:ilvl w:val="0"/>
                <w:numId w:val="4"/>
              </w:numPr>
              <w:spacing w:after="0" w:line="240" w:lineRule="auto"/>
              <w:ind w:left="426" w:hanging="426"/>
              <w:jc w:val="left"/>
              <w:rPr>
                <w:rFonts w:asciiTheme="minorHAnsi" w:hAnsiTheme="minorHAnsi" w:cstheme="minorHAnsi"/>
                <w:szCs w:val="22"/>
                <w:lang w:val="en-GB"/>
              </w:rPr>
            </w:pPr>
            <w:r>
              <w:rPr>
                <w:rFonts w:asciiTheme="minorHAnsi" w:hAnsiTheme="minorHAnsi" w:cstheme="minorHAnsi"/>
                <w:szCs w:val="22"/>
                <w:lang w:val="en-GB"/>
              </w:rPr>
              <w:t>Sézary syndrome</w:t>
            </w:r>
          </w:p>
        </w:tc>
        <w:tc>
          <w:tcPr>
            <w:tcW w:w="4761" w:type="dxa"/>
            <w:tcBorders>
              <w:top w:val="single" w:sz="4" w:space="0" w:color="auto"/>
              <w:left w:val="single" w:sz="4" w:space="0" w:color="auto"/>
              <w:bottom w:val="single" w:sz="4" w:space="0" w:color="auto"/>
              <w:right w:val="single" w:sz="4" w:space="0" w:color="auto"/>
            </w:tcBorders>
            <w:hideMark/>
          </w:tcPr>
          <w:p w14:paraId="018A5E43" w14:textId="77777777" w:rsidR="00942D0D" w:rsidRDefault="00942D0D" w:rsidP="005C6EE4">
            <w:pPr>
              <w:pStyle w:val="Textkrper-Einzug2"/>
              <w:numPr>
                <w:ilvl w:val="0"/>
                <w:numId w:val="4"/>
              </w:numPr>
              <w:spacing w:after="0" w:line="240" w:lineRule="auto"/>
              <w:ind w:left="426" w:hanging="426"/>
              <w:jc w:val="left"/>
              <w:rPr>
                <w:rFonts w:asciiTheme="minorHAnsi" w:hAnsiTheme="minorHAnsi" w:cstheme="minorHAnsi"/>
                <w:szCs w:val="22"/>
                <w:lang w:val="en-GB"/>
              </w:rPr>
            </w:pPr>
            <w:r>
              <w:rPr>
                <w:rFonts w:asciiTheme="minorHAnsi" w:hAnsiTheme="minorHAnsi" w:cstheme="minorHAnsi"/>
                <w:szCs w:val="22"/>
                <w:lang w:val="en-GB"/>
              </w:rPr>
              <w:t>Primary cutaneous CD30-positive T-cell lymphoproliferative disorders</w:t>
            </w:r>
          </w:p>
          <w:p w14:paraId="344ED98D" w14:textId="77777777" w:rsidR="00942D0D" w:rsidRDefault="00942D0D" w:rsidP="005C6EE4">
            <w:pPr>
              <w:pStyle w:val="Textkrper-Einzug2"/>
              <w:numPr>
                <w:ilvl w:val="0"/>
                <w:numId w:val="5"/>
              </w:numPr>
              <w:spacing w:after="0" w:line="240" w:lineRule="auto"/>
              <w:jc w:val="left"/>
              <w:rPr>
                <w:rFonts w:asciiTheme="minorHAnsi" w:hAnsiTheme="minorHAnsi" w:cstheme="minorHAnsi"/>
                <w:szCs w:val="22"/>
                <w:lang w:val="en-GB"/>
              </w:rPr>
            </w:pPr>
            <w:r>
              <w:rPr>
                <w:rFonts w:asciiTheme="minorHAnsi" w:hAnsiTheme="minorHAnsi" w:cstheme="minorHAnsi"/>
                <w:szCs w:val="22"/>
                <w:lang w:val="en-GB"/>
              </w:rPr>
              <w:t>Lymphomatoid papulosis</w:t>
            </w:r>
          </w:p>
          <w:p w14:paraId="4FFCCC51" w14:textId="77777777" w:rsidR="00942D0D" w:rsidRPr="009328DC" w:rsidRDefault="00942D0D" w:rsidP="005C6EE4">
            <w:pPr>
              <w:pStyle w:val="Textkrper-Einzug2"/>
              <w:numPr>
                <w:ilvl w:val="0"/>
                <w:numId w:val="5"/>
              </w:numPr>
              <w:spacing w:after="0" w:line="240" w:lineRule="auto"/>
              <w:jc w:val="left"/>
              <w:rPr>
                <w:rFonts w:asciiTheme="minorHAnsi" w:hAnsiTheme="minorHAnsi" w:cstheme="minorHAnsi"/>
                <w:szCs w:val="22"/>
                <w:lang w:val="en-GB"/>
              </w:rPr>
            </w:pPr>
            <w:r>
              <w:rPr>
                <w:rFonts w:asciiTheme="minorHAnsi" w:hAnsiTheme="minorHAnsi" w:cstheme="minorHAnsi"/>
                <w:szCs w:val="22"/>
                <w:lang w:val="en-GB"/>
              </w:rPr>
              <w:t>Primary cutaneous anaplastic large cell lymphoma</w:t>
            </w:r>
          </w:p>
          <w:p w14:paraId="30371974" w14:textId="77777777" w:rsidR="00942D0D" w:rsidRPr="002B27E4" w:rsidRDefault="00942D0D" w:rsidP="005C6EE4">
            <w:pPr>
              <w:pStyle w:val="Textkrper-Einzug2"/>
              <w:numPr>
                <w:ilvl w:val="0"/>
                <w:numId w:val="4"/>
              </w:numPr>
              <w:spacing w:after="0" w:line="240" w:lineRule="auto"/>
              <w:ind w:left="426" w:hanging="426"/>
              <w:jc w:val="left"/>
              <w:rPr>
                <w:rFonts w:asciiTheme="minorHAnsi" w:hAnsiTheme="minorHAnsi" w:cstheme="minorHAnsi"/>
                <w:szCs w:val="22"/>
                <w:lang w:val="en-GB"/>
              </w:rPr>
            </w:pPr>
            <w:r>
              <w:rPr>
                <w:rFonts w:asciiTheme="minorHAnsi" w:hAnsiTheme="minorHAnsi" w:cstheme="minorHAnsi"/>
                <w:szCs w:val="22"/>
                <w:lang w:val="en-GB"/>
              </w:rPr>
              <w:t>Primary cutaneous gamma delta T-cell lymphoma</w:t>
            </w:r>
          </w:p>
          <w:p w14:paraId="4CD84704" w14:textId="77777777" w:rsidR="00942D0D" w:rsidRDefault="00942D0D" w:rsidP="005C6EE4">
            <w:pPr>
              <w:pStyle w:val="Textkrper-Einzug2"/>
              <w:numPr>
                <w:ilvl w:val="0"/>
                <w:numId w:val="4"/>
              </w:numPr>
              <w:spacing w:after="0" w:line="240" w:lineRule="auto"/>
              <w:ind w:left="426" w:hanging="426"/>
              <w:jc w:val="left"/>
              <w:rPr>
                <w:rFonts w:asciiTheme="minorHAnsi" w:hAnsiTheme="minorHAnsi" w:cstheme="minorHAnsi"/>
                <w:szCs w:val="22"/>
                <w:lang w:val="en-GB"/>
              </w:rPr>
            </w:pPr>
            <w:r>
              <w:rPr>
                <w:rFonts w:asciiTheme="minorHAnsi" w:hAnsiTheme="minorHAnsi" w:cstheme="minorHAnsi"/>
                <w:szCs w:val="22"/>
                <w:lang w:val="en-GB"/>
              </w:rPr>
              <w:t>Primary cutaneous CD8-positive aggressive epidermotropic cytotoxic T-cell lymphoma</w:t>
            </w:r>
          </w:p>
          <w:p w14:paraId="2029300F" w14:textId="77777777" w:rsidR="00942D0D" w:rsidRDefault="00942D0D" w:rsidP="005C6EE4">
            <w:pPr>
              <w:pStyle w:val="Textkrper-Einzug2"/>
              <w:numPr>
                <w:ilvl w:val="0"/>
                <w:numId w:val="4"/>
              </w:numPr>
              <w:spacing w:after="0" w:line="240" w:lineRule="auto"/>
              <w:ind w:left="426" w:hanging="426"/>
              <w:jc w:val="left"/>
              <w:rPr>
                <w:rFonts w:asciiTheme="minorHAnsi" w:hAnsiTheme="minorHAnsi" w:cstheme="minorHAnsi"/>
                <w:szCs w:val="22"/>
                <w:lang w:val="en-GB"/>
              </w:rPr>
            </w:pPr>
            <w:r>
              <w:rPr>
                <w:rFonts w:asciiTheme="minorHAnsi" w:hAnsiTheme="minorHAnsi" w:cstheme="minorHAnsi"/>
                <w:szCs w:val="22"/>
                <w:lang w:val="en-GB"/>
              </w:rPr>
              <w:t>Primary cutaneous acral CD8-positive T-cell lymphoma</w:t>
            </w:r>
          </w:p>
          <w:p w14:paraId="67256D7D" w14:textId="77777777" w:rsidR="00942D0D" w:rsidRDefault="00942D0D" w:rsidP="005C6EE4">
            <w:pPr>
              <w:pStyle w:val="Textkrper-Einzug2"/>
              <w:numPr>
                <w:ilvl w:val="0"/>
                <w:numId w:val="4"/>
              </w:numPr>
              <w:spacing w:after="0" w:line="240" w:lineRule="auto"/>
              <w:ind w:left="426" w:hanging="426"/>
              <w:jc w:val="left"/>
              <w:rPr>
                <w:rFonts w:asciiTheme="minorHAnsi" w:hAnsiTheme="minorHAnsi" w:cstheme="minorHAnsi"/>
                <w:szCs w:val="22"/>
                <w:lang w:val="en-GB"/>
              </w:rPr>
            </w:pPr>
            <w:r>
              <w:rPr>
                <w:rFonts w:asciiTheme="minorHAnsi" w:hAnsiTheme="minorHAnsi" w:cstheme="minorHAnsi"/>
                <w:szCs w:val="22"/>
                <w:lang w:val="en-GB"/>
              </w:rPr>
              <w:t>Primary cutaneous CD4-positive small/medium T-cell lymphoproliferative disorder</w:t>
            </w:r>
          </w:p>
          <w:p w14:paraId="21E63D89" w14:textId="77777777" w:rsidR="00942D0D" w:rsidRDefault="00942D0D" w:rsidP="005C6EE4">
            <w:pPr>
              <w:pStyle w:val="Textkrper-Einzug2"/>
              <w:numPr>
                <w:ilvl w:val="0"/>
                <w:numId w:val="4"/>
              </w:numPr>
              <w:spacing w:after="0" w:line="240" w:lineRule="auto"/>
              <w:ind w:left="426" w:hanging="426"/>
              <w:jc w:val="left"/>
              <w:rPr>
                <w:rFonts w:asciiTheme="minorHAnsi" w:hAnsiTheme="minorHAnsi" w:cstheme="minorHAnsi"/>
                <w:szCs w:val="22"/>
              </w:rPr>
            </w:pPr>
            <w:r>
              <w:rPr>
                <w:rFonts w:asciiTheme="minorHAnsi" w:hAnsiTheme="minorHAnsi" w:cstheme="minorHAnsi"/>
                <w:szCs w:val="22"/>
              </w:rPr>
              <w:t>Peripheral T-cell lymphoma, NOS</w:t>
            </w:r>
          </w:p>
          <w:p w14:paraId="18D3848B" w14:textId="77777777" w:rsidR="00942D0D" w:rsidRPr="002B27E4" w:rsidRDefault="00942D0D" w:rsidP="005C6EE4">
            <w:pPr>
              <w:pStyle w:val="Textkrper-Einzug2"/>
              <w:numPr>
                <w:ilvl w:val="0"/>
                <w:numId w:val="4"/>
              </w:numPr>
              <w:spacing w:after="0" w:line="240" w:lineRule="auto"/>
              <w:ind w:left="426" w:hanging="426"/>
              <w:jc w:val="left"/>
              <w:rPr>
                <w:rFonts w:asciiTheme="minorHAnsi" w:hAnsiTheme="minorHAnsi" w:cstheme="minorHAnsi"/>
                <w:szCs w:val="22"/>
              </w:rPr>
            </w:pPr>
            <w:r w:rsidRPr="002B27E4">
              <w:rPr>
                <w:rFonts w:asciiTheme="minorHAnsi" w:hAnsiTheme="minorHAnsi" w:cstheme="minorHAnsi"/>
                <w:szCs w:val="22"/>
                <w:lang w:val="en-GB"/>
              </w:rPr>
              <w:t>Angioimmunoblastic T-cell lymphoma</w:t>
            </w:r>
          </w:p>
          <w:p w14:paraId="05907ED3" w14:textId="77777777" w:rsidR="00942D0D" w:rsidRPr="00DD618D" w:rsidRDefault="00942D0D" w:rsidP="005C6EE4">
            <w:pPr>
              <w:pStyle w:val="Textkrper-Einzug2"/>
              <w:numPr>
                <w:ilvl w:val="0"/>
                <w:numId w:val="4"/>
              </w:numPr>
              <w:spacing w:after="0" w:line="240" w:lineRule="auto"/>
              <w:ind w:left="426" w:hanging="426"/>
              <w:jc w:val="left"/>
              <w:rPr>
                <w:rFonts w:asciiTheme="minorHAnsi" w:hAnsiTheme="minorHAnsi" w:cstheme="minorHAnsi"/>
                <w:szCs w:val="22"/>
                <w:lang w:val="en-US"/>
              </w:rPr>
            </w:pPr>
            <w:r>
              <w:rPr>
                <w:rFonts w:asciiTheme="minorHAnsi" w:hAnsiTheme="minorHAnsi" w:cstheme="minorHAnsi"/>
                <w:szCs w:val="22"/>
                <w:lang w:val="en-GB"/>
              </w:rPr>
              <w:t>Follicular T-cell lymphoma</w:t>
            </w:r>
          </w:p>
          <w:p w14:paraId="135E0C38" w14:textId="77777777" w:rsidR="00942D0D" w:rsidRPr="00FC6FEE" w:rsidRDefault="00942D0D" w:rsidP="005C6EE4">
            <w:pPr>
              <w:pStyle w:val="Textkrper-Einzug2"/>
              <w:numPr>
                <w:ilvl w:val="0"/>
                <w:numId w:val="4"/>
              </w:numPr>
              <w:spacing w:after="0" w:line="240" w:lineRule="auto"/>
              <w:ind w:left="426" w:hanging="426"/>
              <w:jc w:val="left"/>
              <w:rPr>
                <w:rFonts w:asciiTheme="minorHAnsi" w:hAnsiTheme="minorHAnsi" w:cstheme="minorHAnsi"/>
                <w:szCs w:val="22"/>
                <w:lang w:val="en-US"/>
              </w:rPr>
            </w:pPr>
            <w:r>
              <w:rPr>
                <w:rFonts w:asciiTheme="minorHAnsi" w:hAnsiTheme="minorHAnsi" w:cstheme="minorHAnsi"/>
                <w:szCs w:val="22"/>
                <w:lang w:val="en-GB"/>
              </w:rPr>
              <w:t>Nodal peripheral T-cell lymphoma with T follicular helper phenotype</w:t>
            </w:r>
          </w:p>
          <w:p w14:paraId="1A07703A" w14:textId="77777777" w:rsidR="00942D0D" w:rsidRPr="00FC6FEE" w:rsidRDefault="00942D0D" w:rsidP="005C6EE4">
            <w:pPr>
              <w:pStyle w:val="Textkrper-Einzug2"/>
              <w:numPr>
                <w:ilvl w:val="0"/>
                <w:numId w:val="4"/>
              </w:numPr>
              <w:spacing w:after="0" w:line="240" w:lineRule="auto"/>
              <w:ind w:left="426" w:hanging="426"/>
              <w:jc w:val="left"/>
              <w:rPr>
                <w:rFonts w:asciiTheme="minorHAnsi" w:hAnsiTheme="minorHAnsi" w:cstheme="minorHAnsi"/>
                <w:szCs w:val="22"/>
                <w:lang w:val="en-US"/>
              </w:rPr>
            </w:pPr>
            <w:r>
              <w:rPr>
                <w:rFonts w:asciiTheme="minorHAnsi" w:hAnsiTheme="minorHAnsi" w:cstheme="minorHAnsi"/>
                <w:szCs w:val="22"/>
                <w:lang w:val="en-GB"/>
              </w:rPr>
              <w:t>Anaplastic large cell lymphoma, ALK-positive</w:t>
            </w:r>
          </w:p>
          <w:p w14:paraId="2A69172C" w14:textId="77777777" w:rsidR="00942D0D" w:rsidRPr="00FC6FEE" w:rsidRDefault="00942D0D" w:rsidP="005C6EE4">
            <w:pPr>
              <w:pStyle w:val="Textkrper-Einzug2"/>
              <w:numPr>
                <w:ilvl w:val="0"/>
                <w:numId w:val="4"/>
              </w:numPr>
              <w:spacing w:after="0" w:line="240" w:lineRule="auto"/>
              <w:ind w:left="426" w:hanging="426"/>
              <w:jc w:val="left"/>
              <w:rPr>
                <w:rFonts w:asciiTheme="minorHAnsi" w:hAnsiTheme="minorHAnsi" w:cstheme="minorHAnsi"/>
                <w:szCs w:val="22"/>
                <w:lang w:val="en-US"/>
              </w:rPr>
            </w:pPr>
            <w:r>
              <w:rPr>
                <w:rFonts w:asciiTheme="minorHAnsi" w:hAnsiTheme="minorHAnsi" w:cstheme="minorHAnsi"/>
                <w:szCs w:val="22"/>
                <w:lang w:val="en-GB"/>
              </w:rPr>
              <w:t>Anaplastic large cell lymphoma, ALK-negative</w:t>
            </w:r>
          </w:p>
          <w:p w14:paraId="1CAAAC02" w14:textId="77777777" w:rsidR="00942D0D" w:rsidRPr="00FC6FEE" w:rsidRDefault="00942D0D" w:rsidP="005C6EE4">
            <w:pPr>
              <w:pStyle w:val="Textkrper-Einzug2"/>
              <w:numPr>
                <w:ilvl w:val="0"/>
                <w:numId w:val="4"/>
              </w:numPr>
              <w:spacing w:after="0" w:line="240" w:lineRule="auto"/>
              <w:ind w:left="426" w:hanging="426"/>
              <w:jc w:val="left"/>
              <w:rPr>
                <w:rFonts w:asciiTheme="minorHAnsi" w:hAnsiTheme="minorHAnsi" w:cstheme="minorHAnsi"/>
                <w:szCs w:val="22"/>
                <w:lang w:val="en-US"/>
              </w:rPr>
            </w:pPr>
            <w:r>
              <w:rPr>
                <w:rFonts w:asciiTheme="minorHAnsi" w:hAnsiTheme="minorHAnsi" w:cstheme="minorHAnsi"/>
                <w:szCs w:val="22"/>
                <w:lang w:val="en-GB"/>
              </w:rPr>
              <w:t>Breast implant-associated anaplastic large cell lymphoma</w:t>
            </w:r>
          </w:p>
          <w:p w14:paraId="5A9584F8" w14:textId="77777777" w:rsidR="00942D0D" w:rsidRPr="00FC6FEE" w:rsidRDefault="00942D0D" w:rsidP="007374FB">
            <w:pPr>
              <w:pStyle w:val="Textkrper-Einzug2"/>
              <w:spacing w:after="0" w:line="240" w:lineRule="auto"/>
              <w:ind w:left="426"/>
              <w:jc w:val="left"/>
              <w:rPr>
                <w:rFonts w:asciiTheme="minorHAnsi" w:hAnsiTheme="minorHAnsi" w:cstheme="minorHAnsi"/>
                <w:szCs w:val="22"/>
                <w:lang w:val="en-US"/>
              </w:rPr>
            </w:pPr>
          </w:p>
        </w:tc>
      </w:tr>
    </w:tbl>
    <w:p w14:paraId="66DFDAE8" w14:textId="77777777" w:rsidR="0055153F" w:rsidRPr="004501B1" w:rsidRDefault="0055153F" w:rsidP="007374FB">
      <w:pPr>
        <w:pStyle w:val="Textkrper-Einzug2"/>
        <w:spacing w:after="0" w:line="276" w:lineRule="auto"/>
        <w:ind w:left="0"/>
        <w:jc w:val="left"/>
        <w:rPr>
          <w:rFonts w:asciiTheme="minorHAnsi" w:hAnsiTheme="minorHAnsi" w:cstheme="minorHAnsi"/>
          <w:b/>
          <w:szCs w:val="22"/>
          <w:lang w:val="en-GB"/>
        </w:rPr>
      </w:pPr>
    </w:p>
    <w:p w14:paraId="34DDF057" w14:textId="77777777" w:rsidR="008C2027" w:rsidRPr="00942D0D" w:rsidRDefault="00942D0D" w:rsidP="007374FB">
      <w:pPr>
        <w:pStyle w:val="berschrift2"/>
        <w:jc w:val="left"/>
      </w:pPr>
      <w:bookmarkStart w:id="10" w:name="_Toc61379684"/>
      <w:r>
        <w:t>2.4</w:t>
      </w:r>
      <w:r>
        <w:tab/>
      </w:r>
      <w:r w:rsidR="008C2027" w:rsidRPr="00942D0D">
        <w:t>Typische Befund</w:t>
      </w:r>
      <w:r w:rsidR="00CE716C" w:rsidRPr="00942D0D">
        <w:t>konstellationen verschiedener Subtypen</w:t>
      </w:r>
      <w:bookmarkEnd w:id="10"/>
    </w:p>
    <w:p w14:paraId="415A0F53" w14:textId="77777777" w:rsidR="00A53E3B" w:rsidRPr="005F5829" w:rsidRDefault="009B4345" w:rsidP="004501B1">
      <w:pPr>
        <w:pStyle w:val="Textkrper-Einzug2"/>
        <w:spacing w:after="0" w:line="276" w:lineRule="auto"/>
        <w:ind w:left="0"/>
        <w:jc w:val="both"/>
        <w:rPr>
          <w:rFonts w:asciiTheme="minorHAnsi" w:hAnsiTheme="minorHAnsi" w:cstheme="minorHAnsi"/>
          <w:szCs w:val="22"/>
        </w:rPr>
      </w:pPr>
      <w:r w:rsidRPr="006F0A22">
        <w:rPr>
          <w:rFonts w:asciiTheme="minorHAnsi" w:hAnsiTheme="minorHAnsi" w:cstheme="minorHAnsi"/>
          <w:szCs w:val="22"/>
        </w:rPr>
        <w:t xml:space="preserve">Der </w:t>
      </w:r>
      <w:r w:rsidR="00B514CF" w:rsidRPr="006F0A22">
        <w:rPr>
          <w:rFonts w:asciiTheme="minorHAnsi" w:hAnsiTheme="minorHAnsi" w:cstheme="minorHAnsi"/>
          <w:szCs w:val="22"/>
        </w:rPr>
        <w:t>Klonalitätsnachweis eines</w:t>
      </w:r>
      <w:r w:rsidR="000755F0" w:rsidRPr="006F0A22">
        <w:rPr>
          <w:rFonts w:asciiTheme="minorHAnsi" w:hAnsiTheme="minorHAnsi" w:cstheme="minorHAnsi"/>
          <w:szCs w:val="22"/>
        </w:rPr>
        <w:t xml:space="preserve"> T-</w:t>
      </w:r>
      <w:r w:rsidR="000755F0" w:rsidRPr="005F5829">
        <w:rPr>
          <w:rFonts w:asciiTheme="minorHAnsi" w:hAnsiTheme="minorHAnsi" w:cstheme="minorHAnsi"/>
          <w:szCs w:val="22"/>
        </w:rPr>
        <w:t>Zellrezeptor-Gen-Rearrangement</w:t>
      </w:r>
      <w:r w:rsidR="00B514CF" w:rsidRPr="005F5829">
        <w:rPr>
          <w:rFonts w:asciiTheme="minorHAnsi" w:hAnsiTheme="minorHAnsi" w:cstheme="minorHAnsi"/>
          <w:szCs w:val="22"/>
        </w:rPr>
        <w:t>s</w:t>
      </w:r>
      <w:r w:rsidR="000755F0" w:rsidRPr="005F5829">
        <w:rPr>
          <w:rFonts w:asciiTheme="minorHAnsi" w:hAnsiTheme="minorHAnsi" w:cstheme="minorHAnsi"/>
          <w:szCs w:val="22"/>
        </w:rPr>
        <w:t xml:space="preserve"> </w:t>
      </w:r>
      <w:r w:rsidR="00B514CF" w:rsidRPr="005F5829">
        <w:rPr>
          <w:rFonts w:asciiTheme="minorHAnsi" w:hAnsiTheme="minorHAnsi" w:cstheme="minorHAnsi"/>
          <w:szCs w:val="22"/>
        </w:rPr>
        <w:t xml:space="preserve">gelingt </w:t>
      </w:r>
      <w:r w:rsidR="000755F0" w:rsidRPr="005F5829">
        <w:rPr>
          <w:rFonts w:asciiTheme="minorHAnsi" w:hAnsiTheme="minorHAnsi" w:cstheme="minorHAnsi"/>
          <w:szCs w:val="22"/>
        </w:rPr>
        <w:t xml:space="preserve">mittels PCR bei allen Entitäten außer bei </w:t>
      </w:r>
      <w:r w:rsidR="0055153F" w:rsidRPr="005F5829">
        <w:rPr>
          <w:rFonts w:asciiTheme="minorHAnsi" w:hAnsiTheme="minorHAnsi" w:cstheme="minorHAnsi"/>
          <w:szCs w:val="22"/>
        </w:rPr>
        <w:t>den extranodalen NK/T-Zell-L</w:t>
      </w:r>
      <w:r w:rsidR="000755F0" w:rsidRPr="005F5829">
        <w:rPr>
          <w:rFonts w:asciiTheme="minorHAnsi" w:hAnsiTheme="minorHAnsi" w:cstheme="minorHAnsi"/>
          <w:szCs w:val="22"/>
        </w:rPr>
        <w:t>ymphom</w:t>
      </w:r>
      <w:r w:rsidR="0055153F" w:rsidRPr="005F5829">
        <w:rPr>
          <w:rFonts w:asciiTheme="minorHAnsi" w:hAnsiTheme="minorHAnsi" w:cstheme="minorHAnsi"/>
          <w:szCs w:val="22"/>
        </w:rPr>
        <w:t>en</w:t>
      </w:r>
      <w:r w:rsidR="00A53E3B" w:rsidRPr="005F5829">
        <w:rPr>
          <w:rFonts w:asciiTheme="minorHAnsi" w:hAnsiTheme="minorHAnsi" w:cstheme="minorHAnsi"/>
          <w:szCs w:val="22"/>
        </w:rPr>
        <w:t xml:space="preserve">. </w:t>
      </w:r>
      <w:r w:rsidR="003E3DA7" w:rsidRPr="005F5829">
        <w:rPr>
          <w:rFonts w:asciiTheme="minorHAnsi" w:hAnsiTheme="minorHAnsi" w:cstheme="minorHAnsi"/>
          <w:szCs w:val="22"/>
        </w:rPr>
        <w:t>(</w:t>
      </w:r>
      <w:r w:rsidR="003E3DA7" w:rsidRPr="00C75201">
        <w:rPr>
          <w:rFonts w:asciiTheme="minorHAnsi" w:hAnsiTheme="minorHAnsi" w:cstheme="minorHAnsi"/>
          <w:szCs w:val="22"/>
        </w:rPr>
        <w:t xml:space="preserve">Miyata-Takata T, 2018; </w:t>
      </w:r>
      <w:r w:rsidR="003F6EA9" w:rsidRPr="00C75201">
        <w:rPr>
          <w:rFonts w:asciiTheme="minorHAnsi" w:hAnsiTheme="minorHAnsi" w:cstheme="minorHAnsi"/>
          <w:szCs w:val="22"/>
        </w:rPr>
        <w:t>Takayama T 2018</w:t>
      </w:r>
      <w:r w:rsidR="003E3DA7" w:rsidRPr="005F5829">
        <w:rPr>
          <w:rFonts w:asciiTheme="minorHAnsi" w:hAnsiTheme="minorHAnsi" w:cstheme="minorHAnsi"/>
          <w:szCs w:val="22"/>
        </w:rPr>
        <w:t>)</w:t>
      </w:r>
    </w:p>
    <w:p w14:paraId="370AB533" w14:textId="77E2B02F" w:rsidR="00A53E3B" w:rsidRPr="00E57A6B" w:rsidRDefault="00BA0BE5" w:rsidP="004501B1">
      <w:pPr>
        <w:pStyle w:val="Textkrper-Einzug2"/>
        <w:spacing w:after="0" w:line="276" w:lineRule="auto"/>
        <w:ind w:left="0"/>
        <w:jc w:val="both"/>
        <w:rPr>
          <w:rFonts w:asciiTheme="minorHAnsi" w:hAnsiTheme="minorHAnsi" w:cstheme="minorHAnsi"/>
          <w:color w:val="000000" w:themeColor="text1"/>
          <w:szCs w:val="22"/>
        </w:rPr>
      </w:pPr>
      <w:r w:rsidRPr="005F5829">
        <w:rPr>
          <w:rFonts w:asciiTheme="minorHAnsi" w:hAnsiTheme="minorHAnsi" w:cstheme="minorHAnsi"/>
          <w:szCs w:val="22"/>
        </w:rPr>
        <w:t>Das ALK-positive</w:t>
      </w:r>
      <w:r w:rsidR="009B4345" w:rsidRPr="005F5829">
        <w:rPr>
          <w:rFonts w:asciiTheme="minorHAnsi" w:hAnsiTheme="minorHAnsi" w:cstheme="minorHAnsi"/>
          <w:szCs w:val="22"/>
        </w:rPr>
        <w:t xml:space="preserve"> ALCL ist mit der Translokation t(2;5) (p23;q35) assoziiert, </w:t>
      </w:r>
      <w:r w:rsidR="0055153F" w:rsidRPr="005F5829">
        <w:rPr>
          <w:rFonts w:asciiTheme="minorHAnsi" w:hAnsiTheme="minorHAnsi" w:cstheme="minorHAnsi"/>
          <w:szCs w:val="22"/>
        </w:rPr>
        <w:t>dies führt</w:t>
      </w:r>
      <w:r w:rsidR="009B4345" w:rsidRPr="005F5829">
        <w:rPr>
          <w:rFonts w:asciiTheme="minorHAnsi" w:hAnsiTheme="minorHAnsi" w:cstheme="minorHAnsi"/>
          <w:szCs w:val="22"/>
        </w:rPr>
        <w:t xml:space="preserve"> zur aberranten Expression eines NPM-ALK-Fusionsproteins und </w:t>
      </w:r>
      <w:r w:rsidR="0055153F" w:rsidRPr="005F5829">
        <w:rPr>
          <w:rFonts w:asciiTheme="minorHAnsi" w:hAnsiTheme="minorHAnsi" w:cstheme="minorHAnsi"/>
          <w:szCs w:val="22"/>
        </w:rPr>
        <w:t xml:space="preserve">geht </w:t>
      </w:r>
      <w:r w:rsidR="009B4345" w:rsidRPr="005F5829">
        <w:rPr>
          <w:rFonts w:asciiTheme="minorHAnsi" w:hAnsiTheme="minorHAnsi" w:cstheme="minorHAnsi"/>
          <w:szCs w:val="22"/>
        </w:rPr>
        <w:t>mit einer deutlich</w:t>
      </w:r>
      <w:r w:rsidR="0055153F" w:rsidRPr="005F5829">
        <w:rPr>
          <w:rFonts w:asciiTheme="minorHAnsi" w:hAnsiTheme="minorHAnsi" w:cstheme="minorHAnsi"/>
          <w:szCs w:val="22"/>
        </w:rPr>
        <w:t xml:space="preserve"> günstigeren Prognose einher</w:t>
      </w:r>
      <w:r w:rsidR="003F6EA9" w:rsidRPr="005F5829">
        <w:rPr>
          <w:rFonts w:asciiTheme="minorHAnsi" w:hAnsiTheme="minorHAnsi" w:cstheme="minorHAnsi"/>
          <w:szCs w:val="22"/>
        </w:rPr>
        <w:t xml:space="preserve"> (</w:t>
      </w:r>
      <w:r w:rsidR="003F6EA9" w:rsidRPr="004501B1">
        <w:rPr>
          <w:rFonts w:asciiTheme="minorHAnsi" w:hAnsiTheme="minorHAnsi" w:cstheme="minorHAnsi"/>
          <w:szCs w:val="22"/>
        </w:rPr>
        <w:t>Amin HM</w:t>
      </w:r>
      <w:r w:rsidR="003F6EA9" w:rsidRPr="005F5829">
        <w:rPr>
          <w:rFonts w:asciiTheme="minorHAnsi" w:hAnsiTheme="minorHAnsi" w:cstheme="minorHAnsi"/>
          <w:szCs w:val="22"/>
        </w:rPr>
        <w:t>)</w:t>
      </w:r>
      <w:r w:rsidR="009B4345" w:rsidRPr="005F5829">
        <w:rPr>
          <w:rFonts w:asciiTheme="minorHAnsi" w:hAnsiTheme="minorHAnsi" w:cstheme="minorHAnsi"/>
          <w:szCs w:val="22"/>
        </w:rPr>
        <w:t xml:space="preserve">. </w:t>
      </w:r>
      <w:r w:rsidR="00A53E3B" w:rsidRPr="005F5829">
        <w:rPr>
          <w:rFonts w:asciiTheme="minorHAnsi" w:hAnsiTheme="minorHAnsi" w:cstheme="minorHAnsi"/>
          <w:szCs w:val="22"/>
        </w:rPr>
        <w:t xml:space="preserve">Der </w:t>
      </w:r>
      <w:r w:rsidR="000755F0" w:rsidRPr="005F5829">
        <w:rPr>
          <w:rFonts w:asciiTheme="minorHAnsi" w:hAnsiTheme="minorHAnsi" w:cstheme="minorHAnsi"/>
          <w:szCs w:val="22"/>
        </w:rPr>
        <w:t xml:space="preserve">Nachweis von CD30, ALK-Expression </w:t>
      </w:r>
      <w:r w:rsidRPr="005F5829">
        <w:rPr>
          <w:rFonts w:asciiTheme="minorHAnsi" w:hAnsiTheme="minorHAnsi" w:cstheme="minorHAnsi"/>
          <w:szCs w:val="22"/>
        </w:rPr>
        <w:t xml:space="preserve">bei allen ALCL </w:t>
      </w:r>
      <w:r w:rsidR="000755F0" w:rsidRPr="005F5829">
        <w:rPr>
          <w:rFonts w:asciiTheme="minorHAnsi" w:hAnsiTheme="minorHAnsi" w:cstheme="minorHAnsi"/>
          <w:szCs w:val="22"/>
        </w:rPr>
        <w:t>sowie DUSP22</w:t>
      </w:r>
      <w:r w:rsidR="00F5251D" w:rsidRPr="005F5829">
        <w:rPr>
          <w:rFonts w:asciiTheme="minorHAnsi" w:hAnsiTheme="minorHAnsi" w:cstheme="minorHAnsi"/>
          <w:szCs w:val="22"/>
        </w:rPr>
        <w:t>/IRF4</w:t>
      </w:r>
      <w:r w:rsidR="009B4345" w:rsidRPr="005F5829">
        <w:rPr>
          <w:rFonts w:asciiTheme="minorHAnsi" w:hAnsiTheme="minorHAnsi" w:cstheme="minorHAnsi"/>
          <w:szCs w:val="22"/>
        </w:rPr>
        <w:t>-R</w:t>
      </w:r>
      <w:r w:rsidR="003F6EA9" w:rsidRPr="005F5829">
        <w:rPr>
          <w:rFonts w:asciiTheme="minorHAnsi" w:hAnsiTheme="minorHAnsi" w:cstheme="minorHAnsi"/>
          <w:szCs w:val="22"/>
        </w:rPr>
        <w:t xml:space="preserve">earrangement </w:t>
      </w:r>
      <w:r w:rsidRPr="005F5829">
        <w:rPr>
          <w:rFonts w:asciiTheme="minorHAnsi" w:hAnsiTheme="minorHAnsi" w:cstheme="minorHAnsi"/>
          <w:szCs w:val="22"/>
        </w:rPr>
        <w:t xml:space="preserve">bei </w:t>
      </w:r>
      <w:r w:rsidR="0065450E" w:rsidRPr="005F5829">
        <w:rPr>
          <w:rFonts w:asciiTheme="minorHAnsi" w:hAnsiTheme="minorHAnsi" w:cstheme="minorHAnsi"/>
          <w:szCs w:val="22"/>
        </w:rPr>
        <w:t>ALK-negativ</w:t>
      </w:r>
      <w:r w:rsidRPr="005F5829">
        <w:rPr>
          <w:rFonts w:asciiTheme="minorHAnsi" w:hAnsiTheme="minorHAnsi" w:cstheme="minorHAnsi"/>
          <w:szCs w:val="22"/>
        </w:rPr>
        <w:t>en ALCL ist</w:t>
      </w:r>
      <w:r w:rsidR="00A53E3B" w:rsidRPr="005F5829">
        <w:rPr>
          <w:rFonts w:asciiTheme="minorHAnsi" w:hAnsiTheme="minorHAnsi" w:cstheme="minorHAnsi"/>
          <w:szCs w:val="22"/>
        </w:rPr>
        <w:t xml:space="preserve"> ein</w:t>
      </w:r>
      <w:r w:rsidR="000755F0" w:rsidRPr="005F5829">
        <w:rPr>
          <w:rFonts w:asciiTheme="minorHAnsi" w:hAnsiTheme="minorHAnsi" w:cstheme="minorHAnsi"/>
          <w:szCs w:val="22"/>
        </w:rPr>
        <w:t xml:space="preserve"> wichtige</w:t>
      </w:r>
      <w:r w:rsidR="00A53E3B" w:rsidRPr="005F5829">
        <w:rPr>
          <w:rFonts w:asciiTheme="minorHAnsi" w:hAnsiTheme="minorHAnsi" w:cstheme="minorHAnsi"/>
          <w:szCs w:val="22"/>
        </w:rPr>
        <w:t>r</w:t>
      </w:r>
      <w:r w:rsidR="000755F0" w:rsidRPr="005F5829">
        <w:rPr>
          <w:rFonts w:asciiTheme="minorHAnsi" w:hAnsiTheme="minorHAnsi" w:cstheme="minorHAnsi"/>
          <w:szCs w:val="22"/>
        </w:rPr>
        <w:t xml:space="preserve"> </w:t>
      </w:r>
      <w:r w:rsidR="00F05313" w:rsidRPr="005F5829">
        <w:rPr>
          <w:rFonts w:asciiTheme="minorHAnsi" w:hAnsiTheme="minorHAnsi" w:cstheme="minorHAnsi"/>
          <w:szCs w:val="22"/>
        </w:rPr>
        <w:t>prognosti</w:t>
      </w:r>
      <w:r w:rsidR="000755F0" w:rsidRPr="005F5829">
        <w:rPr>
          <w:rFonts w:asciiTheme="minorHAnsi" w:hAnsiTheme="minorHAnsi" w:cstheme="minorHAnsi"/>
          <w:szCs w:val="22"/>
        </w:rPr>
        <w:t>scher Indikator</w:t>
      </w:r>
      <w:r w:rsidR="00F05313" w:rsidRPr="005F5829">
        <w:rPr>
          <w:rFonts w:asciiTheme="minorHAnsi" w:hAnsiTheme="minorHAnsi" w:cstheme="minorHAnsi"/>
          <w:szCs w:val="22"/>
        </w:rPr>
        <w:t xml:space="preserve"> hinsichtlich einer günstigeren Prognose</w:t>
      </w:r>
      <w:r w:rsidRPr="005F5829">
        <w:rPr>
          <w:rFonts w:asciiTheme="minorHAnsi" w:hAnsiTheme="minorHAnsi" w:cstheme="minorHAnsi"/>
          <w:szCs w:val="22"/>
        </w:rPr>
        <w:t>.</w:t>
      </w:r>
      <w:r w:rsidR="009B4345" w:rsidRPr="005F5829">
        <w:rPr>
          <w:rFonts w:asciiTheme="minorHAnsi" w:hAnsiTheme="minorHAnsi" w:cstheme="minorHAnsi"/>
          <w:szCs w:val="22"/>
        </w:rPr>
        <w:t xml:space="preserve"> </w:t>
      </w:r>
      <w:r w:rsidR="009B4345" w:rsidRPr="00E57A6B">
        <w:rPr>
          <w:rFonts w:asciiTheme="minorHAnsi" w:hAnsiTheme="minorHAnsi" w:cstheme="minorHAnsi"/>
          <w:color w:val="000000" w:themeColor="text1"/>
          <w:szCs w:val="22"/>
        </w:rPr>
        <w:t xml:space="preserve">Wohingegen </w:t>
      </w:r>
      <w:r w:rsidR="00F5251D" w:rsidRPr="00E57A6B">
        <w:rPr>
          <w:rFonts w:asciiTheme="minorHAnsi" w:hAnsiTheme="minorHAnsi" w:cstheme="minorHAnsi"/>
          <w:color w:val="000000" w:themeColor="text1"/>
          <w:szCs w:val="22"/>
        </w:rPr>
        <w:t>ein</w:t>
      </w:r>
      <w:r w:rsidRPr="00E57A6B">
        <w:rPr>
          <w:rFonts w:asciiTheme="minorHAnsi" w:hAnsiTheme="minorHAnsi" w:cstheme="minorHAnsi"/>
          <w:color w:val="000000" w:themeColor="text1"/>
          <w:szCs w:val="22"/>
        </w:rPr>
        <w:t xml:space="preserve"> TP5</w:t>
      </w:r>
      <w:r w:rsidR="009B4345" w:rsidRPr="00E57A6B">
        <w:rPr>
          <w:rFonts w:asciiTheme="minorHAnsi" w:hAnsiTheme="minorHAnsi" w:cstheme="minorHAnsi"/>
          <w:color w:val="000000" w:themeColor="text1"/>
          <w:szCs w:val="22"/>
        </w:rPr>
        <w:t xml:space="preserve">3-Rearrengement </w:t>
      </w:r>
      <w:r w:rsidR="00336828" w:rsidRPr="00E57A6B">
        <w:rPr>
          <w:rFonts w:asciiTheme="minorHAnsi" w:hAnsiTheme="minorHAnsi" w:cstheme="minorHAnsi"/>
          <w:color w:val="000000" w:themeColor="text1"/>
          <w:szCs w:val="22"/>
        </w:rPr>
        <w:t>mit einem</w:t>
      </w:r>
      <w:r w:rsidR="0065450E" w:rsidRPr="00E57A6B">
        <w:rPr>
          <w:rFonts w:asciiTheme="minorHAnsi" w:hAnsiTheme="minorHAnsi" w:cstheme="minorHAnsi"/>
          <w:color w:val="000000" w:themeColor="text1"/>
          <w:szCs w:val="22"/>
        </w:rPr>
        <w:t xml:space="preserve"> aggressiveren Verlauf </w:t>
      </w:r>
      <w:r w:rsidRPr="00E57A6B">
        <w:rPr>
          <w:rFonts w:asciiTheme="minorHAnsi" w:hAnsiTheme="minorHAnsi" w:cstheme="minorHAnsi"/>
          <w:color w:val="000000" w:themeColor="text1"/>
          <w:szCs w:val="22"/>
        </w:rPr>
        <w:t>vergesellschaftet ist</w:t>
      </w:r>
      <w:r w:rsidR="003F6EA9" w:rsidRPr="00E57A6B">
        <w:rPr>
          <w:rFonts w:asciiTheme="minorHAnsi" w:hAnsiTheme="minorHAnsi" w:cstheme="minorHAnsi"/>
          <w:color w:val="000000" w:themeColor="text1"/>
          <w:szCs w:val="22"/>
        </w:rPr>
        <w:t xml:space="preserve"> (Parrilla Castellar ER, 2014)</w:t>
      </w:r>
      <w:r w:rsidR="0065450E" w:rsidRPr="00E57A6B">
        <w:rPr>
          <w:rFonts w:asciiTheme="minorHAnsi" w:hAnsiTheme="minorHAnsi" w:cstheme="minorHAnsi"/>
          <w:color w:val="000000" w:themeColor="text1"/>
          <w:szCs w:val="22"/>
        </w:rPr>
        <w:t>.</w:t>
      </w:r>
    </w:p>
    <w:p w14:paraId="102CD7FD" w14:textId="4C8C291B" w:rsidR="004F0B8A" w:rsidRPr="00E57A6B" w:rsidRDefault="005C5693" w:rsidP="004501B1">
      <w:pPr>
        <w:pStyle w:val="Textkrper-Einzug2"/>
        <w:spacing w:after="0" w:line="276" w:lineRule="auto"/>
        <w:ind w:left="0"/>
        <w:jc w:val="both"/>
        <w:rPr>
          <w:rFonts w:asciiTheme="minorHAnsi" w:hAnsiTheme="minorHAnsi" w:cstheme="minorHAnsi"/>
          <w:color w:val="000000" w:themeColor="text1"/>
          <w:szCs w:val="22"/>
        </w:rPr>
      </w:pPr>
      <w:r w:rsidRPr="00E57A6B">
        <w:rPr>
          <w:rFonts w:asciiTheme="minorHAnsi" w:hAnsiTheme="minorHAnsi" w:cstheme="minorHAnsi"/>
          <w:color w:val="000000" w:themeColor="text1"/>
          <w:szCs w:val="22"/>
        </w:rPr>
        <w:t>Angioimmunoblastische T-Zell-Lymphome, follikuläre T-Zell-Lymphome und nodal periphere T-Zell-Lymphome mit TFH-Phänotyp sind aggressive Lymphomarten mit follikulärem T-Helferzellen-Immunphänotyp.</w:t>
      </w:r>
      <w:r w:rsidR="00CB5A7D" w:rsidRPr="00E57A6B">
        <w:rPr>
          <w:rFonts w:asciiTheme="minorHAnsi" w:hAnsiTheme="minorHAnsi" w:cstheme="minorHAnsi"/>
          <w:color w:val="000000" w:themeColor="text1"/>
          <w:szCs w:val="22"/>
        </w:rPr>
        <w:t xml:space="preserve"> Immunphänotypisch exprimieren die neoplastischen T-Zellen der AITL neben den Pan-T-Antigenen (CD2, CD3, CD5) überwiegend CD4 sowie TFH-Zellmarker wie CD10, ICOS, BCL6, PD1 und CXCL13 in einem variablen Ausmaß</w:t>
      </w:r>
      <w:r w:rsidR="00BA0BE5" w:rsidRPr="00E57A6B">
        <w:rPr>
          <w:rFonts w:asciiTheme="minorHAnsi" w:hAnsiTheme="minorHAnsi" w:cstheme="minorHAnsi"/>
          <w:color w:val="000000" w:themeColor="text1"/>
          <w:szCs w:val="22"/>
        </w:rPr>
        <w:t>.</w:t>
      </w:r>
      <w:r w:rsidR="00C52A85" w:rsidRPr="00E57A6B">
        <w:rPr>
          <w:rFonts w:asciiTheme="minorHAnsi" w:hAnsiTheme="minorHAnsi" w:cstheme="minorHAnsi"/>
          <w:color w:val="000000" w:themeColor="text1"/>
          <w:szCs w:val="22"/>
        </w:rPr>
        <w:t xml:space="preserve"> Des Weiteren finden sich sich Mutationen in den epigenetischen Modifier-Genen wie IDH2, TET2 und DNMT3A.</w:t>
      </w:r>
      <w:r w:rsidR="00BA0BE5" w:rsidRPr="00E57A6B">
        <w:rPr>
          <w:rFonts w:asciiTheme="minorHAnsi" w:hAnsiTheme="minorHAnsi" w:cstheme="minorHAnsi"/>
          <w:color w:val="000000" w:themeColor="text1"/>
          <w:szCs w:val="22"/>
        </w:rPr>
        <w:t xml:space="preserve"> </w:t>
      </w:r>
      <w:r w:rsidR="004F0B8A" w:rsidRPr="00E57A6B">
        <w:rPr>
          <w:rFonts w:asciiTheme="minorHAnsi" w:hAnsiTheme="minorHAnsi" w:cstheme="minorHAnsi"/>
          <w:color w:val="000000" w:themeColor="text1"/>
          <w:szCs w:val="22"/>
        </w:rPr>
        <w:t xml:space="preserve"> </w:t>
      </w:r>
      <w:r w:rsidR="006E26C7" w:rsidRPr="00E57A6B">
        <w:rPr>
          <w:rFonts w:asciiTheme="minorHAnsi" w:hAnsiTheme="minorHAnsi" w:cstheme="minorHAnsi"/>
          <w:color w:val="000000" w:themeColor="text1"/>
          <w:szCs w:val="22"/>
        </w:rPr>
        <w:t xml:space="preserve"> Als second-hit Mutationen gelten bei dem nodalen peripheren T-Zell-Lymphom mit TFH-Phänotyp „Hotspot RHOAG17V Mutationen“, die in bis zu 80% der Fälle auftreten (Sakata-Yanagimoto M et al. 2014) und andere Gain-of-function Mutationen im T-Zell </w:t>
      </w:r>
      <w:r w:rsidR="006E26C7" w:rsidRPr="00E57A6B">
        <w:rPr>
          <w:rFonts w:asciiTheme="minorHAnsi" w:hAnsiTheme="minorHAnsi" w:cstheme="minorHAnsi"/>
          <w:color w:val="000000" w:themeColor="text1"/>
          <w:szCs w:val="22"/>
        </w:rPr>
        <w:lastRenderedPageBreak/>
        <w:t>Rezeptor Signaltransduktionsweg (PLCG1, CD28, PIK3, CARD11). </w:t>
      </w:r>
      <w:r w:rsidR="008618F6" w:rsidRPr="00E57A6B">
        <w:rPr>
          <w:rFonts w:asciiTheme="minorHAnsi" w:hAnsiTheme="minorHAnsi" w:cstheme="minorHAnsi"/>
          <w:color w:val="000000" w:themeColor="text1"/>
          <w:szCs w:val="22"/>
        </w:rPr>
        <w:t>(Timmins MA et al., 2020; Sakata-Yanagimoto M et al., 2014).</w:t>
      </w:r>
    </w:p>
    <w:p w14:paraId="7CE260F8" w14:textId="77777777" w:rsidR="004F0B8A" w:rsidRPr="00E57A6B" w:rsidRDefault="004F0B8A" w:rsidP="004501B1">
      <w:pPr>
        <w:pStyle w:val="Textkrper-Einzug2"/>
        <w:spacing w:line="276" w:lineRule="auto"/>
        <w:ind w:left="0"/>
        <w:jc w:val="both"/>
        <w:rPr>
          <w:rFonts w:ascii="Roboto" w:hAnsi="Roboto"/>
          <w:color w:val="000000" w:themeColor="text1"/>
          <w:shd w:val="clear" w:color="auto" w:fill="FEFEFE"/>
        </w:rPr>
      </w:pPr>
    </w:p>
    <w:p w14:paraId="16E26DCD" w14:textId="14363F90" w:rsidR="005E7EDC" w:rsidRPr="00E57A6B" w:rsidRDefault="005E7EDC" w:rsidP="004501B1">
      <w:pPr>
        <w:pStyle w:val="Textkrper-Einzug2"/>
        <w:spacing w:line="276" w:lineRule="auto"/>
        <w:ind w:left="0"/>
        <w:jc w:val="both"/>
        <w:rPr>
          <w:rFonts w:asciiTheme="minorHAnsi" w:hAnsiTheme="minorHAnsi" w:cstheme="minorHAnsi"/>
          <w:color w:val="000000" w:themeColor="text1"/>
          <w:szCs w:val="22"/>
        </w:rPr>
      </w:pPr>
      <w:r w:rsidRPr="00E57A6B">
        <w:rPr>
          <w:rFonts w:asciiTheme="minorHAnsi" w:hAnsiTheme="minorHAnsi" w:cstheme="minorHAnsi"/>
          <w:color w:val="000000" w:themeColor="text1"/>
          <w:szCs w:val="22"/>
        </w:rPr>
        <w:t>Unter PTCL, NOS werden sehr heterogene Fälle von T-Zelllymphomen subsumiert, wobei einige dieser Fälle Epstein-Barr Virus (EBV)-positiv sind und die Kriterien für eine der spezifischen Entitäten nicht erfüllen. Tumore mit einem TFH Phänotyp sind per definitionem ausgeschlossen und werden als nodale Lymphome, die von TFH Zellen abstammen, klassifiziert (s.o.). Mittels Genexpressionsanalysen können in der Gruppe der PTCL, NOS zwei molekulare Subgruppen unterschieden werden, die durch Überexpression der Transkriptionsfaktoren GATA3 und TBX21 gekennzeichnet sind; letztere Subgruppe exprimiert zum Teil zytotoxische Gene.</w:t>
      </w:r>
      <w:r w:rsidR="008618F6" w:rsidRPr="00E57A6B">
        <w:rPr>
          <w:rFonts w:asciiTheme="minorHAnsi" w:hAnsiTheme="minorHAnsi" w:cstheme="minorHAnsi"/>
          <w:color w:val="000000" w:themeColor="text1"/>
          <w:szCs w:val="22"/>
        </w:rPr>
        <w:t xml:space="preserve"> (Amador C et al., 2019).</w:t>
      </w:r>
    </w:p>
    <w:p w14:paraId="25B171AD" w14:textId="11702905" w:rsidR="000D6539" w:rsidRPr="009D185C" w:rsidRDefault="00AA7B48" w:rsidP="004501B1">
      <w:pPr>
        <w:pStyle w:val="Textkrper-Einzug2"/>
        <w:spacing w:line="276" w:lineRule="auto"/>
        <w:ind w:left="0"/>
        <w:jc w:val="both"/>
        <w:rPr>
          <w:rFonts w:asciiTheme="minorHAnsi" w:hAnsiTheme="minorHAnsi" w:cstheme="minorHAnsi"/>
          <w:color w:val="000000" w:themeColor="text1"/>
          <w:szCs w:val="22"/>
        </w:rPr>
      </w:pPr>
      <w:r w:rsidRPr="00E57A6B">
        <w:rPr>
          <w:rFonts w:asciiTheme="minorHAnsi" w:hAnsiTheme="minorHAnsi" w:cstheme="minorHAnsi"/>
          <w:color w:val="000000" w:themeColor="text1"/>
          <w:szCs w:val="22"/>
        </w:rPr>
        <w:t xml:space="preserve">Typsich </w:t>
      </w:r>
      <w:r w:rsidR="00C31E0E" w:rsidRPr="00E57A6B">
        <w:rPr>
          <w:rFonts w:asciiTheme="minorHAnsi" w:hAnsiTheme="minorHAnsi" w:cstheme="minorHAnsi"/>
          <w:color w:val="000000" w:themeColor="text1"/>
          <w:szCs w:val="22"/>
        </w:rPr>
        <w:t>für d</w:t>
      </w:r>
      <w:r w:rsidR="00BA0BE5" w:rsidRPr="00E57A6B">
        <w:rPr>
          <w:rFonts w:asciiTheme="minorHAnsi" w:hAnsiTheme="minorHAnsi" w:cstheme="minorHAnsi"/>
          <w:color w:val="000000" w:themeColor="text1"/>
          <w:szCs w:val="22"/>
        </w:rPr>
        <w:t>ie extranodalen</w:t>
      </w:r>
      <w:r w:rsidR="00C31E0E" w:rsidRPr="00E57A6B">
        <w:rPr>
          <w:rFonts w:asciiTheme="minorHAnsi" w:hAnsiTheme="minorHAnsi" w:cstheme="minorHAnsi"/>
          <w:color w:val="000000" w:themeColor="text1"/>
          <w:szCs w:val="22"/>
        </w:rPr>
        <w:t xml:space="preserve"> NK</w:t>
      </w:r>
      <w:r w:rsidR="00BA0BE5" w:rsidRPr="00E57A6B">
        <w:rPr>
          <w:rFonts w:asciiTheme="minorHAnsi" w:hAnsiTheme="minorHAnsi" w:cstheme="minorHAnsi"/>
          <w:color w:val="000000" w:themeColor="text1"/>
          <w:szCs w:val="22"/>
        </w:rPr>
        <w:t>/T</w:t>
      </w:r>
      <w:r w:rsidR="00C31E0E" w:rsidRPr="00E57A6B">
        <w:rPr>
          <w:rFonts w:asciiTheme="minorHAnsi" w:hAnsiTheme="minorHAnsi" w:cstheme="minorHAnsi"/>
          <w:color w:val="000000" w:themeColor="text1"/>
          <w:szCs w:val="22"/>
        </w:rPr>
        <w:t>-Zell-Lymphom</w:t>
      </w:r>
      <w:r w:rsidR="00BA0BE5" w:rsidRPr="00E57A6B">
        <w:rPr>
          <w:rFonts w:asciiTheme="minorHAnsi" w:hAnsiTheme="minorHAnsi" w:cstheme="minorHAnsi"/>
          <w:color w:val="000000" w:themeColor="text1"/>
          <w:szCs w:val="22"/>
        </w:rPr>
        <w:t xml:space="preserve">e ist der Nachweis von EBV-DNA, welcher auch als Verlaufsparameter prognostische Relevanz hat, und </w:t>
      </w:r>
      <w:r w:rsidR="00C31E0E" w:rsidRPr="00E57A6B">
        <w:rPr>
          <w:rFonts w:asciiTheme="minorHAnsi" w:hAnsiTheme="minorHAnsi" w:cstheme="minorHAnsi"/>
          <w:color w:val="000000" w:themeColor="text1"/>
          <w:szCs w:val="22"/>
        </w:rPr>
        <w:t xml:space="preserve"> die </w:t>
      </w:r>
      <w:r w:rsidR="000D6539" w:rsidRPr="00E57A6B">
        <w:rPr>
          <w:rFonts w:asciiTheme="minorHAnsi" w:hAnsiTheme="minorHAnsi" w:cstheme="minorHAnsi"/>
          <w:color w:val="000000" w:themeColor="text1"/>
          <w:szCs w:val="22"/>
        </w:rPr>
        <w:t>CD56-Positivität</w:t>
      </w:r>
      <w:r w:rsidR="003F6EA9" w:rsidRPr="00E57A6B">
        <w:rPr>
          <w:rFonts w:asciiTheme="minorHAnsi" w:hAnsiTheme="minorHAnsi" w:cstheme="minorHAnsi"/>
          <w:color w:val="000000" w:themeColor="text1"/>
          <w:szCs w:val="22"/>
        </w:rPr>
        <w:t xml:space="preserve"> </w:t>
      </w:r>
      <w:r w:rsidR="003F6EA9" w:rsidRPr="009D185C">
        <w:rPr>
          <w:rFonts w:asciiTheme="minorHAnsi" w:hAnsiTheme="minorHAnsi" w:cstheme="minorHAnsi"/>
          <w:color w:val="000000" w:themeColor="text1"/>
          <w:szCs w:val="22"/>
        </w:rPr>
        <w:t>(Au WY 2004; Kwong YL 2014</w:t>
      </w:r>
      <w:r w:rsidR="000155EA" w:rsidRPr="009D185C">
        <w:rPr>
          <w:rFonts w:asciiTheme="minorHAnsi" w:hAnsiTheme="minorHAnsi" w:cstheme="minorHAnsi"/>
          <w:color w:val="000000" w:themeColor="text1"/>
          <w:szCs w:val="22"/>
        </w:rPr>
        <w:t>).</w:t>
      </w:r>
      <w:r w:rsidR="00556FC4" w:rsidRPr="009D185C">
        <w:rPr>
          <w:rFonts w:asciiTheme="minorHAnsi" w:hAnsiTheme="minorHAnsi" w:cstheme="minorHAnsi"/>
          <w:color w:val="000000" w:themeColor="text1"/>
          <w:szCs w:val="22"/>
        </w:rPr>
        <w:t xml:space="preserve"> Da ENKTL meist P-Glykoprotein in hoher Konzentration expremieren, welches eine Multidrug-Resistenz vermitteln, sind anthrazylin basierte Chemotherapien nicht wirksam (</w:t>
      </w:r>
      <w:r w:rsidR="004615DA" w:rsidRPr="009D185C">
        <w:rPr>
          <w:rFonts w:asciiTheme="minorHAnsi" w:hAnsiTheme="minorHAnsi" w:cstheme="minorHAnsi"/>
          <w:color w:val="000000" w:themeColor="text1"/>
          <w:szCs w:val="22"/>
        </w:rPr>
        <w:t>Yamaguchi M, Miyazaki K 2017).</w:t>
      </w:r>
    </w:p>
    <w:p w14:paraId="2362C77A" w14:textId="77777777" w:rsidR="005F49C0" w:rsidRDefault="007374FB" w:rsidP="00B51F6E">
      <w:pPr>
        <w:pStyle w:val="berschrift2"/>
        <w:jc w:val="left"/>
      </w:pPr>
      <w:r w:rsidRPr="009D185C">
        <w:rPr>
          <w:color w:val="000000" w:themeColor="text1"/>
        </w:rPr>
        <w:br w:type="page"/>
      </w:r>
      <w:bookmarkStart w:id="11" w:name="_Toc61379685"/>
      <w:r w:rsidR="00942D0D">
        <w:lastRenderedPageBreak/>
        <w:t>2.5</w:t>
      </w:r>
      <w:r w:rsidR="00B51F6E">
        <w:tab/>
      </w:r>
      <w:r w:rsidR="005F49C0">
        <w:t xml:space="preserve">Stadieneinteilung nach </w:t>
      </w:r>
      <w:r w:rsidR="003609C9">
        <w:t xml:space="preserve">den modifizierten </w:t>
      </w:r>
      <w:r w:rsidR="005F49C0">
        <w:t>Ann-Arbor-Kriterien</w:t>
      </w:r>
      <w:bookmarkEnd w:id="11"/>
    </w:p>
    <w:p w14:paraId="1F8B4DB1" w14:textId="77777777" w:rsidR="005F49C0" w:rsidRPr="0005570D" w:rsidRDefault="001F4A4F" w:rsidP="004501B1">
      <w:pPr>
        <w:spacing w:line="276" w:lineRule="auto"/>
        <w:jc w:val="both"/>
        <w:rPr>
          <w:rStyle w:val="c4"/>
          <w:rFonts w:asciiTheme="minorHAnsi" w:hAnsiTheme="minorHAnsi" w:cstheme="minorHAnsi"/>
          <w:szCs w:val="22"/>
        </w:rPr>
      </w:pPr>
      <w:r w:rsidRPr="0005570D">
        <w:rPr>
          <w:rStyle w:val="c4"/>
          <w:rFonts w:asciiTheme="minorHAnsi" w:hAnsiTheme="minorHAnsi" w:cstheme="minorHAnsi"/>
          <w:szCs w:val="22"/>
        </w:rPr>
        <w:t>Die</w:t>
      </w:r>
      <w:r w:rsidR="00722A0C" w:rsidRPr="0005570D">
        <w:rPr>
          <w:rStyle w:val="c4"/>
          <w:rFonts w:asciiTheme="minorHAnsi" w:hAnsiTheme="minorHAnsi" w:cstheme="minorHAnsi"/>
          <w:szCs w:val="22"/>
        </w:rPr>
        <w:t xml:space="preserve"> </w:t>
      </w:r>
      <w:r w:rsidR="007D0EAC" w:rsidRPr="0005570D">
        <w:rPr>
          <w:rStyle w:val="c4"/>
          <w:rFonts w:asciiTheme="minorHAnsi" w:hAnsiTheme="minorHAnsi" w:cstheme="minorHAnsi"/>
          <w:szCs w:val="22"/>
        </w:rPr>
        <w:t xml:space="preserve">Stadieneinteilung der T-Zell Lymphome erfolgt analog zu </w:t>
      </w:r>
      <w:r w:rsidR="003609C9" w:rsidRPr="0005570D">
        <w:rPr>
          <w:rStyle w:val="c4"/>
          <w:rFonts w:asciiTheme="minorHAnsi" w:hAnsiTheme="minorHAnsi" w:cstheme="minorHAnsi"/>
          <w:szCs w:val="22"/>
        </w:rPr>
        <w:t>den aggressiven B-Zell-</w:t>
      </w:r>
      <w:r w:rsidR="007D0EAC" w:rsidRPr="0005570D">
        <w:rPr>
          <w:rStyle w:val="c4"/>
          <w:rFonts w:asciiTheme="minorHAnsi" w:hAnsiTheme="minorHAnsi" w:cstheme="minorHAnsi"/>
          <w:szCs w:val="22"/>
        </w:rPr>
        <w:t>Lymphomen</w:t>
      </w:r>
      <w:r w:rsidR="00722A0C" w:rsidRPr="0005570D">
        <w:rPr>
          <w:rStyle w:val="c4"/>
          <w:rFonts w:asciiTheme="minorHAnsi" w:hAnsiTheme="minorHAnsi" w:cstheme="minorHAnsi"/>
          <w:szCs w:val="22"/>
        </w:rPr>
        <w:t xml:space="preserve"> nach </w:t>
      </w:r>
      <w:r w:rsidR="003609C9" w:rsidRPr="0005570D">
        <w:rPr>
          <w:rStyle w:val="c4"/>
          <w:rFonts w:asciiTheme="minorHAnsi" w:hAnsiTheme="minorHAnsi" w:cstheme="minorHAnsi"/>
          <w:szCs w:val="22"/>
        </w:rPr>
        <w:t xml:space="preserve">den </w:t>
      </w:r>
      <w:r w:rsidR="00722A0C" w:rsidRPr="0005570D">
        <w:rPr>
          <w:rStyle w:val="c4"/>
          <w:rFonts w:asciiTheme="minorHAnsi" w:hAnsiTheme="minorHAnsi" w:cstheme="minorHAnsi"/>
          <w:szCs w:val="22"/>
        </w:rPr>
        <w:t>Ann-Arbor-Kritierin</w:t>
      </w:r>
      <w:r w:rsidR="003609C9" w:rsidRPr="0005570D">
        <w:rPr>
          <w:rStyle w:val="c4"/>
          <w:rFonts w:asciiTheme="minorHAnsi" w:hAnsiTheme="minorHAnsi" w:cstheme="minorHAnsi"/>
          <w:szCs w:val="22"/>
        </w:rPr>
        <w:t>, d.h.</w:t>
      </w:r>
      <w:r w:rsidRPr="0005570D">
        <w:rPr>
          <w:rStyle w:val="c4"/>
          <w:rFonts w:asciiTheme="minorHAnsi" w:hAnsiTheme="minorHAnsi" w:cstheme="minorHAnsi"/>
          <w:szCs w:val="22"/>
        </w:rPr>
        <w:t xml:space="preserve"> anhand des PET-CT bei </w:t>
      </w:r>
      <w:r w:rsidR="003609C9" w:rsidRPr="0005570D">
        <w:rPr>
          <w:rStyle w:val="c4"/>
          <w:rFonts w:asciiTheme="minorHAnsi" w:hAnsiTheme="minorHAnsi" w:cstheme="minorHAnsi"/>
          <w:szCs w:val="22"/>
        </w:rPr>
        <w:t>FDG-</w:t>
      </w:r>
      <w:r w:rsidRPr="0005570D">
        <w:rPr>
          <w:rStyle w:val="c4"/>
          <w:rFonts w:asciiTheme="minorHAnsi" w:hAnsiTheme="minorHAnsi" w:cstheme="minorHAnsi"/>
          <w:szCs w:val="22"/>
        </w:rPr>
        <w:t xml:space="preserve">aviden Tumoren und anhand des CT bei nicht </w:t>
      </w:r>
      <w:r w:rsidR="003609C9" w:rsidRPr="0005570D">
        <w:rPr>
          <w:rStyle w:val="c4"/>
          <w:rFonts w:asciiTheme="minorHAnsi" w:hAnsiTheme="minorHAnsi" w:cstheme="minorHAnsi"/>
          <w:szCs w:val="22"/>
        </w:rPr>
        <w:t>FDG-aviden Tumoren. Tonsillen</w:t>
      </w:r>
      <w:r w:rsidRPr="0005570D">
        <w:rPr>
          <w:rStyle w:val="c4"/>
          <w:rFonts w:asciiTheme="minorHAnsi" w:hAnsiTheme="minorHAnsi" w:cstheme="minorHAnsi"/>
          <w:szCs w:val="22"/>
        </w:rPr>
        <w:t>, Waldeyer’s Ring und Milz werden als „nodales“ Gewebe gewertet. Die Stadieneinteilung unterscheidet in „Limited Disease“ (Stadium I/II ohne „bulky“) und „Advanced Disease“ (Stadium III/IV). Ein Patient im Stadium II mit bulky ist in Abhängigkeit von Histologie und anderen Risikofaktoren (z.B. IPI)  entweder als limited oder advanced disease zu behandeln.</w:t>
      </w:r>
    </w:p>
    <w:p w14:paraId="3E3045E2" w14:textId="77777777" w:rsidR="006F0A22" w:rsidRPr="006F0A22" w:rsidRDefault="006F0A22" w:rsidP="007374FB">
      <w:pPr>
        <w:jc w:val="left"/>
        <w:rPr>
          <w:rFonts w:asciiTheme="minorHAnsi" w:hAnsiTheme="minorHAnsi" w:cstheme="minorHAnsi"/>
          <w:szCs w:val="22"/>
        </w:rPr>
      </w:pPr>
    </w:p>
    <w:p w14:paraId="5CF5CCFC" w14:textId="77777777" w:rsidR="00096FA8" w:rsidRDefault="003609C9" w:rsidP="007374FB">
      <w:pPr>
        <w:jc w:val="left"/>
      </w:pPr>
      <w:r w:rsidRPr="00DB6657">
        <w:rPr>
          <w:noProof/>
          <w:lang w:eastAsia="de-AT"/>
        </w:rPr>
        <w:drawing>
          <wp:inline distT="0" distB="0" distL="0" distR="0" wp14:anchorId="4386A59B" wp14:editId="1F8BF7BD">
            <wp:extent cx="5955665" cy="4197985"/>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55665" cy="4197985"/>
                    </a:xfrm>
                    <a:prstGeom prst="rect">
                      <a:avLst/>
                    </a:prstGeom>
                    <a:noFill/>
                    <a:ln>
                      <a:noFill/>
                    </a:ln>
                  </pic:spPr>
                </pic:pic>
              </a:graphicData>
            </a:graphic>
          </wp:inline>
        </w:drawing>
      </w:r>
    </w:p>
    <w:p w14:paraId="5CC5D03D" w14:textId="77777777" w:rsidR="007374FB" w:rsidRPr="007374FB" w:rsidRDefault="007374FB" w:rsidP="007374FB">
      <w:pPr>
        <w:jc w:val="left"/>
      </w:pPr>
    </w:p>
    <w:p w14:paraId="2BD29532" w14:textId="77777777" w:rsidR="00232D4A" w:rsidRPr="00257380" w:rsidRDefault="00130F7C" w:rsidP="007374FB">
      <w:pPr>
        <w:jc w:val="left"/>
        <w:rPr>
          <w:b/>
          <w:bCs/>
        </w:rPr>
      </w:pPr>
      <w:r>
        <w:rPr>
          <w:rFonts w:asciiTheme="minorHAnsi" w:hAnsiTheme="minorHAnsi" w:cstheme="minorHAnsi"/>
          <w:b/>
          <w:noProof/>
          <w:lang w:eastAsia="de-AT"/>
        </w:rPr>
        <w:drawing>
          <wp:anchor distT="0" distB="0" distL="114300" distR="114300" simplePos="0" relativeHeight="251656192" behindDoc="0" locked="0" layoutInCell="1" allowOverlap="1" wp14:anchorId="57ABCBA0" wp14:editId="74AF9B47">
            <wp:simplePos x="0" y="0"/>
            <wp:positionH relativeFrom="margin">
              <wp:posOffset>1995170</wp:posOffset>
            </wp:positionH>
            <wp:positionV relativeFrom="paragraph">
              <wp:posOffset>71120</wp:posOffset>
            </wp:positionV>
            <wp:extent cx="2556510" cy="2834640"/>
            <wp:effectExtent l="0" t="0" r="0" b="381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6510" cy="2834640"/>
                    </a:xfrm>
                    <a:prstGeom prst="rect">
                      <a:avLst/>
                    </a:prstGeom>
                    <a:noFill/>
                  </pic:spPr>
                </pic:pic>
              </a:graphicData>
            </a:graphic>
            <wp14:sizeRelH relativeFrom="margin">
              <wp14:pctWidth>0</wp14:pctWidth>
            </wp14:sizeRelH>
            <wp14:sizeRelV relativeFrom="margin">
              <wp14:pctHeight>0</wp14:pctHeight>
            </wp14:sizeRelV>
          </wp:anchor>
        </w:drawing>
      </w:r>
      <w:r w:rsidR="00806635" w:rsidRPr="00257380">
        <w:rPr>
          <w:b/>
          <w:bCs/>
        </w:rPr>
        <w:t>Lymphknotenregionen</w:t>
      </w:r>
    </w:p>
    <w:p w14:paraId="48B25B42" w14:textId="77777777" w:rsidR="00806635" w:rsidRDefault="00806635" w:rsidP="007374FB">
      <w:pPr>
        <w:jc w:val="left"/>
      </w:pPr>
    </w:p>
    <w:p w14:paraId="7D63C060" w14:textId="77777777" w:rsidR="00806635" w:rsidRDefault="00806635" w:rsidP="007374FB">
      <w:pPr>
        <w:jc w:val="left"/>
      </w:pPr>
    </w:p>
    <w:p w14:paraId="76D81510" w14:textId="77777777" w:rsidR="001F4A4F" w:rsidRDefault="001F4A4F" w:rsidP="007374FB">
      <w:pPr>
        <w:jc w:val="left"/>
      </w:pPr>
    </w:p>
    <w:p w14:paraId="5AAD001F" w14:textId="77777777" w:rsidR="00232D4A" w:rsidRDefault="00232D4A" w:rsidP="007374FB">
      <w:pPr>
        <w:jc w:val="left"/>
      </w:pPr>
    </w:p>
    <w:p w14:paraId="39EA8219" w14:textId="77777777" w:rsidR="00232D4A" w:rsidRDefault="00232D4A" w:rsidP="007374FB">
      <w:pPr>
        <w:jc w:val="left"/>
      </w:pPr>
    </w:p>
    <w:p w14:paraId="748DD4F1" w14:textId="77777777" w:rsidR="00806635" w:rsidRDefault="00806635" w:rsidP="007374FB">
      <w:pPr>
        <w:jc w:val="left"/>
      </w:pPr>
      <w:bookmarkStart w:id="12" w:name="_Toc353200741"/>
    </w:p>
    <w:p w14:paraId="002F15EB" w14:textId="77777777" w:rsidR="00806635" w:rsidRDefault="00806635" w:rsidP="007374FB">
      <w:pPr>
        <w:jc w:val="left"/>
      </w:pPr>
    </w:p>
    <w:p w14:paraId="29688F4C" w14:textId="77777777" w:rsidR="000B3CE0" w:rsidRPr="000B3CE0" w:rsidRDefault="000B3CE0" w:rsidP="007374FB">
      <w:pPr>
        <w:jc w:val="left"/>
      </w:pPr>
    </w:p>
    <w:p w14:paraId="2B4E0F8F" w14:textId="77777777" w:rsidR="00130F7C" w:rsidRDefault="00130F7C" w:rsidP="007374FB">
      <w:pPr>
        <w:jc w:val="left"/>
      </w:pPr>
    </w:p>
    <w:p w14:paraId="6CB7A49B" w14:textId="77777777" w:rsidR="00130F7C" w:rsidRPr="00130F7C" w:rsidRDefault="00130F7C" w:rsidP="007374FB">
      <w:pPr>
        <w:jc w:val="left"/>
      </w:pPr>
    </w:p>
    <w:p w14:paraId="5C32CF55" w14:textId="77777777" w:rsidR="00CE0093" w:rsidRDefault="0039525D" w:rsidP="007374FB">
      <w:pPr>
        <w:pStyle w:val="berschrift2"/>
        <w:jc w:val="left"/>
      </w:pPr>
      <w:bookmarkStart w:id="13" w:name="_Toc61379686"/>
      <w:r>
        <w:lastRenderedPageBreak/>
        <w:t>2.</w:t>
      </w:r>
      <w:bookmarkEnd w:id="12"/>
      <w:r w:rsidR="00942D0D">
        <w:t>6</w:t>
      </w:r>
      <w:r w:rsidR="00130F7C">
        <w:tab/>
      </w:r>
      <w:r w:rsidR="0096572F">
        <w:t>Risikostratifizierung</w:t>
      </w:r>
      <w:bookmarkEnd w:id="13"/>
    </w:p>
    <w:p w14:paraId="2448E7FE" w14:textId="77777777" w:rsidR="00257380" w:rsidRDefault="00257380" w:rsidP="004501B1">
      <w:pPr>
        <w:spacing w:line="276" w:lineRule="auto"/>
        <w:jc w:val="both"/>
        <w:rPr>
          <w:rFonts w:asciiTheme="minorHAnsi" w:hAnsiTheme="minorHAnsi" w:cstheme="minorHAnsi"/>
          <w:szCs w:val="22"/>
        </w:rPr>
      </w:pPr>
      <w:r w:rsidRPr="006F0A22">
        <w:rPr>
          <w:rFonts w:asciiTheme="minorHAnsi" w:hAnsiTheme="minorHAnsi" w:cstheme="minorHAnsi"/>
          <w:szCs w:val="22"/>
        </w:rPr>
        <w:t xml:space="preserve">Im Allgemeinen </w:t>
      </w:r>
      <w:r w:rsidR="006F0A22" w:rsidRPr="006F0A22">
        <w:rPr>
          <w:rFonts w:asciiTheme="minorHAnsi" w:hAnsiTheme="minorHAnsi" w:cstheme="minorHAnsi"/>
          <w:szCs w:val="22"/>
        </w:rPr>
        <w:t>besteht bei</w:t>
      </w:r>
      <w:r w:rsidRPr="006F0A22">
        <w:rPr>
          <w:rFonts w:asciiTheme="minorHAnsi" w:hAnsiTheme="minorHAnsi" w:cstheme="minorHAnsi"/>
          <w:szCs w:val="22"/>
        </w:rPr>
        <w:t xml:space="preserve"> Patienten mit peripheren T-Zell-</w:t>
      </w:r>
      <w:r w:rsidR="006F0A22" w:rsidRPr="006F0A22">
        <w:rPr>
          <w:rFonts w:asciiTheme="minorHAnsi" w:hAnsiTheme="minorHAnsi" w:cstheme="minorHAnsi"/>
          <w:szCs w:val="22"/>
        </w:rPr>
        <w:t>Lymphomen bei der Diagnose ein höherer</w:t>
      </w:r>
      <w:r w:rsidRPr="006F0A22">
        <w:rPr>
          <w:rFonts w:asciiTheme="minorHAnsi" w:hAnsiTheme="minorHAnsi" w:cstheme="minorHAnsi"/>
          <w:szCs w:val="22"/>
        </w:rPr>
        <w:t xml:space="preserve"> IPI-Score</w:t>
      </w:r>
      <w:r w:rsidR="006F0A22" w:rsidRPr="006F0A22">
        <w:rPr>
          <w:rFonts w:asciiTheme="minorHAnsi" w:hAnsiTheme="minorHAnsi" w:cstheme="minorHAnsi"/>
          <w:szCs w:val="22"/>
        </w:rPr>
        <w:t xml:space="preserve">, die Prognose ist zudem bei sämtlichen peripheren T-Zell-Lymphomen mit </w:t>
      </w:r>
      <w:r w:rsidRPr="006F0A22">
        <w:rPr>
          <w:rFonts w:asciiTheme="minorHAnsi" w:hAnsiTheme="minorHAnsi" w:cstheme="minorHAnsi"/>
          <w:szCs w:val="22"/>
        </w:rPr>
        <w:t>Ausnahme des A</w:t>
      </w:r>
      <w:r w:rsidR="00B032B7" w:rsidRPr="006F0A22">
        <w:rPr>
          <w:rFonts w:asciiTheme="minorHAnsi" w:hAnsiTheme="minorHAnsi" w:cstheme="minorHAnsi"/>
          <w:szCs w:val="22"/>
        </w:rPr>
        <w:t>K</w:t>
      </w:r>
      <w:r w:rsidR="003609C9" w:rsidRPr="006F0A22">
        <w:rPr>
          <w:rFonts w:asciiTheme="minorHAnsi" w:hAnsiTheme="minorHAnsi" w:cstheme="minorHAnsi"/>
          <w:szCs w:val="22"/>
        </w:rPr>
        <w:t xml:space="preserve">L-positiven ALCL’s </w:t>
      </w:r>
      <w:r w:rsidR="006266D8" w:rsidRPr="006F0A22">
        <w:rPr>
          <w:rFonts w:asciiTheme="minorHAnsi" w:hAnsiTheme="minorHAnsi" w:cstheme="minorHAnsi"/>
          <w:szCs w:val="22"/>
        </w:rPr>
        <w:t>eine signifikant schlechtere</w:t>
      </w:r>
      <w:r w:rsidR="003609C9" w:rsidRPr="006F0A22">
        <w:rPr>
          <w:rFonts w:asciiTheme="minorHAnsi" w:hAnsiTheme="minorHAnsi" w:cstheme="minorHAnsi"/>
          <w:szCs w:val="22"/>
        </w:rPr>
        <w:t xml:space="preserve"> als bei B-Zell-Lymphomen</w:t>
      </w:r>
      <w:r w:rsidRPr="006F0A22">
        <w:rPr>
          <w:rFonts w:asciiTheme="minorHAnsi" w:hAnsiTheme="minorHAnsi" w:cstheme="minorHAnsi"/>
          <w:szCs w:val="22"/>
        </w:rPr>
        <w:t xml:space="preserve">. Sie </w:t>
      </w:r>
      <w:r w:rsidR="003609C9" w:rsidRPr="006F0A22">
        <w:rPr>
          <w:rFonts w:asciiTheme="minorHAnsi" w:hAnsiTheme="minorHAnsi" w:cstheme="minorHAnsi"/>
          <w:szCs w:val="22"/>
        </w:rPr>
        <w:t>weisen</w:t>
      </w:r>
      <w:r w:rsidRPr="006F0A22">
        <w:rPr>
          <w:rFonts w:asciiTheme="minorHAnsi" w:hAnsiTheme="minorHAnsi" w:cstheme="minorHAnsi"/>
          <w:szCs w:val="22"/>
        </w:rPr>
        <w:t xml:space="preserve"> ein schlechteres Ansprechen auf die gängigen Therapieprotokolle sowie eine sehr hohe Rezidivrate</w:t>
      </w:r>
      <w:r w:rsidR="003609C9" w:rsidRPr="006F0A22">
        <w:rPr>
          <w:rFonts w:asciiTheme="minorHAnsi" w:hAnsiTheme="minorHAnsi" w:cstheme="minorHAnsi"/>
          <w:szCs w:val="22"/>
        </w:rPr>
        <w:t xml:space="preserve"> auf</w:t>
      </w:r>
      <w:r w:rsidRPr="006F0A22">
        <w:rPr>
          <w:rFonts w:asciiTheme="minorHAnsi" w:hAnsiTheme="minorHAnsi" w:cstheme="minorHAnsi"/>
          <w:szCs w:val="22"/>
        </w:rPr>
        <w:t>.</w:t>
      </w:r>
    </w:p>
    <w:p w14:paraId="1BF8B545" w14:textId="77777777" w:rsidR="00C1188E" w:rsidRPr="005F5829" w:rsidRDefault="00C1188E" w:rsidP="004501B1">
      <w:pPr>
        <w:spacing w:line="276" w:lineRule="auto"/>
        <w:jc w:val="both"/>
        <w:rPr>
          <w:rFonts w:asciiTheme="minorHAnsi" w:hAnsiTheme="minorHAnsi" w:cstheme="minorHAnsi"/>
          <w:szCs w:val="22"/>
        </w:rPr>
      </w:pPr>
      <w:r>
        <w:rPr>
          <w:rFonts w:asciiTheme="minorHAnsi" w:hAnsiTheme="minorHAnsi" w:cstheme="minorHAnsi"/>
          <w:szCs w:val="22"/>
        </w:rPr>
        <w:t>Aus diesem Grund sollte eine</w:t>
      </w:r>
      <w:r w:rsidRPr="00C1188E">
        <w:rPr>
          <w:rFonts w:asciiTheme="minorHAnsi" w:hAnsiTheme="minorHAnsi" w:cstheme="minorHAnsi"/>
          <w:szCs w:val="22"/>
        </w:rPr>
        <w:t xml:space="preserve"> primäre Hochdosischemotherapie mit autologer </w:t>
      </w:r>
      <w:r w:rsidR="00336828">
        <w:rPr>
          <w:rFonts w:asciiTheme="minorHAnsi" w:hAnsiTheme="minorHAnsi" w:cstheme="minorHAnsi"/>
          <w:szCs w:val="22"/>
        </w:rPr>
        <w:t xml:space="preserve">bzw. je nach Ansprechen </w:t>
      </w:r>
      <w:r>
        <w:rPr>
          <w:rFonts w:asciiTheme="minorHAnsi" w:hAnsiTheme="minorHAnsi" w:cstheme="minorHAnsi"/>
          <w:szCs w:val="22"/>
        </w:rPr>
        <w:t xml:space="preserve"> evtl. auch </w:t>
      </w:r>
      <w:r w:rsidR="00336828">
        <w:rPr>
          <w:rFonts w:asciiTheme="minorHAnsi" w:hAnsiTheme="minorHAnsi" w:cstheme="minorHAnsi"/>
          <w:szCs w:val="22"/>
        </w:rPr>
        <w:t>mit</w:t>
      </w:r>
      <w:r>
        <w:rPr>
          <w:rFonts w:asciiTheme="minorHAnsi" w:hAnsiTheme="minorHAnsi" w:cstheme="minorHAnsi"/>
          <w:szCs w:val="22"/>
        </w:rPr>
        <w:t xml:space="preserve"> allogene</w:t>
      </w:r>
      <w:r w:rsidR="00336828">
        <w:rPr>
          <w:rFonts w:asciiTheme="minorHAnsi" w:hAnsiTheme="minorHAnsi" w:cstheme="minorHAnsi"/>
          <w:szCs w:val="22"/>
        </w:rPr>
        <w:t>r</w:t>
      </w:r>
      <w:r>
        <w:rPr>
          <w:rFonts w:asciiTheme="minorHAnsi" w:hAnsiTheme="minorHAnsi" w:cstheme="minorHAnsi"/>
          <w:szCs w:val="22"/>
        </w:rPr>
        <w:t xml:space="preserve"> </w:t>
      </w:r>
      <w:r w:rsidRPr="00C1188E">
        <w:rPr>
          <w:rFonts w:asciiTheme="minorHAnsi" w:hAnsiTheme="minorHAnsi" w:cstheme="minorHAnsi"/>
          <w:szCs w:val="22"/>
        </w:rPr>
        <w:t>Stammzelltransplantation bei fitten Patienten im Alter von unter 60 Jahren mit entsprechender Risikokonstellation</w:t>
      </w:r>
      <w:r>
        <w:rPr>
          <w:rFonts w:asciiTheme="minorHAnsi" w:hAnsiTheme="minorHAnsi" w:cstheme="minorHAnsi"/>
          <w:szCs w:val="22"/>
        </w:rPr>
        <w:t xml:space="preserve"> (erhöhte LDH, Stadium </w:t>
      </w:r>
      <w:r w:rsidRPr="005F5829">
        <w:rPr>
          <w:rFonts w:asciiTheme="minorHAnsi" w:hAnsiTheme="minorHAnsi" w:cstheme="minorHAnsi"/>
          <w:szCs w:val="22"/>
        </w:rPr>
        <w:t>&gt;III und mehr als ein extranodaler Befall)</w:t>
      </w:r>
    </w:p>
    <w:p w14:paraId="2F4EE22C" w14:textId="77777777" w:rsidR="00C1188E" w:rsidRDefault="00C1188E" w:rsidP="004501B1">
      <w:pPr>
        <w:spacing w:line="276" w:lineRule="auto"/>
        <w:jc w:val="both"/>
        <w:rPr>
          <w:rFonts w:asciiTheme="minorHAnsi" w:hAnsiTheme="minorHAnsi" w:cstheme="minorHAnsi"/>
          <w:szCs w:val="22"/>
        </w:rPr>
      </w:pPr>
      <w:r w:rsidRPr="005F5829">
        <w:rPr>
          <w:rFonts w:asciiTheme="minorHAnsi" w:hAnsiTheme="minorHAnsi" w:cstheme="minorHAnsi"/>
          <w:szCs w:val="22"/>
        </w:rPr>
        <w:t>und zu erwartendem schlechtem Outcome in jedem Fall in Erwägung gezogen werden</w:t>
      </w:r>
      <w:r w:rsidR="000155EA" w:rsidRPr="005F5829">
        <w:rPr>
          <w:rFonts w:asciiTheme="minorHAnsi" w:hAnsiTheme="minorHAnsi" w:cstheme="minorHAnsi"/>
          <w:szCs w:val="22"/>
        </w:rPr>
        <w:t xml:space="preserve"> (</w:t>
      </w:r>
      <w:r w:rsidR="000155EA" w:rsidRPr="004501B1">
        <w:rPr>
          <w:rFonts w:asciiTheme="minorHAnsi" w:hAnsiTheme="minorHAnsi" w:cstheme="minorHAnsi"/>
          <w:szCs w:val="22"/>
        </w:rPr>
        <w:t>d’Amor F</w:t>
      </w:r>
      <w:r w:rsidR="000155EA" w:rsidRPr="005F5829">
        <w:rPr>
          <w:rFonts w:asciiTheme="minorHAnsi" w:hAnsiTheme="minorHAnsi" w:cstheme="minorHAnsi"/>
          <w:szCs w:val="22"/>
        </w:rPr>
        <w:t xml:space="preserve"> 2012)</w:t>
      </w:r>
      <w:r w:rsidRPr="005F5829">
        <w:rPr>
          <w:rFonts w:asciiTheme="minorHAnsi" w:hAnsiTheme="minorHAnsi" w:cstheme="minorHAnsi"/>
          <w:szCs w:val="22"/>
        </w:rPr>
        <w:t>.</w:t>
      </w:r>
    </w:p>
    <w:p w14:paraId="00477E1E" w14:textId="77777777" w:rsidR="00257380" w:rsidRPr="006F0A22" w:rsidRDefault="00257380" w:rsidP="004501B1">
      <w:pPr>
        <w:spacing w:line="276" w:lineRule="auto"/>
        <w:jc w:val="both"/>
        <w:rPr>
          <w:rFonts w:asciiTheme="minorHAnsi" w:hAnsiTheme="minorHAnsi" w:cstheme="minorHAnsi"/>
          <w:szCs w:val="22"/>
        </w:rPr>
      </w:pPr>
    </w:p>
    <w:p w14:paraId="51BDE6FD" w14:textId="77777777" w:rsidR="000B3CE0" w:rsidRDefault="007A7A46" w:rsidP="004501B1">
      <w:pPr>
        <w:spacing w:line="276" w:lineRule="auto"/>
        <w:jc w:val="both"/>
        <w:rPr>
          <w:rFonts w:asciiTheme="minorHAnsi" w:hAnsiTheme="minorHAnsi" w:cstheme="minorHAnsi"/>
          <w:szCs w:val="22"/>
        </w:rPr>
      </w:pPr>
      <w:r w:rsidRPr="006F0A22">
        <w:rPr>
          <w:rFonts w:asciiTheme="minorHAnsi" w:hAnsiTheme="minorHAnsi" w:cstheme="minorHAnsi"/>
          <w:szCs w:val="22"/>
        </w:rPr>
        <w:t xml:space="preserve">Für eine Risikostratifizierung und Abschätzung der Prognose </w:t>
      </w:r>
      <w:r w:rsidR="003609C9" w:rsidRPr="006F0A22">
        <w:rPr>
          <w:rFonts w:asciiTheme="minorHAnsi" w:hAnsiTheme="minorHAnsi" w:cstheme="minorHAnsi"/>
          <w:szCs w:val="22"/>
        </w:rPr>
        <w:t>wird der</w:t>
      </w:r>
      <w:r w:rsidRPr="006F0A22">
        <w:rPr>
          <w:rFonts w:asciiTheme="minorHAnsi" w:hAnsiTheme="minorHAnsi" w:cstheme="minorHAnsi"/>
          <w:szCs w:val="22"/>
        </w:rPr>
        <w:t xml:space="preserve"> „International Prognostic Index“ (IPI)</w:t>
      </w:r>
      <w:r w:rsidR="003609C9" w:rsidRPr="006F0A22">
        <w:rPr>
          <w:rFonts w:asciiTheme="minorHAnsi" w:hAnsiTheme="minorHAnsi" w:cstheme="minorHAnsi"/>
          <w:szCs w:val="22"/>
        </w:rPr>
        <w:t xml:space="preserve"> verwendet. </w:t>
      </w:r>
      <w:r w:rsidR="00036BCF">
        <w:rPr>
          <w:rFonts w:asciiTheme="minorHAnsi" w:hAnsiTheme="minorHAnsi" w:cstheme="minorHAnsi"/>
          <w:szCs w:val="22"/>
        </w:rPr>
        <w:t>Zudem erfolgt für die EKNTL eine Risikostratifizierung bzgl. Stammzellharvest.</w:t>
      </w:r>
    </w:p>
    <w:p w14:paraId="7D536A8C" w14:textId="77777777" w:rsidR="00036BCF" w:rsidRDefault="00036BCF" w:rsidP="007374FB">
      <w:pPr>
        <w:spacing w:line="276" w:lineRule="auto"/>
        <w:jc w:val="left"/>
        <w:rPr>
          <w:rFonts w:asciiTheme="minorHAnsi" w:hAnsiTheme="minorHAnsi" w:cstheme="minorHAnsi"/>
          <w:szCs w:val="22"/>
        </w:rPr>
      </w:pPr>
    </w:p>
    <w:p w14:paraId="042B8801" w14:textId="77777777" w:rsidR="00036BCF" w:rsidRDefault="00036BCF" w:rsidP="00B51F6E">
      <w:pPr>
        <w:pStyle w:val="berschrift3"/>
        <w:numPr>
          <w:ilvl w:val="0"/>
          <w:numId w:val="0"/>
        </w:numPr>
        <w:spacing w:line="276" w:lineRule="auto"/>
        <w:ind w:left="720" w:hanging="720"/>
      </w:pPr>
      <w:bookmarkStart w:id="14" w:name="_Toc61379687"/>
      <w:r>
        <w:t>2.6.1</w:t>
      </w:r>
      <w:r>
        <w:tab/>
        <w:t>IPI</w:t>
      </w:r>
      <w:bookmarkEnd w:id="14"/>
    </w:p>
    <w:tbl>
      <w:tblPr>
        <w:tblStyle w:val="Tabellenraster"/>
        <w:tblpPr w:leftFromText="141" w:rightFromText="141" w:vertAnchor="text" w:horzAnchor="margin" w:tblpY="245"/>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3532"/>
      </w:tblGrid>
      <w:tr w:rsidR="000B3CE0" w:rsidRPr="00145212" w14:paraId="3A69D258" w14:textId="77777777" w:rsidTr="000B3CE0">
        <w:trPr>
          <w:trHeight w:val="363"/>
        </w:trPr>
        <w:tc>
          <w:tcPr>
            <w:tcW w:w="3532" w:type="dxa"/>
            <w:shd w:val="clear" w:color="auto" w:fill="365F91" w:themeFill="accent1" w:themeFillShade="BF"/>
            <w:vAlign w:val="center"/>
          </w:tcPr>
          <w:p w14:paraId="150D4DAE" w14:textId="77777777" w:rsidR="000B3CE0" w:rsidRPr="00145212" w:rsidRDefault="000B3CE0" w:rsidP="007374FB">
            <w:pPr>
              <w:spacing w:line="276" w:lineRule="auto"/>
              <w:jc w:val="left"/>
              <w:textAlignment w:val="baseline"/>
              <w:rPr>
                <w:rFonts w:asciiTheme="minorHAnsi" w:hAnsiTheme="minorHAnsi" w:cstheme="minorHAnsi"/>
                <w:b/>
                <w:color w:val="000000" w:themeColor="text1"/>
                <w:kern w:val="24"/>
              </w:rPr>
            </w:pPr>
            <w:r w:rsidRPr="00145212">
              <w:rPr>
                <w:rFonts w:asciiTheme="minorHAnsi" w:hAnsiTheme="minorHAnsi" w:cstheme="minorHAnsi"/>
                <w:b/>
                <w:color w:val="FFFFFF" w:themeColor="background1"/>
                <w:kern w:val="24"/>
              </w:rPr>
              <w:t>International Prognostic Index (IPI)</w:t>
            </w:r>
          </w:p>
        </w:tc>
      </w:tr>
      <w:tr w:rsidR="000B3CE0" w:rsidRPr="00145212" w14:paraId="7C2DFCD5" w14:textId="77777777" w:rsidTr="00033E40">
        <w:trPr>
          <w:trHeight w:val="130"/>
        </w:trPr>
        <w:tc>
          <w:tcPr>
            <w:tcW w:w="3532" w:type="dxa"/>
            <w:shd w:val="clear" w:color="auto" w:fill="DDD9C3" w:themeFill="background2" w:themeFillShade="E6"/>
            <w:vAlign w:val="center"/>
          </w:tcPr>
          <w:p w14:paraId="08B75469" w14:textId="77777777" w:rsidR="000B3CE0" w:rsidRPr="00145212" w:rsidRDefault="000B3CE0" w:rsidP="007374FB">
            <w:pPr>
              <w:spacing w:line="276" w:lineRule="auto"/>
              <w:jc w:val="left"/>
              <w:textAlignment w:val="baseline"/>
              <w:rPr>
                <w:rFonts w:asciiTheme="minorHAnsi" w:hAnsiTheme="minorHAnsi" w:cstheme="minorHAnsi"/>
              </w:rPr>
            </w:pPr>
            <w:r w:rsidRPr="00145212">
              <w:rPr>
                <w:rFonts w:asciiTheme="minorHAnsi" w:hAnsiTheme="minorHAnsi" w:cstheme="minorHAnsi"/>
                <w:color w:val="000000" w:themeColor="text1"/>
                <w:kern w:val="24"/>
              </w:rPr>
              <w:t>Age &gt;60</w:t>
            </w:r>
          </w:p>
        </w:tc>
      </w:tr>
      <w:tr w:rsidR="000B3CE0" w:rsidRPr="00145212" w14:paraId="1D3B1858" w14:textId="77777777" w:rsidTr="000B3CE0">
        <w:trPr>
          <w:trHeight w:val="363"/>
        </w:trPr>
        <w:tc>
          <w:tcPr>
            <w:tcW w:w="3532" w:type="dxa"/>
            <w:shd w:val="clear" w:color="auto" w:fill="DDD9C3" w:themeFill="background2" w:themeFillShade="E6"/>
            <w:vAlign w:val="center"/>
          </w:tcPr>
          <w:p w14:paraId="0B497C88" w14:textId="77777777" w:rsidR="000B3CE0" w:rsidRPr="00145212" w:rsidRDefault="000B3CE0" w:rsidP="007374FB">
            <w:pPr>
              <w:spacing w:line="276" w:lineRule="auto"/>
              <w:jc w:val="left"/>
              <w:rPr>
                <w:rFonts w:asciiTheme="minorHAnsi" w:hAnsiTheme="minorHAnsi" w:cstheme="minorHAnsi"/>
              </w:rPr>
            </w:pPr>
            <w:r w:rsidRPr="00145212">
              <w:rPr>
                <w:rFonts w:asciiTheme="minorHAnsi" w:hAnsiTheme="minorHAnsi" w:cstheme="minorHAnsi"/>
              </w:rPr>
              <w:t>LDH &gt; normal</w:t>
            </w:r>
          </w:p>
        </w:tc>
      </w:tr>
      <w:tr w:rsidR="000B3CE0" w:rsidRPr="00145212" w14:paraId="47CB10C9" w14:textId="77777777" w:rsidTr="000B3CE0">
        <w:trPr>
          <w:trHeight w:val="363"/>
        </w:trPr>
        <w:tc>
          <w:tcPr>
            <w:tcW w:w="3532" w:type="dxa"/>
            <w:shd w:val="clear" w:color="auto" w:fill="DDD9C3" w:themeFill="background2" w:themeFillShade="E6"/>
            <w:vAlign w:val="center"/>
          </w:tcPr>
          <w:p w14:paraId="7F219E83" w14:textId="77777777" w:rsidR="000B3CE0" w:rsidRPr="00145212" w:rsidRDefault="000B3CE0" w:rsidP="007374FB">
            <w:pPr>
              <w:spacing w:line="276" w:lineRule="auto"/>
              <w:jc w:val="left"/>
              <w:rPr>
                <w:rFonts w:asciiTheme="minorHAnsi" w:hAnsiTheme="minorHAnsi" w:cstheme="minorHAnsi"/>
              </w:rPr>
            </w:pPr>
            <w:r w:rsidRPr="00145212">
              <w:rPr>
                <w:rFonts w:asciiTheme="minorHAnsi" w:hAnsiTheme="minorHAnsi" w:cstheme="minorHAnsi"/>
              </w:rPr>
              <w:t>Performance status 2-4</w:t>
            </w:r>
          </w:p>
        </w:tc>
      </w:tr>
      <w:tr w:rsidR="000B3CE0" w:rsidRPr="00145212" w14:paraId="11780D04" w14:textId="77777777" w:rsidTr="000B3CE0">
        <w:trPr>
          <w:trHeight w:val="363"/>
        </w:trPr>
        <w:tc>
          <w:tcPr>
            <w:tcW w:w="3532" w:type="dxa"/>
            <w:tcBorders>
              <w:bottom w:val="single" w:sz="8" w:space="0" w:color="FFFFFF" w:themeColor="background1"/>
            </w:tcBorders>
            <w:shd w:val="clear" w:color="auto" w:fill="DDD9C3" w:themeFill="background2" w:themeFillShade="E6"/>
            <w:vAlign w:val="center"/>
          </w:tcPr>
          <w:p w14:paraId="544FB8F9" w14:textId="77777777" w:rsidR="000B3CE0" w:rsidRPr="00145212" w:rsidRDefault="000B3CE0" w:rsidP="007374FB">
            <w:pPr>
              <w:spacing w:line="276" w:lineRule="auto"/>
              <w:jc w:val="left"/>
              <w:textAlignment w:val="baseline"/>
              <w:rPr>
                <w:rFonts w:asciiTheme="minorHAnsi" w:hAnsiTheme="minorHAnsi" w:cstheme="minorHAnsi"/>
              </w:rPr>
            </w:pPr>
            <w:r w:rsidRPr="00145212">
              <w:rPr>
                <w:rFonts w:asciiTheme="minorHAnsi" w:hAnsiTheme="minorHAnsi" w:cstheme="minorHAnsi"/>
                <w:color w:val="000000" w:themeColor="text1"/>
                <w:kern w:val="24"/>
              </w:rPr>
              <w:t>Stage III or IV</w:t>
            </w:r>
          </w:p>
        </w:tc>
      </w:tr>
      <w:tr w:rsidR="000B3CE0" w:rsidRPr="00145212" w14:paraId="72C99CE8" w14:textId="77777777" w:rsidTr="000B3CE0">
        <w:trPr>
          <w:trHeight w:val="372"/>
        </w:trPr>
        <w:tc>
          <w:tcPr>
            <w:tcW w:w="3532" w:type="dxa"/>
            <w:tcBorders>
              <w:bottom w:val="double" w:sz="6" w:space="0" w:color="auto"/>
            </w:tcBorders>
            <w:shd w:val="clear" w:color="auto" w:fill="DDD9C3" w:themeFill="background2" w:themeFillShade="E6"/>
            <w:vAlign w:val="center"/>
          </w:tcPr>
          <w:p w14:paraId="4597FCCA" w14:textId="77777777" w:rsidR="000B3CE0" w:rsidRPr="00145212" w:rsidRDefault="000B3CE0" w:rsidP="007374FB">
            <w:pPr>
              <w:spacing w:line="276" w:lineRule="auto"/>
              <w:jc w:val="left"/>
              <w:textAlignment w:val="baseline"/>
              <w:rPr>
                <w:rFonts w:asciiTheme="minorHAnsi" w:hAnsiTheme="minorHAnsi" w:cstheme="minorHAnsi"/>
              </w:rPr>
            </w:pPr>
            <w:r w:rsidRPr="00145212">
              <w:rPr>
                <w:rFonts w:asciiTheme="minorHAnsi" w:hAnsiTheme="minorHAnsi" w:cstheme="minorHAnsi"/>
                <w:color w:val="000000" w:themeColor="text1"/>
                <w:kern w:val="24"/>
              </w:rPr>
              <w:t>Extranodal involvement &gt; 1 site</w:t>
            </w:r>
          </w:p>
        </w:tc>
      </w:tr>
    </w:tbl>
    <w:p w14:paraId="3B957415" w14:textId="77777777" w:rsidR="00B51F6E" w:rsidRDefault="00B51F6E" w:rsidP="00B51F6E">
      <w:pPr>
        <w:jc w:val="both"/>
      </w:pPr>
      <w:r>
        <w:rPr>
          <w:noProof/>
          <w:lang w:eastAsia="de-AT"/>
        </w:rPr>
        <mc:AlternateContent>
          <mc:Choice Requires="wps">
            <w:drawing>
              <wp:anchor distT="0" distB="0" distL="114300" distR="114300" simplePos="0" relativeHeight="251661312" behindDoc="0" locked="0" layoutInCell="1" allowOverlap="1" wp14:anchorId="0FE4F10D" wp14:editId="5D0035BF">
                <wp:simplePos x="0" y="0"/>
                <wp:positionH relativeFrom="column">
                  <wp:posOffset>2915920</wp:posOffset>
                </wp:positionH>
                <wp:positionV relativeFrom="paragraph">
                  <wp:posOffset>95885</wp:posOffset>
                </wp:positionV>
                <wp:extent cx="2520950" cy="1562100"/>
                <wp:effectExtent l="0" t="0" r="0" b="0"/>
                <wp:wrapNone/>
                <wp:docPr id="10" name="Textfeld 10"/>
                <wp:cNvGraphicFramePr/>
                <a:graphic xmlns:a="http://schemas.openxmlformats.org/drawingml/2006/main">
                  <a:graphicData uri="http://schemas.microsoft.com/office/word/2010/wordprocessingShape">
                    <wps:wsp>
                      <wps:cNvSpPr txBox="1"/>
                      <wps:spPr>
                        <a:xfrm>
                          <a:off x="0" y="0"/>
                          <a:ext cx="2520950" cy="1562100"/>
                        </a:xfrm>
                        <a:prstGeom prst="rect">
                          <a:avLst/>
                        </a:prstGeom>
                        <a:solidFill>
                          <a:schemeClr val="lt1"/>
                        </a:solidFill>
                        <a:ln w="6350">
                          <a:noFill/>
                        </a:ln>
                      </wps:spPr>
                      <wps:txbx>
                        <w:txbxContent>
                          <w:tbl>
                            <w:tblPr>
                              <w:tblStyle w:val="Tabellenraste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1"/>
                              <w:gridCol w:w="1371"/>
                            </w:tblGrid>
                            <w:tr w:rsidR="006A2598" w:rsidRPr="00145212" w14:paraId="438CA8F4" w14:textId="77777777" w:rsidTr="004615DA">
                              <w:trPr>
                                <w:trHeight w:val="404"/>
                              </w:trPr>
                              <w:tc>
                                <w:tcPr>
                                  <w:tcW w:w="3532" w:type="dxa"/>
                                  <w:gridSpan w:val="2"/>
                                  <w:tcBorders>
                                    <w:top w:val="double" w:sz="6" w:space="0" w:color="auto"/>
                                    <w:bottom w:val="single" w:sz="8" w:space="0" w:color="FFFFFF" w:themeColor="background1"/>
                                  </w:tcBorders>
                                  <w:shd w:val="clear" w:color="auto" w:fill="365F91" w:themeFill="accent1" w:themeFillShade="BF"/>
                                  <w:vAlign w:val="center"/>
                                </w:tcPr>
                                <w:p w14:paraId="3725E345" w14:textId="77777777" w:rsidR="006A2598" w:rsidRPr="00130F7C" w:rsidRDefault="006A2598" w:rsidP="00B51F6E">
                                  <w:pPr>
                                    <w:spacing w:line="276" w:lineRule="auto"/>
                                    <w:jc w:val="left"/>
                                    <w:rPr>
                                      <w:rFonts w:asciiTheme="minorHAnsi" w:hAnsiTheme="minorHAnsi" w:cstheme="minorHAnsi"/>
                                      <w:b/>
                                      <w:color w:val="FFFFFF" w:themeColor="background1"/>
                                      <w:sz w:val="24"/>
                                      <w:szCs w:val="8"/>
                                    </w:rPr>
                                  </w:pPr>
                                  <w:r>
                                    <w:rPr>
                                      <w:rFonts w:asciiTheme="minorHAnsi" w:hAnsiTheme="minorHAnsi" w:cstheme="minorHAnsi"/>
                                      <w:b/>
                                      <w:color w:val="FFFFFF" w:themeColor="background1"/>
                                      <w:sz w:val="24"/>
                                    </w:rPr>
                                    <w:t>IPI-Score (Summe)</w:t>
                                  </w:r>
                                </w:p>
                              </w:tc>
                            </w:tr>
                            <w:tr w:rsidR="006A2598" w:rsidRPr="00145212" w14:paraId="7D7E25F7" w14:textId="77777777" w:rsidTr="004615DA">
                              <w:trPr>
                                <w:trHeight w:val="363"/>
                              </w:trPr>
                              <w:tc>
                                <w:tcPr>
                                  <w:tcW w:w="2161" w:type="dxa"/>
                                  <w:tcBorders>
                                    <w:right w:val="nil"/>
                                  </w:tcBorders>
                                  <w:shd w:val="clear" w:color="auto" w:fill="F2F2F2" w:themeFill="background1" w:themeFillShade="F2"/>
                                  <w:vAlign w:val="center"/>
                                </w:tcPr>
                                <w:p w14:paraId="063A7F25" w14:textId="77777777" w:rsidR="006A2598" w:rsidRPr="00033E40" w:rsidRDefault="006A2598" w:rsidP="00B51F6E">
                                  <w:pPr>
                                    <w:spacing w:line="276" w:lineRule="auto"/>
                                    <w:jc w:val="left"/>
                                    <w:rPr>
                                      <w:rFonts w:asciiTheme="minorHAnsi" w:hAnsiTheme="minorHAnsi" w:cstheme="minorHAnsi"/>
                                      <w:b/>
                                    </w:rPr>
                                  </w:pPr>
                                  <w:r w:rsidRPr="00033E40">
                                    <w:rPr>
                                      <w:rFonts w:asciiTheme="minorHAnsi" w:hAnsiTheme="minorHAnsi" w:cstheme="minorHAnsi"/>
                                      <w:b/>
                                    </w:rPr>
                                    <w:t>Low</w:t>
                                  </w:r>
                                </w:p>
                              </w:tc>
                              <w:tc>
                                <w:tcPr>
                                  <w:tcW w:w="1371" w:type="dxa"/>
                                  <w:tcBorders>
                                    <w:left w:val="nil"/>
                                  </w:tcBorders>
                                  <w:shd w:val="clear" w:color="auto" w:fill="F2F2F2" w:themeFill="background1" w:themeFillShade="F2"/>
                                  <w:vAlign w:val="center"/>
                                </w:tcPr>
                                <w:p w14:paraId="0D2C7481" w14:textId="77777777" w:rsidR="006A2598" w:rsidRPr="00145212" w:rsidRDefault="006A2598" w:rsidP="00B51F6E">
                                  <w:pPr>
                                    <w:spacing w:line="276" w:lineRule="auto"/>
                                    <w:jc w:val="left"/>
                                    <w:rPr>
                                      <w:rFonts w:asciiTheme="minorHAnsi" w:hAnsiTheme="minorHAnsi" w:cstheme="minorHAnsi"/>
                                    </w:rPr>
                                  </w:pPr>
                                  <w:r w:rsidRPr="00145212">
                                    <w:rPr>
                                      <w:rFonts w:asciiTheme="minorHAnsi" w:hAnsiTheme="minorHAnsi" w:cstheme="minorHAnsi"/>
                                    </w:rPr>
                                    <w:t>0 or 1</w:t>
                                  </w:r>
                                </w:p>
                              </w:tc>
                            </w:tr>
                            <w:tr w:rsidR="006A2598" w:rsidRPr="00145212" w14:paraId="63A95002" w14:textId="77777777" w:rsidTr="004615DA">
                              <w:trPr>
                                <w:trHeight w:val="372"/>
                              </w:trPr>
                              <w:tc>
                                <w:tcPr>
                                  <w:tcW w:w="2161" w:type="dxa"/>
                                  <w:tcBorders>
                                    <w:right w:val="nil"/>
                                  </w:tcBorders>
                                  <w:shd w:val="clear" w:color="auto" w:fill="D9D9D9" w:themeFill="background1" w:themeFillShade="D9"/>
                                  <w:vAlign w:val="center"/>
                                </w:tcPr>
                                <w:p w14:paraId="6B838245" w14:textId="77777777" w:rsidR="006A2598" w:rsidRPr="00033E40" w:rsidRDefault="006A2598" w:rsidP="00B51F6E">
                                  <w:pPr>
                                    <w:spacing w:line="276" w:lineRule="auto"/>
                                    <w:jc w:val="left"/>
                                    <w:rPr>
                                      <w:rFonts w:asciiTheme="minorHAnsi" w:hAnsiTheme="minorHAnsi" w:cstheme="minorHAnsi"/>
                                      <w:b/>
                                    </w:rPr>
                                  </w:pPr>
                                  <w:r w:rsidRPr="00033E40">
                                    <w:rPr>
                                      <w:rFonts w:asciiTheme="minorHAnsi" w:hAnsiTheme="minorHAnsi" w:cstheme="minorHAnsi"/>
                                      <w:b/>
                                    </w:rPr>
                                    <w:t>Low intermediate</w:t>
                                  </w:r>
                                </w:p>
                              </w:tc>
                              <w:tc>
                                <w:tcPr>
                                  <w:tcW w:w="1371" w:type="dxa"/>
                                  <w:tcBorders>
                                    <w:left w:val="nil"/>
                                  </w:tcBorders>
                                  <w:shd w:val="clear" w:color="auto" w:fill="D9D9D9" w:themeFill="background1" w:themeFillShade="D9"/>
                                  <w:vAlign w:val="center"/>
                                </w:tcPr>
                                <w:p w14:paraId="2F296F8D" w14:textId="77777777" w:rsidR="006A2598" w:rsidRPr="00145212" w:rsidRDefault="006A2598" w:rsidP="00B51F6E">
                                  <w:pPr>
                                    <w:spacing w:line="276" w:lineRule="auto"/>
                                    <w:jc w:val="left"/>
                                    <w:rPr>
                                      <w:rFonts w:asciiTheme="minorHAnsi" w:hAnsiTheme="minorHAnsi" w:cstheme="minorHAnsi"/>
                                    </w:rPr>
                                  </w:pPr>
                                  <w:r w:rsidRPr="00145212">
                                    <w:rPr>
                                      <w:rFonts w:asciiTheme="minorHAnsi" w:hAnsiTheme="minorHAnsi" w:cstheme="minorHAnsi"/>
                                    </w:rPr>
                                    <w:t>2</w:t>
                                  </w:r>
                                </w:p>
                              </w:tc>
                            </w:tr>
                            <w:tr w:rsidR="006A2598" w:rsidRPr="00145212" w14:paraId="7A686742" w14:textId="77777777" w:rsidTr="004615DA">
                              <w:trPr>
                                <w:trHeight w:val="363"/>
                              </w:trPr>
                              <w:tc>
                                <w:tcPr>
                                  <w:tcW w:w="2161" w:type="dxa"/>
                                  <w:tcBorders>
                                    <w:right w:val="nil"/>
                                  </w:tcBorders>
                                  <w:shd w:val="clear" w:color="auto" w:fill="BFBFBF" w:themeFill="background1" w:themeFillShade="BF"/>
                                  <w:vAlign w:val="center"/>
                                </w:tcPr>
                                <w:p w14:paraId="716F4A1F" w14:textId="77777777" w:rsidR="006A2598" w:rsidRPr="00033E40" w:rsidRDefault="006A2598" w:rsidP="00B51F6E">
                                  <w:pPr>
                                    <w:spacing w:line="276" w:lineRule="auto"/>
                                    <w:jc w:val="left"/>
                                    <w:rPr>
                                      <w:rFonts w:asciiTheme="minorHAnsi" w:hAnsiTheme="minorHAnsi" w:cstheme="minorHAnsi"/>
                                      <w:b/>
                                    </w:rPr>
                                  </w:pPr>
                                  <w:r w:rsidRPr="00033E40">
                                    <w:rPr>
                                      <w:rFonts w:asciiTheme="minorHAnsi" w:hAnsiTheme="minorHAnsi" w:cstheme="minorHAnsi"/>
                                      <w:b/>
                                    </w:rPr>
                                    <w:t>High intermediate</w:t>
                                  </w:r>
                                </w:p>
                              </w:tc>
                              <w:tc>
                                <w:tcPr>
                                  <w:tcW w:w="1371" w:type="dxa"/>
                                  <w:tcBorders>
                                    <w:left w:val="nil"/>
                                  </w:tcBorders>
                                  <w:shd w:val="clear" w:color="auto" w:fill="BFBFBF" w:themeFill="background1" w:themeFillShade="BF"/>
                                  <w:vAlign w:val="center"/>
                                </w:tcPr>
                                <w:p w14:paraId="557B6898" w14:textId="77777777" w:rsidR="006A2598" w:rsidRPr="00145212" w:rsidRDefault="006A2598" w:rsidP="00B51F6E">
                                  <w:pPr>
                                    <w:spacing w:line="276" w:lineRule="auto"/>
                                    <w:jc w:val="left"/>
                                    <w:rPr>
                                      <w:rFonts w:asciiTheme="minorHAnsi" w:hAnsiTheme="minorHAnsi" w:cstheme="minorHAnsi"/>
                                    </w:rPr>
                                  </w:pPr>
                                  <w:r w:rsidRPr="00145212">
                                    <w:rPr>
                                      <w:rFonts w:asciiTheme="minorHAnsi" w:hAnsiTheme="minorHAnsi" w:cstheme="minorHAnsi"/>
                                    </w:rPr>
                                    <w:t>3</w:t>
                                  </w:r>
                                </w:p>
                              </w:tc>
                            </w:tr>
                            <w:tr w:rsidR="006A2598" w:rsidRPr="00145212" w14:paraId="48863BC5" w14:textId="77777777" w:rsidTr="004615DA">
                              <w:trPr>
                                <w:trHeight w:val="363"/>
                              </w:trPr>
                              <w:tc>
                                <w:tcPr>
                                  <w:tcW w:w="2161" w:type="dxa"/>
                                  <w:tcBorders>
                                    <w:right w:val="nil"/>
                                  </w:tcBorders>
                                  <w:shd w:val="clear" w:color="auto" w:fill="A6A6A6" w:themeFill="background1" w:themeFillShade="A6"/>
                                  <w:vAlign w:val="center"/>
                                </w:tcPr>
                                <w:p w14:paraId="124E393A" w14:textId="77777777" w:rsidR="006A2598" w:rsidRPr="00033E40" w:rsidRDefault="006A2598" w:rsidP="00B51F6E">
                                  <w:pPr>
                                    <w:spacing w:line="276" w:lineRule="auto"/>
                                    <w:jc w:val="left"/>
                                    <w:rPr>
                                      <w:rFonts w:asciiTheme="minorHAnsi" w:hAnsiTheme="minorHAnsi" w:cstheme="minorHAnsi"/>
                                      <w:b/>
                                    </w:rPr>
                                  </w:pPr>
                                  <w:r w:rsidRPr="00033E40">
                                    <w:rPr>
                                      <w:rFonts w:asciiTheme="minorHAnsi" w:hAnsiTheme="minorHAnsi" w:cstheme="minorHAnsi"/>
                                      <w:b/>
                                    </w:rPr>
                                    <w:t>High</w:t>
                                  </w:r>
                                </w:p>
                              </w:tc>
                              <w:tc>
                                <w:tcPr>
                                  <w:tcW w:w="1371" w:type="dxa"/>
                                  <w:tcBorders>
                                    <w:left w:val="nil"/>
                                  </w:tcBorders>
                                  <w:shd w:val="clear" w:color="auto" w:fill="A6A6A6" w:themeFill="background1" w:themeFillShade="A6"/>
                                  <w:vAlign w:val="center"/>
                                </w:tcPr>
                                <w:p w14:paraId="5DF62F6C" w14:textId="77777777" w:rsidR="006A2598" w:rsidRPr="00145212" w:rsidRDefault="006A2598" w:rsidP="00B51F6E">
                                  <w:pPr>
                                    <w:spacing w:line="276" w:lineRule="auto"/>
                                    <w:jc w:val="left"/>
                                    <w:rPr>
                                      <w:rFonts w:asciiTheme="minorHAnsi" w:hAnsiTheme="minorHAnsi" w:cstheme="minorHAnsi"/>
                                    </w:rPr>
                                  </w:pPr>
                                  <w:r w:rsidRPr="00145212">
                                    <w:rPr>
                                      <w:rFonts w:asciiTheme="minorHAnsi" w:hAnsiTheme="minorHAnsi" w:cstheme="minorHAnsi"/>
                                    </w:rPr>
                                    <w:t>4 or 5</w:t>
                                  </w:r>
                                </w:p>
                              </w:tc>
                            </w:tr>
                          </w:tbl>
                          <w:p w14:paraId="60AFBFDE" w14:textId="77777777" w:rsidR="006A2598" w:rsidRDefault="006A25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4F10D" id="_x0000_t202" coordsize="21600,21600" o:spt="202" path="m,l,21600r21600,l21600,xe">
                <v:stroke joinstyle="miter"/>
                <v:path gradientshapeok="t" o:connecttype="rect"/>
              </v:shapetype>
              <v:shape id="Textfeld 10" o:spid="_x0000_s1026" type="#_x0000_t202" style="position:absolute;left:0;text-align:left;margin-left:229.6pt;margin-top:7.55pt;width:198.5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" fillcolor="white [3201]" stroked="f" strokeweight=".5pt">
                <v:textbox>
                  <w:txbxContent>
                    <w:tbl>
                      <w:tblPr>
                        <w:tblStyle w:val="Tabellenraste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161"/>
                        <w:gridCol w:w="1371"/>
                      </w:tblGrid>
                      <w:tr w:rsidR="006A2598" w:rsidRPr="00145212" w14:paraId="438CA8F4" w14:textId="77777777" w:rsidTr="004615DA">
                        <w:trPr>
                          <w:trHeight w:val="404"/>
                        </w:trPr>
                        <w:tc>
                          <w:tcPr>
                            <w:tcW w:w="3532" w:type="dxa"/>
                            <w:gridSpan w:val="2"/>
                            <w:tcBorders>
                              <w:top w:val="double" w:sz="6" w:space="0" w:color="auto"/>
                              <w:bottom w:val="single" w:sz="8" w:space="0" w:color="FFFFFF" w:themeColor="background1"/>
                            </w:tcBorders>
                            <w:shd w:val="clear" w:color="auto" w:fill="365F91" w:themeFill="accent1" w:themeFillShade="BF"/>
                            <w:vAlign w:val="center"/>
                          </w:tcPr>
                          <w:p w14:paraId="3725E345" w14:textId="77777777" w:rsidR="006A2598" w:rsidRPr="00130F7C" w:rsidRDefault="006A2598" w:rsidP="00B51F6E">
                            <w:pPr>
                              <w:spacing w:line="276" w:lineRule="auto"/>
                              <w:jc w:val="left"/>
                              <w:rPr>
                                <w:rFonts w:asciiTheme="minorHAnsi" w:hAnsiTheme="minorHAnsi" w:cstheme="minorHAnsi"/>
                                <w:b/>
                                <w:color w:val="FFFFFF" w:themeColor="background1"/>
                                <w:sz w:val="24"/>
                                <w:szCs w:val="8"/>
                              </w:rPr>
                            </w:pPr>
                            <w:r>
                              <w:rPr>
                                <w:rFonts w:asciiTheme="minorHAnsi" w:hAnsiTheme="minorHAnsi" w:cstheme="minorHAnsi"/>
                                <w:b/>
                                <w:color w:val="FFFFFF" w:themeColor="background1"/>
                                <w:sz w:val="24"/>
                              </w:rPr>
                              <w:t>IPI-Score (Summe)</w:t>
                            </w:r>
                          </w:p>
                        </w:tc>
                      </w:tr>
                      <w:tr w:rsidR="006A2598" w:rsidRPr="00145212" w14:paraId="7D7E25F7" w14:textId="77777777" w:rsidTr="004615DA">
                        <w:trPr>
                          <w:trHeight w:val="363"/>
                        </w:trPr>
                        <w:tc>
                          <w:tcPr>
                            <w:tcW w:w="2161" w:type="dxa"/>
                            <w:tcBorders>
                              <w:right w:val="nil"/>
                            </w:tcBorders>
                            <w:shd w:val="clear" w:color="auto" w:fill="F2F2F2" w:themeFill="background1" w:themeFillShade="F2"/>
                            <w:vAlign w:val="center"/>
                          </w:tcPr>
                          <w:p w14:paraId="063A7F25" w14:textId="77777777" w:rsidR="006A2598" w:rsidRPr="00033E40" w:rsidRDefault="006A2598" w:rsidP="00B51F6E">
                            <w:pPr>
                              <w:spacing w:line="276" w:lineRule="auto"/>
                              <w:jc w:val="left"/>
                              <w:rPr>
                                <w:rFonts w:asciiTheme="minorHAnsi" w:hAnsiTheme="minorHAnsi" w:cstheme="minorHAnsi"/>
                                <w:b/>
                              </w:rPr>
                            </w:pPr>
                            <w:r w:rsidRPr="00033E40">
                              <w:rPr>
                                <w:rFonts w:asciiTheme="minorHAnsi" w:hAnsiTheme="minorHAnsi" w:cstheme="minorHAnsi"/>
                                <w:b/>
                              </w:rPr>
                              <w:t>Low</w:t>
                            </w:r>
                          </w:p>
                        </w:tc>
                        <w:tc>
                          <w:tcPr>
                            <w:tcW w:w="1371" w:type="dxa"/>
                            <w:tcBorders>
                              <w:left w:val="nil"/>
                            </w:tcBorders>
                            <w:shd w:val="clear" w:color="auto" w:fill="F2F2F2" w:themeFill="background1" w:themeFillShade="F2"/>
                            <w:vAlign w:val="center"/>
                          </w:tcPr>
                          <w:p w14:paraId="0D2C7481" w14:textId="77777777" w:rsidR="006A2598" w:rsidRPr="00145212" w:rsidRDefault="006A2598" w:rsidP="00B51F6E">
                            <w:pPr>
                              <w:spacing w:line="276" w:lineRule="auto"/>
                              <w:jc w:val="left"/>
                              <w:rPr>
                                <w:rFonts w:asciiTheme="minorHAnsi" w:hAnsiTheme="minorHAnsi" w:cstheme="minorHAnsi"/>
                              </w:rPr>
                            </w:pPr>
                            <w:r w:rsidRPr="00145212">
                              <w:rPr>
                                <w:rFonts w:asciiTheme="minorHAnsi" w:hAnsiTheme="minorHAnsi" w:cstheme="minorHAnsi"/>
                              </w:rPr>
                              <w:t>0 or 1</w:t>
                            </w:r>
                          </w:p>
                        </w:tc>
                      </w:tr>
                      <w:tr w:rsidR="006A2598" w:rsidRPr="00145212" w14:paraId="63A95002" w14:textId="77777777" w:rsidTr="004615DA">
                        <w:trPr>
                          <w:trHeight w:val="372"/>
                        </w:trPr>
                        <w:tc>
                          <w:tcPr>
                            <w:tcW w:w="2161" w:type="dxa"/>
                            <w:tcBorders>
                              <w:right w:val="nil"/>
                            </w:tcBorders>
                            <w:shd w:val="clear" w:color="auto" w:fill="D9D9D9" w:themeFill="background1" w:themeFillShade="D9"/>
                            <w:vAlign w:val="center"/>
                          </w:tcPr>
                          <w:p w14:paraId="6B838245" w14:textId="77777777" w:rsidR="006A2598" w:rsidRPr="00033E40" w:rsidRDefault="006A2598" w:rsidP="00B51F6E">
                            <w:pPr>
                              <w:spacing w:line="276" w:lineRule="auto"/>
                              <w:jc w:val="left"/>
                              <w:rPr>
                                <w:rFonts w:asciiTheme="minorHAnsi" w:hAnsiTheme="minorHAnsi" w:cstheme="minorHAnsi"/>
                                <w:b/>
                              </w:rPr>
                            </w:pPr>
                            <w:r w:rsidRPr="00033E40">
                              <w:rPr>
                                <w:rFonts w:asciiTheme="minorHAnsi" w:hAnsiTheme="minorHAnsi" w:cstheme="minorHAnsi"/>
                                <w:b/>
                              </w:rPr>
                              <w:t>Low intermediate</w:t>
                            </w:r>
                          </w:p>
                        </w:tc>
                        <w:tc>
                          <w:tcPr>
                            <w:tcW w:w="1371" w:type="dxa"/>
                            <w:tcBorders>
                              <w:left w:val="nil"/>
                            </w:tcBorders>
                            <w:shd w:val="clear" w:color="auto" w:fill="D9D9D9" w:themeFill="background1" w:themeFillShade="D9"/>
                            <w:vAlign w:val="center"/>
                          </w:tcPr>
                          <w:p w14:paraId="2F296F8D" w14:textId="77777777" w:rsidR="006A2598" w:rsidRPr="00145212" w:rsidRDefault="006A2598" w:rsidP="00B51F6E">
                            <w:pPr>
                              <w:spacing w:line="276" w:lineRule="auto"/>
                              <w:jc w:val="left"/>
                              <w:rPr>
                                <w:rFonts w:asciiTheme="minorHAnsi" w:hAnsiTheme="minorHAnsi" w:cstheme="minorHAnsi"/>
                              </w:rPr>
                            </w:pPr>
                            <w:r w:rsidRPr="00145212">
                              <w:rPr>
                                <w:rFonts w:asciiTheme="minorHAnsi" w:hAnsiTheme="minorHAnsi" w:cstheme="minorHAnsi"/>
                              </w:rPr>
                              <w:t>2</w:t>
                            </w:r>
                          </w:p>
                        </w:tc>
                      </w:tr>
                      <w:tr w:rsidR="006A2598" w:rsidRPr="00145212" w14:paraId="7A686742" w14:textId="77777777" w:rsidTr="004615DA">
                        <w:trPr>
                          <w:trHeight w:val="363"/>
                        </w:trPr>
                        <w:tc>
                          <w:tcPr>
                            <w:tcW w:w="2161" w:type="dxa"/>
                            <w:tcBorders>
                              <w:right w:val="nil"/>
                            </w:tcBorders>
                            <w:shd w:val="clear" w:color="auto" w:fill="BFBFBF" w:themeFill="background1" w:themeFillShade="BF"/>
                            <w:vAlign w:val="center"/>
                          </w:tcPr>
                          <w:p w14:paraId="716F4A1F" w14:textId="77777777" w:rsidR="006A2598" w:rsidRPr="00033E40" w:rsidRDefault="006A2598" w:rsidP="00B51F6E">
                            <w:pPr>
                              <w:spacing w:line="276" w:lineRule="auto"/>
                              <w:jc w:val="left"/>
                              <w:rPr>
                                <w:rFonts w:asciiTheme="minorHAnsi" w:hAnsiTheme="minorHAnsi" w:cstheme="minorHAnsi"/>
                                <w:b/>
                              </w:rPr>
                            </w:pPr>
                            <w:r w:rsidRPr="00033E40">
                              <w:rPr>
                                <w:rFonts w:asciiTheme="minorHAnsi" w:hAnsiTheme="minorHAnsi" w:cstheme="minorHAnsi"/>
                                <w:b/>
                              </w:rPr>
                              <w:t>High intermediate</w:t>
                            </w:r>
                          </w:p>
                        </w:tc>
                        <w:tc>
                          <w:tcPr>
                            <w:tcW w:w="1371" w:type="dxa"/>
                            <w:tcBorders>
                              <w:left w:val="nil"/>
                            </w:tcBorders>
                            <w:shd w:val="clear" w:color="auto" w:fill="BFBFBF" w:themeFill="background1" w:themeFillShade="BF"/>
                            <w:vAlign w:val="center"/>
                          </w:tcPr>
                          <w:p w14:paraId="557B6898" w14:textId="77777777" w:rsidR="006A2598" w:rsidRPr="00145212" w:rsidRDefault="006A2598" w:rsidP="00B51F6E">
                            <w:pPr>
                              <w:spacing w:line="276" w:lineRule="auto"/>
                              <w:jc w:val="left"/>
                              <w:rPr>
                                <w:rFonts w:asciiTheme="minorHAnsi" w:hAnsiTheme="minorHAnsi" w:cstheme="minorHAnsi"/>
                              </w:rPr>
                            </w:pPr>
                            <w:r w:rsidRPr="00145212">
                              <w:rPr>
                                <w:rFonts w:asciiTheme="minorHAnsi" w:hAnsiTheme="minorHAnsi" w:cstheme="minorHAnsi"/>
                              </w:rPr>
                              <w:t>3</w:t>
                            </w:r>
                          </w:p>
                        </w:tc>
                      </w:tr>
                      <w:tr w:rsidR="006A2598" w:rsidRPr="00145212" w14:paraId="48863BC5" w14:textId="77777777" w:rsidTr="004615DA">
                        <w:trPr>
                          <w:trHeight w:val="363"/>
                        </w:trPr>
                        <w:tc>
                          <w:tcPr>
                            <w:tcW w:w="2161" w:type="dxa"/>
                            <w:tcBorders>
                              <w:right w:val="nil"/>
                            </w:tcBorders>
                            <w:shd w:val="clear" w:color="auto" w:fill="A6A6A6" w:themeFill="background1" w:themeFillShade="A6"/>
                            <w:vAlign w:val="center"/>
                          </w:tcPr>
                          <w:p w14:paraId="124E393A" w14:textId="77777777" w:rsidR="006A2598" w:rsidRPr="00033E40" w:rsidRDefault="006A2598" w:rsidP="00B51F6E">
                            <w:pPr>
                              <w:spacing w:line="276" w:lineRule="auto"/>
                              <w:jc w:val="left"/>
                              <w:rPr>
                                <w:rFonts w:asciiTheme="minorHAnsi" w:hAnsiTheme="minorHAnsi" w:cstheme="minorHAnsi"/>
                                <w:b/>
                              </w:rPr>
                            </w:pPr>
                            <w:r w:rsidRPr="00033E40">
                              <w:rPr>
                                <w:rFonts w:asciiTheme="minorHAnsi" w:hAnsiTheme="minorHAnsi" w:cstheme="minorHAnsi"/>
                                <w:b/>
                              </w:rPr>
                              <w:t>High</w:t>
                            </w:r>
                          </w:p>
                        </w:tc>
                        <w:tc>
                          <w:tcPr>
                            <w:tcW w:w="1371" w:type="dxa"/>
                            <w:tcBorders>
                              <w:left w:val="nil"/>
                            </w:tcBorders>
                            <w:shd w:val="clear" w:color="auto" w:fill="A6A6A6" w:themeFill="background1" w:themeFillShade="A6"/>
                            <w:vAlign w:val="center"/>
                          </w:tcPr>
                          <w:p w14:paraId="5DF62F6C" w14:textId="77777777" w:rsidR="006A2598" w:rsidRPr="00145212" w:rsidRDefault="006A2598" w:rsidP="00B51F6E">
                            <w:pPr>
                              <w:spacing w:line="276" w:lineRule="auto"/>
                              <w:jc w:val="left"/>
                              <w:rPr>
                                <w:rFonts w:asciiTheme="minorHAnsi" w:hAnsiTheme="minorHAnsi" w:cstheme="minorHAnsi"/>
                              </w:rPr>
                            </w:pPr>
                            <w:r w:rsidRPr="00145212">
                              <w:rPr>
                                <w:rFonts w:asciiTheme="minorHAnsi" w:hAnsiTheme="minorHAnsi" w:cstheme="minorHAnsi"/>
                              </w:rPr>
                              <w:t>4 or 5</w:t>
                            </w:r>
                          </w:p>
                        </w:tc>
                      </w:tr>
                    </w:tbl>
                    <w:p w14:paraId="60AFBFDE" w14:textId="77777777" w:rsidR="006A2598" w:rsidRDefault="006A2598"/>
                  </w:txbxContent>
                </v:textbox>
              </v:shape>
            </w:pict>
          </mc:Fallback>
        </mc:AlternateContent>
      </w:r>
    </w:p>
    <w:p w14:paraId="6F931095" w14:textId="77777777" w:rsidR="00B51F6E" w:rsidRDefault="00B51F6E" w:rsidP="00B51F6E">
      <w:pPr>
        <w:jc w:val="both"/>
      </w:pPr>
    </w:p>
    <w:p w14:paraId="77F024DA" w14:textId="77777777" w:rsidR="00B51F6E" w:rsidRDefault="00B51F6E" w:rsidP="00B51F6E">
      <w:pPr>
        <w:jc w:val="both"/>
      </w:pPr>
    </w:p>
    <w:p w14:paraId="52C2C1CB" w14:textId="77777777" w:rsidR="00B51F6E" w:rsidRDefault="00B51F6E" w:rsidP="00B51F6E">
      <w:pPr>
        <w:jc w:val="both"/>
      </w:pPr>
    </w:p>
    <w:p w14:paraId="149179AA" w14:textId="77777777" w:rsidR="00B51F6E" w:rsidRDefault="00B51F6E" w:rsidP="00B51F6E">
      <w:pPr>
        <w:jc w:val="both"/>
      </w:pPr>
    </w:p>
    <w:p w14:paraId="2BF53E55" w14:textId="77777777" w:rsidR="00B51F6E" w:rsidRDefault="00B51F6E" w:rsidP="00B51F6E">
      <w:pPr>
        <w:jc w:val="both"/>
      </w:pPr>
    </w:p>
    <w:p w14:paraId="7A6518F8" w14:textId="77777777" w:rsidR="00B51F6E" w:rsidRDefault="00B51F6E" w:rsidP="00B51F6E">
      <w:pPr>
        <w:jc w:val="both"/>
      </w:pPr>
    </w:p>
    <w:p w14:paraId="137BD6FC" w14:textId="77777777" w:rsidR="00B51F6E" w:rsidRPr="00B51F6E" w:rsidRDefault="00B51F6E" w:rsidP="00B51F6E">
      <w:pPr>
        <w:jc w:val="both"/>
        <w:rPr>
          <w:sz w:val="8"/>
          <w:szCs w:val="8"/>
        </w:rPr>
      </w:pPr>
    </w:p>
    <w:p w14:paraId="10F342D0" w14:textId="77777777" w:rsidR="00033E40" w:rsidRPr="00B51F6E" w:rsidRDefault="00033E40" w:rsidP="00B51F6E">
      <w:pPr>
        <w:spacing w:line="276" w:lineRule="auto"/>
        <w:jc w:val="both"/>
      </w:pPr>
      <w:r w:rsidRPr="000155EA">
        <w:rPr>
          <w:rFonts w:asciiTheme="minorHAnsi" w:hAnsiTheme="minorHAnsi" w:cstheme="minorHAnsi"/>
          <w:b/>
          <w:szCs w:val="22"/>
        </w:rPr>
        <w:t xml:space="preserve">Tabelle: Prognose </w:t>
      </w:r>
      <w:r>
        <w:rPr>
          <w:rFonts w:asciiTheme="minorHAnsi" w:hAnsiTheme="minorHAnsi" w:cstheme="minorHAnsi"/>
          <w:b/>
          <w:szCs w:val="22"/>
        </w:rPr>
        <w:t>nach IPI</w:t>
      </w:r>
      <w:r w:rsidRPr="000155EA">
        <w:rPr>
          <w:rFonts w:asciiTheme="minorHAnsi" w:hAnsiTheme="minorHAnsi" w:cstheme="minorHAnsi"/>
          <w:b/>
          <w:szCs w:val="22"/>
        </w:rPr>
        <w:t xml:space="preserve"> bei Patienten</w:t>
      </w:r>
      <w:r>
        <w:rPr>
          <w:rFonts w:asciiTheme="minorHAnsi" w:hAnsiTheme="minorHAnsi" w:cstheme="minorHAnsi"/>
          <w:b/>
          <w:szCs w:val="22"/>
        </w:rPr>
        <w:t xml:space="preserve"> mit verschiedenen T-Zell-Lymphomen (</w:t>
      </w:r>
      <w:r w:rsidRPr="00033E40">
        <w:rPr>
          <w:rFonts w:asciiTheme="minorHAnsi" w:hAnsiTheme="minorHAnsi" w:cstheme="minorHAnsi"/>
          <w:b/>
          <w:szCs w:val="22"/>
        </w:rPr>
        <w:t>ALCL/ALK+, ALCL/ALK-, AITL und PTCL, NOS)</w:t>
      </w:r>
      <w:r w:rsidRPr="000155EA">
        <w:rPr>
          <w:rFonts w:asciiTheme="minorHAnsi" w:hAnsiTheme="minorHAnsi" w:cstheme="minorHAnsi"/>
          <w:b/>
          <w:szCs w:val="22"/>
        </w:rPr>
        <w:t xml:space="preserve"> mit Anthrazyklin-basierter Chemotherapie</w:t>
      </w:r>
      <w:r w:rsidRPr="004501B1">
        <w:rPr>
          <w:rFonts w:asciiTheme="minorHAnsi" w:hAnsiTheme="minorHAnsi" w:cstheme="minorHAnsi"/>
          <w:b/>
          <w:szCs w:val="22"/>
        </w:rPr>
        <w:t xml:space="preserve"> (Schmitz N, Blood 2010)</w:t>
      </w:r>
    </w:p>
    <w:tbl>
      <w:tblPr>
        <w:tblW w:w="5956" w:type="dxa"/>
        <w:tblCellMar>
          <w:left w:w="0" w:type="dxa"/>
          <w:right w:w="0" w:type="dxa"/>
        </w:tblCellMar>
        <w:tblLook w:val="0420" w:firstRow="1" w:lastRow="0" w:firstColumn="0" w:lastColumn="0" w:noHBand="0" w:noVBand="1"/>
      </w:tblPr>
      <w:tblGrid>
        <w:gridCol w:w="2000"/>
        <w:gridCol w:w="1830"/>
        <w:gridCol w:w="2126"/>
      </w:tblGrid>
      <w:tr w:rsidR="00033E40" w:rsidRPr="00BD35ED" w14:paraId="4892CE7E" w14:textId="77777777" w:rsidTr="00B51F6E">
        <w:trPr>
          <w:trHeight w:val="237"/>
        </w:trPr>
        <w:tc>
          <w:tcPr>
            <w:tcW w:w="2000" w:type="dxa"/>
            <w:tcBorders>
              <w:top w:val="single" w:sz="8" w:space="0" w:color="FFFFFF"/>
              <w:left w:val="single" w:sz="8" w:space="0" w:color="FFFFFF"/>
              <w:bottom w:val="single" w:sz="24" w:space="0" w:color="FFFFFF"/>
              <w:right w:val="single" w:sz="8" w:space="0" w:color="FFFFFF"/>
            </w:tcBorders>
            <w:shd w:val="clear" w:color="auto" w:fill="365F91" w:themeFill="accent1" w:themeFillShade="BF"/>
            <w:tcMar>
              <w:top w:w="72" w:type="dxa"/>
              <w:left w:w="144" w:type="dxa"/>
              <w:bottom w:w="72" w:type="dxa"/>
              <w:right w:w="144" w:type="dxa"/>
            </w:tcMar>
            <w:hideMark/>
          </w:tcPr>
          <w:p w14:paraId="5F56E10E" w14:textId="77777777" w:rsidR="00033E40" w:rsidRPr="00B51F6E" w:rsidRDefault="00033E40" w:rsidP="00B51F6E">
            <w:pPr>
              <w:spacing w:line="240" w:lineRule="auto"/>
              <w:jc w:val="left"/>
              <w:rPr>
                <w:rFonts w:asciiTheme="minorHAnsi" w:hAnsiTheme="minorHAnsi" w:cstheme="minorHAnsi"/>
                <w:b/>
                <w:color w:val="FFFFFF" w:themeColor="background1"/>
                <w:sz w:val="20"/>
              </w:rPr>
            </w:pPr>
            <w:r w:rsidRPr="00B51F6E">
              <w:rPr>
                <w:rFonts w:asciiTheme="minorHAnsi" w:hAnsiTheme="minorHAnsi" w:cstheme="minorHAnsi"/>
                <w:b/>
                <w:color w:val="FFFFFF" w:themeColor="background1"/>
                <w:sz w:val="20"/>
              </w:rPr>
              <w:t>IPI</w:t>
            </w:r>
          </w:p>
        </w:tc>
        <w:tc>
          <w:tcPr>
            <w:tcW w:w="1830" w:type="dxa"/>
            <w:tcBorders>
              <w:top w:val="single" w:sz="8" w:space="0" w:color="FFFFFF"/>
              <w:left w:val="single" w:sz="8" w:space="0" w:color="FFFFFF"/>
              <w:bottom w:val="single" w:sz="24" w:space="0" w:color="FFFFFF"/>
              <w:right w:val="single" w:sz="8" w:space="0" w:color="FFFFFF"/>
            </w:tcBorders>
            <w:shd w:val="clear" w:color="auto" w:fill="365F91" w:themeFill="accent1" w:themeFillShade="BF"/>
          </w:tcPr>
          <w:p w14:paraId="2304B878" w14:textId="77777777" w:rsidR="00033E40" w:rsidRPr="00B51F6E" w:rsidRDefault="00033E40" w:rsidP="00B51F6E">
            <w:pPr>
              <w:spacing w:line="240" w:lineRule="auto"/>
              <w:jc w:val="left"/>
              <w:rPr>
                <w:rFonts w:asciiTheme="minorHAnsi" w:hAnsiTheme="minorHAnsi" w:cstheme="minorHAnsi"/>
                <w:b/>
                <w:bCs/>
                <w:color w:val="FFFFFF" w:themeColor="background1"/>
                <w:sz w:val="20"/>
                <w:lang w:val="de-DE"/>
              </w:rPr>
            </w:pPr>
            <w:r w:rsidRPr="00B51F6E">
              <w:rPr>
                <w:rFonts w:asciiTheme="minorHAnsi" w:hAnsiTheme="minorHAnsi" w:cstheme="minorHAnsi"/>
                <w:b/>
                <w:bCs/>
                <w:color w:val="FFFFFF" w:themeColor="background1"/>
                <w:sz w:val="20"/>
                <w:lang w:val="de-DE"/>
              </w:rPr>
              <w:t>EFS 3-Year rate</w:t>
            </w:r>
          </w:p>
        </w:tc>
        <w:tc>
          <w:tcPr>
            <w:tcW w:w="2126" w:type="dxa"/>
            <w:tcBorders>
              <w:top w:val="single" w:sz="8" w:space="0" w:color="FFFFFF"/>
              <w:left w:val="single" w:sz="8" w:space="0" w:color="FFFFFF"/>
              <w:bottom w:val="single" w:sz="24" w:space="0" w:color="FFFFFF"/>
              <w:right w:val="single" w:sz="8" w:space="0" w:color="FFFFFF"/>
            </w:tcBorders>
            <w:shd w:val="clear" w:color="auto" w:fill="365F91" w:themeFill="accent1" w:themeFillShade="BF"/>
          </w:tcPr>
          <w:p w14:paraId="07259A08" w14:textId="77777777" w:rsidR="00033E40" w:rsidRPr="00B51F6E" w:rsidRDefault="00033E40" w:rsidP="00B51F6E">
            <w:pPr>
              <w:spacing w:line="240" w:lineRule="auto"/>
              <w:jc w:val="left"/>
              <w:rPr>
                <w:rFonts w:asciiTheme="minorHAnsi" w:hAnsiTheme="minorHAnsi" w:cstheme="minorHAnsi"/>
                <w:b/>
                <w:bCs/>
                <w:color w:val="FFFFFF" w:themeColor="background1"/>
                <w:sz w:val="20"/>
                <w:lang w:val="de-DE"/>
              </w:rPr>
            </w:pPr>
            <w:r w:rsidRPr="00B51F6E">
              <w:rPr>
                <w:rFonts w:asciiTheme="minorHAnsi" w:hAnsiTheme="minorHAnsi" w:cstheme="minorHAnsi"/>
                <w:b/>
                <w:bCs/>
                <w:color w:val="FFFFFF" w:themeColor="background1"/>
                <w:sz w:val="20"/>
                <w:lang w:val="de-DE"/>
              </w:rPr>
              <w:t>OS 3-Year rate</w:t>
            </w:r>
          </w:p>
        </w:tc>
      </w:tr>
      <w:tr w:rsidR="00033E40" w:rsidRPr="00BD35ED" w14:paraId="779757FF" w14:textId="77777777" w:rsidTr="00B51F6E">
        <w:trPr>
          <w:trHeight w:val="189"/>
        </w:trPr>
        <w:tc>
          <w:tcPr>
            <w:tcW w:w="2000"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hideMark/>
          </w:tcPr>
          <w:p w14:paraId="43088A58" w14:textId="77777777" w:rsidR="00033E40" w:rsidRPr="00B51F6E" w:rsidRDefault="00033E40" w:rsidP="00B51F6E">
            <w:pPr>
              <w:spacing w:line="240" w:lineRule="auto"/>
              <w:jc w:val="left"/>
              <w:rPr>
                <w:rFonts w:asciiTheme="minorHAnsi" w:hAnsiTheme="minorHAnsi" w:cstheme="minorHAnsi"/>
                <w:b/>
                <w:sz w:val="20"/>
              </w:rPr>
            </w:pPr>
            <w:r w:rsidRPr="00B51F6E">
              <w:rPr>
                <w:rFonts w:asciiTheme="minorHAnsi" w:hAnsiTheme="minorHAnsi" w:cstheme="minorHAnsi"/>
                <w:b/>
                <w:sz w:val="20"/>
                <w:lang w:val="de-DE"/>
              </w:rPr>
              <w:t>Low</w:t>
            </w:r>
          </w:p>
        </w:tc>
        <w:tc>
          <w:tcPr>
            <w:tcW w:w="1830"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Pr>
          <w:p w14:paraId="39B03241" w14:textId="77777777" w:rsidR="00033E40" w:rsidRPr="00B51F6E" w:rsidRDefault="00033E40" w:rsidP="00B51F6E">
            <w:pPr>
              <w:spacing w:line="240" w:lineRule="auto"/>
              <w:jc w:val="left"/>
              <w:rPr>
                <w:rFonts w:asciiTheme="minorHAnsi" w:hAnsiTheme="minorHAnsi" w:cstheme="minorHAnsi"/>
                <w:sz w:val="20"/>
              </w:rPr>
            </w:pPr>
            <w:r w:rsidRPr="00B51F6E">
              <w:rPr>
                <w:rFonts w:asciiTheme="minorHAnsi" w:hAnsiTheme="minorHAnsi" w:cstheme="minorHAnsi"/>
                <w:sz w:val="20"/>
              </w:rPr>
              <w:t>65%</w:t>
            </w:r>
          </w:p>
        </w:tc>
        <w:tc>
          <w:tcPr>
            <w:tcW w:w="2126"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Pr>
          <w:p w14:paraId="3784AAC0" w14:textId="77777777" w:rsidR="00033E40" w:rsidRPr="00B51F6E" w:rsidRDefault="00033E40" w:rsidP="00B51F6E">
            <w:pPr>
              <w:spacing w:line="240" w:lineRule="auto"/>
              <w:jc w:val="left"/>
              <w:rPr>
                <w:rFonts w:asciiTheme="minorHAnsi" w:hAnsiTheme="minorHAnsi" w:cstheme="minorHAnsi"/>
                <w:sz w:val="20"/>
              </w:rPr>
            </w:pPr>
            <w:r w:rsidRPr="00B51F6E">
              <w:rPr>
                <w:rFonts w:asciiTheme="minorHAnsi" w:hAnsiTheme="minorHAnsi" w:cstheme="minorHAnsi"/>
                <w:sz w:val="20"/>
              </w:rPr>
              <w:t>78%</w:t>
            </w:r>
          </w:p>
        </w:tc>
      </w:tr>
      <w:tr w:rsidR="00033E40" w:rsidRPr="00BD35ED" w14:paraId="5DAFE086" w14:textId="77777777" w:rsidTr="00B51F6E">
        <w:trPr>
          <w:trHeight w:val="179"/>
        </w:trPr>
        <w:tc>
          <w:tcPr>
            <w:tcW w:w="200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0417C016" w14:textId="77777777" w:rsidR="00033E40" w:rsidRPr="00B51F6E" w:rsidRDefault="00033E40" w:rsidP="00B51F6E">
            <w:pPr>
              <w:spacing w:line="240" w:lineRule="auto"/>
              <w:jc w:val="left"/>
              <w:rPr>
                <w:rFonts w:asciiTheme="minorHAnsi" w:hAnsiTheme="minorHAnsi" w:cstheme="minorHAnsi"/>
                <w:b/>
                <w:sz w:val="20"/>
              </w:rPr>
            </w:pPr>
            <w:r w:rsidRPr="00B51F6E">
              <w:rPr>
                <w:rFonts w:asciiTheme="minorHAnsi" w:hAnsiTheme="minorHAnsi" w:cstheme="minorHAnsi"/>
                <w:b/>
                <w:sz w:val="20"/>
                <w:lang w:val="de-DE"/>
              </w:rPr>
              <w:t>low-intermediate</w:t>
            </w:r>
          </w:p>
        </w:tc>
        <w:tc>
          <w:tcPr>
            <w:tcW w:w="183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1E30B594" w14:textId="77777777" w:rsidR="00033E40" w:rsidRPr="00B51F6E" w:rsidRDefault="00033E40" w:rsidP="00B51F6E">
            <w:pPr>
              <w:spacing w:line="240" w:lineRule="auto"/>
              <w:jc w:val="left"/>
              <w:rPr>
                <w:rFonts w:asciiTheme="minorHAnsi" w:hAnsiTheme="minorHAnsi" w:cstheme="minorHAnsi"/>
                <w:sz w:val="20"/>
              </w:rPr>
            </w:pPr>
            <w:r w:rsidRPr="00B51F6E">
              <w:rPr>
                <w:rFonts w:asciiTheme="minorHAnsi" w:hAnsiTheme="minorHAnsi" w:cstheme="minorHAnsi"/>
                <w:sz w:val="20"/>
              </w:rPr>
              <w:t>43%</w:t>
            </w:r>
          </w:p>
        </w:tc>
        <w:tc>
          <w:tcPr>
            <w:tcW w:w="2126"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4DB2C156" w14:textId="77777777" w:rsidR="00033E40" w:rsidRPr="00B51F6E" w:rsidRDefault="00033E40" w:rsidP="00B51F6E">
            <w:pPr>
              <w:spacing w:line="240" w:lineRule="auto"/>
              <w:jc w:val="left"/>
              <w:rPr>
                <w:rFonts w:asciiTheme="minorHAnsi" w:hAnsiTheme="minorHAnsi" w:cstheme="minorHAnsi"/>
                <w:sz w:val="20"/>
              </w:rPr>
            </w:pPr>
            <w:r w:rsidRPr="00B51F6E">
              <w:rPr>
                <w:rFonts w:asciiTheme="minorHAnsi" w:hAnsiTheme="minorHAnsi" w:cstheme="minorHAnsi"/>
                <w:sz w:val="20"/>
              </w:rPr>
              <w:t>61%</w:t>
            </w:r>
          </w:p>
        </w:tc>
      </w:tr>
      <w:tr w:rsidR="00033E40" w:rsidRPr="00BD35ED" w14:paraId="5CCC2693" w14:textId="77777777" w:rsidTr="00B51F6E">
        <w:trPr>
          <w:trHeight w:val="171"/>
        </w:trPr>
        <w:tc>
          <w:tcPr>
            <w:tcW w:w="2000"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14:paraId="3F455E2E" w14:textId="77777777" w:rsidR="00033E40" w:rsidRPr="00B51F6E" w:rsidRDefault="00033E40" w:rsidP="00B51F6E">
            <w:pPr>
              <w:spacing w:line="240" w:lineRule="auto"/>
              <w:jc w:val="left"/>
              <w:rPr>
                <w:rFonts w:asciiTheme="minorHAnsi" w:hAnsiTheme="minorHAnsi" w:cstheme="minorHAnsi"/>
                <w:b/>
                <w:sz w:val="20"/>
              </w:rPr>
            </w:pPr>
            <w:r w:rsidRPr="00B51F6E">
              <w:rPr>
                <w:rFonts w:asciiTheme="minorHAnsi" w:hAnsiTheme="minorHAnsi" w:cstheme="minorHAnsi"/>
                <w:b/>
                <w:sz w:val="20"/>
                <w:lang w:val="de-DE"/>
              </w:rPr>
              <w:t>high-intermediate</w:t>
            </w:r>
          </w:p>
        </w:tc>
        <w:tc>
          <w:tcPr>
            <w:tcW w:w="1830"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633ADAF5" w14:textId="77777777" w:rsidR="00033E40" w:rsidRPr="00B51F6E" w:rsidRDefault="00033E40" w:rsidP="00B51F6E">
            <w:pPr>
              <w:spacing w:line="240" w:lineRule="auto"/>
              <w:jc w:val="left"/>
              <w:rPr>
                <w:rFonts w:asciiTheme="minorHAnsi" w:hAnsiTheme="minorHAnsi" w:cstheme="minorHAnsi"/>
                <w:sz w:val="20"/>
              </w:rPr>
            </w:pPr>
            <w:r w:rsidRPr="00B51F6E">
              <w:rPr>
                <w:rFonts w:asciiTheme="minorHAnsi" w:hAnsiTheme="minorHAnsi" w:cstheme="minorHAnsi"/>
                <w:sz w:val="20"/>
              </w:rPr>
              <w:t>41%</w:t>
            </w:r>
          </w:p>
        </w:tc>
        <w:tc>
          <w:tcPr>
            <w:tcW w:w="2126"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63EED772" w14:textId="77777777" w:rsidR="00033E40" w:rsidRPr="00B51F6E" w:rsidRDefault="00033E40" w:rsidP="00B51F6E">
            <w:pPr>
              <w:spacing w:line="240" w:lineRule="auto"/>
              <w:jc w:val="left"/>
              <w:rPr>
                <w:rFonts w:asciiTheme="minorHAnsi" w:hAnsiTheme="minorHAnsi" w:cstheme="minorHAnsi"/>
                <w:sz w:val="20"/>
              </w:rPr>
            </w:pPr>
            <w:r w:rsidRPr="00B51F6E">
              <w:rPr>
                <w:rFonts w:asciiTheme="minorHAnsi" w:hAnsiTheme="minorHAnsi" w:cstheme="minorHAnsi"/>
                <w:sz w:val="20"/>
              </w:rPr>
              <w:t>50%</w:t>
            </w:r>
          </w:p>
        </w:tc>
      </w:tr>
      <w:tr w:rsidR="00033E40" w:rsidRPr="00BD35ED" w14:paraId="4526D63F" w14:textId="77777777" w:rsidTr="00B51F6E">
        <w:trPr>
          <w:trHeight w:val="177"/>
        </w:trPr>
        <w:tc>
          <w:tcPr>
            <w:tcW w:w="2000" w:type="dxa"/>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vAlign w:val="center"/>
            <w:hideMark/>
          </w:tcPr>
          <w:p w14:paraId="1EF0C067" w14:textId="77777777" w:rsidR="00033E40" w:rsidRPr="00B51F6E" w:rsidRDefault="00033E40" w:rsidP="00B51F6E">
            <w:pPr>
              <w:spacing w:line="240" w:lineRule="auto"/>
              <w:jc w:val="left"/>
              <w:rPr>
                <w:rFonts w:asciiTheme="minorHAnsi" w:hAnsiTheme="minorHAnsi" w:cstheme="minorHAnsi"/>
                <w:b/>
                <w:sz w:val="20"/>
              </w:rPr>
            </w:pPr>
            <w:r w:rsidRPr="00B51F6E">
              <w:rPr>
                <w:rFonts w:asciiTheme="minorHAnsi" w:hAnsiTheme="minorHAnsi" w:cstheme="minorHAnsi"/>
                <w:b/>
                <w:sz w:val="20"/>
                <w:lang w:val="de-DE"/>
              </w:rPr>
              <w:t>High</w:t>
            </w:r>
          </w:p>
        </w:tc>
        <w:tc>
          <w:tcPr>
            <w:tcW w:w="1830" w:type="dxa"/>
            <w:tcBorders>
              <w:top w:val="single" w:sz="8" w:space="0" w:color="FFFFFF"/>
              <w:left w:val="single" w:sz="8" w:space="0" w:color="FFFFFF"/>
              <w:bottom w:val="single" w:sz="8" w:space="0" w:color="FFFFFF"/>
              <w:right w:val="single" w:sz="8" w:space="0" w:color="FFFFFF"/>
            </w:tcBorders>
            <w:shd w:val="clear" w:color="auto" w:fill="A6A6A6" w:themeFill="background1" w:themeFillShade="A6"/>
          </w:tcPr>
          <w:p w14:paraId="1511F195" w14:textId="77777777" w:rsidR="00033E40" w:rsidRPr="00B51F6E" w:rsidRDefault="00033E40" w:rsidP="00B51F6E">
            <w:pPr>
              <w:spacing w:line="240" w:lineRule="auto"/>
              <w:jc w:val="left"/>
              <w:rPr>
                <w:rFonts w:asciiTheme="minorHAnsi" w:hAnsiTheme="minorHAnsi" w:cstheme="minorHAnsi"/>
                <w:sz w:val="20"/>
              </w:rPr>
            </w:pPr>
            <w:r w:rsidRPr="00B51F6E">
              <w:rPr>
                <w:rFonts w:asciiTheme="minorHAnsi" w:hAnsiTheme="minorHAnsi" w:cstheme="minorHAnsi"/>
                <w:sz w:val="20"/>
              </w:rPr>
              <w:t>10%</w:t>
            </w:r>
          </w:p>
        </w:tc>
        <w:tc>
          <w:tcPr>
            <w:tcW w:w="2126" w:type="dxa"/>
            <w:tcBorders>
              <w:top w:val="single" w:sz="8" w:space="0" w:color="FFFFFF"/>
              <w:left w:val="single" w:sz="8" w:space="0" w:color="FFFFFF"/>
              <w:bottom w:val="single" w:sz="8" w:space="0" w:color="FFFFFF"/>
              <w:right w:val="single" w:sz="8" w:space="0" w:color="FFFFFF"/>
            </w:tcBorders>
            <w:shd w:val="clear" w:color="auto" w:fill="A6A6A6" w:themeFill="background1" w:themeFillShade="A6"/>
          </w:tcPr>
          <w:p w14:paraId="6C6DA383" w14:textId="77777777" w:rsidR="00033E40" w:rsidRPr="00B51F6E" w:rsidRDefault="00033E40" w:rsidP="00B51F6E">
            <w:pPr>
              <w:spacing w:line="240" w:lineRule="auto"/>
              <w:jc w:val="left"/>
              <w:rPr>
                <w:rFonts w:asciiTheme="minorHAnsi" w:hAnsiTheme="minorHAnsi" w:cstheme="minorHAnsi"/>
                <w:sz w:val="20"/>
              </w:rPr>
            </w:pPr>
            <w:r w:rsidRPr="00B51F6E">
              <w:rPr>
                <w:rFonts w:asciiTheme="minorHAnsi" w:hAnsiTheme="minorHAnsi" w:cstheme="minorHAnsi"/>
                <w:sz w:val="20"/>
              </w:rPr>
              <w:t>27%</w:t>
            </w:r>
          </w:p>
        </w:tc>
      </w:tr>
    </w:tbl>
    <w:p w14:paraId="7DF5F9E3" w14:textId="77777777" w:rsidR="00942D0D" w:rsidRDefault="00B51F6E" w:rsidP="007374FB">
      <w:pPr>
        <w:pStyle w:val="Textkrper-Einzug2"/>
        <w:spacing w:after="0" w:line="276" w:lineRule="auto"/>
        <w:ind w:left="0"/>
        <w:jc w:val="left"/>
        <w:rPr>
          <w:noProof/>
          <w:lang w:eastAsia="de-AT"/>
        </w:rPr>
      </w:pPr>
      <w:r>
        <w:rPr>
          <w:noProof/>
          <w:lang w:eastAsia="de-AT"/>
        </w:rPr>
        <w:drawing>
          <wp:anchor distT="0" distB="0" distL="114300" distR="114300" simplePos="0" relativeHeight="251660288" behindDoc="0" locked="0" layoutInCell="1" allowOverlap="1" wp14:anchorId="6C1AB8CD" wp14:editId="58307733">
            <wp:simplePos x="0" y="0"/>
            <wp:positionH relativeFrom="margin">
              <wp:posOffset>2985770</wp:posOffset>
            </wp:positionH>
            <wp:positionV relativeFrom="paragraph">
              <wp:posOffset>22860</wp:posOffset>
            </wp:positionV>
            <wp:extent cx="2957889" cy="24193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t="49083"/>
                    <a:stretch/>
                  </pic:blipFill>
                  <pic:spPr bwMode="auto">
                    <a:xfrm>
                      <a:off x="0" y="0"/>
                      <a:ext cx="2972419" cy="2431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8072D9" w14:textId="77777777" w:rsidR="00B51F6E" w:rsidRDefault="00B51F6E" w:rsidP="007374FB">
      <w:pPr>
        <w:pStyle w:val="Textkrper-Einzug2"/>
        <w:spacing w:after="0" w:line="276" w:lineRule="auto"/>
        <w:ind w:left="0"/>
        <w:jc w:val="left"/>
        <w:rPr>
          <w:rFonts w:asciiTheme="minorHAnsi" w:hAnsiTheme="minorHAnsi" w:cstheme="minorHAnsi"/>
          <w:sz w:val="18"/>
          <w:szCs w:val="18"/>
        </w:rPr>
      </w:pPr>
      <w:r>
        <w:rPr>
          <w:noProof/>
          <w:lang w:eastAsia="de-AT"/>
        </w:rPr>
        <w:drawing>
          <wp:inline distT="0" distB="0" distL="0" distR="0" wp14:anchorId="5659BA90" wp14:editId="4B571AC0">
            <wp:extent cx="2932524" cy="2349500"/>
            <wp:effectExtent l="0" t="0" r="127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b="50126"/>
                    <a:stretch/>
                  </pic:blipFill>
                  <pic:spPr bwMode="auto">
                    <a:xfrm>
                      <a:off x="0" y="0"/>
                      <a:ext cx="2958937" cy="2370662"/>
                    </a:xfrm>
                    <a:prstGeom prst="rect">
                      <a:avLst/>
                    </a:prstGeom>
                    <a:noFill/>
                    <a:ln>
                      <a:noFill/>
                    </a:ln>
                    <a:extLst>
                      <a:ext uri="{53640926-AAD7-44D8-BBD7-CCE9431645EC}">
                        <a14:shadowObscured xmlns:a14="http://schemas.microsoft.com/office/drawing/2010/main"/>
                      </a:ext>
                    </a:extLst>
                  </pic:spPr>
                </pic:pic>
              </a:graphicData>
            </a:graphic>
          </wp:inline>
        </w:drawing>
      </w:r>
    </w:p>
    <w:p w14:paraId="3AC2D290" w14:textId="77777777" w:rsidR="00C520AA" w:rsidRDefault="00942D0D" w:rsidP="00B51F6E">
      <w:pPr>
        <w:spacing w:line="240" w:lineRule="auto"/>
        <w:jc w:val="left"/>
        <w:rPr>
          <w:rFonts w:asciiTheme="minorHAnsi" w:hAnsiTheme="minorHAnsi" w:cstheme="minorHAnsi"/>
          <w:b/>
          <w:szCs w:val="22"/>
        </w:rPr>
      </w:pPr>
      <w:r>
        <w:rPr>
          <w:rFonts w:asciiTheme="minorHAnsi" w:hAnsiTheme="minorHAnsi" w:cstheme="minorHAnsi"/>
          <w:sz w:val="18"/>
          <w:szCs w:val="18"/>
        </w:rPr>
        <w:br w:type="page"/>
      </w:r>
      <w:r w:rsidR="003F629C" w:rsidRPr="003F629C">
        <w:rPr>
          <w:rFonts w:asciiTheme="minorHAnsi" w:hAnsiTheme="minorHAnsi" w:cstheme="minorHAnsi"/>
          <w:b/>
          <w:szCs w:val="22"/>
        </w:rPr>
        <w:lastRenderedPageBreak/>
        <w:t>T</w:t>
      </w:r>
      <w:r w:rsidR="000155EA" w:rsidRPr="000155EA">
        <w:rPr>
          <w:rFonts w:asciiTheme="minorHAnsi" w:hAnsiTheme="minorHAnsi" w:cstheme="minorHAnsi"/>
          <w:b/>
          <w:szCs w:val="22"/>
        </w:rPr>
        <w:t>abelle: Prognose je nach Entität bei Patienten mit Anthrazyklin-basierter Chemotherapie</w:t>
      </w:r>
      <w:r w:rsidR="000155EA" w:rsidRPr="004501B1">
        <w:rPr>
          <w:rFonts w:asciiTheme="minorHAnsi" w:hAnsiTheme="minorHAnsi" w:cstheme="minorHAnsi"/>
          <w:b/>
          <w:szCs w:val="22"/>
        </w:rPr>
        <w:t xml:space="preserve"> (Schmitz N, Blood 2010)</w:t>
      </w:r>
    </w:p>
    <w:p w14:paraId="5F14AF15" w14:textId="77777777" w:rsidR="004501B1" w:rsidRDefault="004501B1" w:rsidP="007374FB">
      <w:pPr>
        <w:pStyle w:val="Textkrper-Einzug2"/>
        <w:spacing w:after="0" w:line="276" w:lineRule="auto"/>
        <w:ind w:left="0"/>
        <w:jc w:val="left"/>
        <w:rPr>
          <w:rFonts w:asciiTheme="minorHAnsi" w:hAnsiTheme="minorHAnsi" w:cstheme="minorHAnsi"/>
          <w:b/>
          <w:szCs w:val="22"/>
        </w:rPr>
      </w:pPr>
    </w:p>
    <w:tbl>
      <w:tblPr>
        <w:tblW w:w="8082" w:type="dxa"/>
        <w:tblCellMar>
          <w:left w:w="0" w:type="dxa"/>
          <w:right w:w="0" w:type="dxa"/>
        </w:tblCellMar>
        <w:tblLook w:val="0420" w:firstRow="1" w:lastRow="0" w:firstColumn="0" w:lastColumn="0" w:noHBand="0" w:noVBand="1"/>
      </w:tblPr>
      <w:tblGrid>
        <w:gridCol w:w="1704"/>
        <w:gridCol w:w="2126"/>
        <w:gridCol w:w="2126"/>
        <w:gridCol w:w="2126"/>
      </w:tblGrid>
      <w:tr w:rsidR="004501B1" w:rsidRPr="004501B1" w14:paraId="73F37594" w14:textId="77777777" w:rsidTr="004501B1">
        <w:trPr>
          <w:trHeight w:hRule="exact" w:val="284"/>
        </w:trPr>
        <w:tc>
          <w:tcPr>
            <w:tcW w:w="1704" w:type="dxa"/>
            <w:tcBorders>
              <w:top w:val="single" w:sz="8" w:space="0" w:color="FFFFFF"/>
              <w:left w:val="single" w:sz="8" w:space="0" w:color="FFFFFF"/>
              <w:bottom w:val="single" w:sz="24" w:space="0" w:color="FFFFFF"/>
              <w:right w:val="single" w:sz="8" w:space="0" w:color="FFFFFF"/>
            </w:tcBorders>
            <w:shd w:val="clear" w:color="auto" w:fill="365F91" w:themeFill="accent1" w:themeFillShade="BF"/>
            <w:tcMar>
              <w:top w:w="72" w:type="dxa"/>
              <w:left w:w="144" w:type="dxa"/>
              <w:bottom w:w="72" w:type="dxa"/>
              <w:right w:w="144" w:type="dxa"/>
            </w:tcMar>
            <w:hideMark/>
          </w:tcPr>
          <w:p w14:paraId="378DB17D" w14:textId="77777777" w:rsidR="004501B1" w:rsidRPr="004501B1" w:rsidRDefault="004501B1" w:rsidP="007374FB">
            <w:pPr>
              <w:spacing w:line="276" w:lineRule="auto"/>
              <w:jc w:val="left"/>
              <w:rPr>
                <w:rFonts w:asciiTheme="minorHAnsi" w:hAnsiTheme="minorHAnsi" w:cstheme="minorHAnsi"/>
                <w:b/>
                <w:color w:val="FFFFFF" w:themeColor="background1"/>
                <w:sz w:val="18"/>
                <w:szCs w:val="18"/>
              </w:rPr>
            </w:pPr>
            <w:r w:rsidRPr="004501B1">
              <w:rPr>
                <w:rFonts w:asciiTheme="minorHAnsi" w:hAnsiTheme="minorHAnsi" w:cstheme="minorHAnsi"/>
                <w:b/>
                <w:color w:val="FFFFFF" w:themeColor="background1"/>
                <w:sz w:val="18"/>
                <w:szCs w:val="18"/>
              </w:rPr>
              <w:t>Entität</w:t>
            </w:r>
          </w:p>
        </w:tc>
        <w:tc>
          <w:tcPr>
            <w:tcW w:w="2126" w:type="dxa"/>
            <w:tcBorders>
              <w:top w:val="single" w:sz="8" w:space="0" w:color="FFFFFF"/>
              <w:left w:val="single" w:sz="8" w:space="0" w:color="FFFFFF"/>
              <w:bottom w:val="single" w:sz="24" w:space="0" w:color="FFFFFF"/>
              <w:right w:val="single" w:sz="8" w:space="0" w:color="FFFFFF"/>
            </w:tcBorders>
            <w:shd w:val="clear" w:color="auto" w:fill="365F91" w:themeFill="accent1" w:themeFillShade="BF"/>
          </w:tcPr>
          <w:p w14:paraId="51DEE1B9" w14:textId="77777777" w:rsidR="004501B1" w:rsidRPr="004501B1" w:rsidRDefault="004501B1" w:rsidP="007374FB">
            <w:pPr>
              <w:spacing w:line="276" w:lineRule="auto"/>
              <w:jc w:val="left"/>
              <w:rPr>
                <w:rFonts w:asciiTheme="minorHAnsi" w:hAnsiTheme="minorHAnsi" w:cstheme="minorHAnsi"/>
                <w:b/>
                <w:color w:val="FFFFFF" w:themeColor="background1"/>
                <w:sz w:val="18"/>
                <w:szCs w:val="18"/>
              </w:rPr>
            </w:pPr>
          </w:p>
        </w:tc>
        <w:tc>
          <w:tcPr>
            <w:tcW w:w="2126" w:type="dxa"/>
            <w:tcBorders>
              <w:top w:val="single" w:sz="8" w:space="0" w:color="FFFFFF"/>
              <w:left w:val="single" w:sz="8" w:space="0" w:color="FFFFFF"/>
              <w:bottom w:val="single" w:sz="24" w:space="0" w:color="FFFFFF"/>
              <w:right w:val="single" w:sz="8" w:space="0" w:color="FFFFFF"/>
            </w:tcBorders>
            <w:shd w:val="clear" w:color="auto" w:fill="365F91" w:themeFill="accent1" w:themeFillShade="BF"/>
            <w:tcMar>
              <w:top w:w="72" w:type="dxa"/>
              <w:left w:w="144" w:type="dxa"/>
              <w:bottom w:w="72" w:type="dxa"/>
              <w:right w:w="144" w:type="dxa"/>
            </w:tcMar>
            <w:hideMark/>
          </w:tcPr>
          <w:p w14:paraId="6E8663D3" w14:textId="77777777" w:rsidR="004501B1" w:rsidRPr="004501B1" w:rsidRDefault="004501B1" w:rsidP="007374FB">
            <w:pPr>
              <w:spacing w:line="276" w:lineRule="auto"/>
              <w:jc w:val="left"/>
              <w:rPr>
                <w:rFonts w:asciiTheme="minorHAnsi" w:hAnsiTheme="minorHAnsi" w:cstheme="minorHAnsi"/>
                <w:b/>
                <w:color w:val="FFFFFF" w:themeColor="background1"/>
                <w:sz w:val="18"/>
                <w:szCs w:val="18"/>
              </w:rPr>
            </w:pPr>
            <w:r w:rsidRPr="004501B1">
              <w:rPr>
                <w:rFonts w:asciiTheme="minorHAnsi" w:hAnsiTheme="minorHAnsi" w:cstheme="minorHAnsi"/>
                <w:b/>
                <w:color w:val="FFFFFF" w:themeColor="background1"/>
                <w:sz w:val="18"/>
                <w:szCs w:val="18"/>
              </w:rPr>
              <w:t>EFS (</w:t>
            </w:r>
            <w:r w:rsidRPr="004501B1">
              <w:rPr>
                <w:rFonts w:asciiTheme="minorHAnsi" w:hAnsiTheme="minorHAnsi" w:cstheme="minorHAnsi"/>
                <w:b/>
                <w:bCs/>
                <w:color w:val="FFFFFF" w:themeColor="background1"/>
                <w:sz w:val="18"/>
                <w:szCs w:val="18"/>
                <w:lang w:val="de-DE"/>
              </w:rPr>
              <w:t>3-Year rate)</w:t>
            </w:r>
          </w:p>
        </w:tc>
        <w:tc>
          <w:tcPr>
            <w:tcW w:w="2126" w:type="dxa"/>
            <w:tcBorders>
              <w:top w:val="single" w:sz="8" w:space="0" w:color="FFFFFF"/>
              <w:left w:val="single" w:sz="8" w:space="0" w:color="FFFFFF"/>
              <w:bottom w:val="single" w:sz="24" w:space="0" w:color="FFFFFF"/>
              <w:right w:val="single" w:sz="8" w:space="0" w:color="FFFFFF"/>
            </w:tcBorders>
            <w:shd w:val="clear" w:color="auto" w:fill="365F91" w:themeFill="accent1" w:themeFillShade="BF"/>
            <w:tcMar>
              <w:top w:w="72" w:type="dxa"/>
              <w:left w:w="144" w:type="dxa"/>
              <w:bottom w:w="72" w:type="dxa"/>
              <w:right w:w="144" w:type="dxa"/>
            </w:tcMar>
            <w:hideMark/>
          </w:tcPr>
          <w:p w14:paraId="34B08BE4" w14:textId="77777777" w:rsidR="004501B1" w:rsidRPr="004501B1" w:rsidRDefault="004501B1" w:rsidP="007374FB">
            <w:pPr>
              <w:spacing w:line="276" w:lineRule="auto"/>
              <w:jc w:val="left"/>
              <w:rPr>
                <w:rFonts w:asciiTheme="minorHAnsi" w:hAnsiTheme="minorHAnsi" w:cstheme="minorHAnsi"/>
                <w:b/>
                <w:color w:val="FFFFFF" w:themeColor="background1"/>
                <w:sz w:val="18"/>
                <w:szCs w:val="18"/>
              </w:rPr>
            </w:pPr>
            <w:r w:rsidRPr="004501B1">
              <w:rPr>
                <w:rFonts w:asciiTheme="minorHAnsi" w:hAnsiTheme="minorHAnsi" w:cstheme="minorHAnsi"/>
                <w:b/>
                <w:color w:val="FFFFFF" w:themeColor="background1"/>
                <w:sz w:val="18"/>
                <w:szCs w:val="18"/>
              </w:rPr>
              <w:t>OS (</w:t>
            </w:r>
            <w:r w:rsidRPr="004501B1">
              <w:rPr>
                <w:rFonts w:asciiTheme="minorHAnsi" w:hAnsiTheme="minorHAnsi" w:cstheme="minorHAnsi"/>
                <w:b/>
                <w:bCs/>
                <w:color w:val="FFFFFF" w:themeColor="background1"/>
                <w:sz w:val="18"/>
                <w:szCs w:val="18"/>
                <w:lang w:val="de-DE"/>
              </w:rPr>
              <w:t>3-Year rate)</w:t>
            </w:r>
          </w:p>
        </w:tc>
      </w:tr>
      <w:tr w:rsidR="004501B1" w:rsidRPr="004501B1" w14:paraId="4F37EC62" w14:textId="77777777" w:rsidTr="004501B1">
        <w:trPr>
          <w:trHeight w:hRule="exact" w:val="340"/>
        </w:trPr>
        <w:tc>
          <w:tcPr>
            <w:tcW w:w="1704"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hideMark/>
          </w:tcPr>
          <w:p w14:paraId="5DF2A11B" w14:textId="77777777" w:rsidR="004501B1" w:rsidRPr="004501B1" w:rsidRDefault="004501B1" w:rsidP="004501B1">
            <w:pPr>
              <w:spacing w:line="240" w:lineRule="auto"/>
              <w:jc w:val="left"/>
              <w:rPr>
                <w:rFonts w:asciiTheme="minorHAnsi" w:hAnsiTheme="minorHAnsi" w:cstheme="minorHAnsi"/>
                <w:sz w:val="18"/>
                <w:szCs w:val="18"/>
              </w:rPr>
            </w:pPr>
            <w:r w:rsidRPr="004501B1">
              <w:rPr>
                <w:rFonts w:asciiTheme="minorHAnsi" w:hAnsiTheme="minorHAnsi" w:cstheme="minorHAnsi"/>
                <w:sz w:val="18"/>
                <w:szCs w:val="18"/>
              </w:rPr>
              <w:t>ALCL, ALK+</w:t>
            </w:r>
          </w:p>
        </w:tc>
        <w:tc>
          <w:tcPr>
            <w:tcW w:w="2126"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Pr>
          <w:p w14:paraId="401B69D7" w14:textId="77777777" w:rsidR="004501B1" w:rsidRPr="004501B1" w:rsidRDefault="004501B1" w:rsidP="004501B1">
            <w:pPr>
              <w:spacing w:line="240" w:lineRule="auto"/>
              <w:jc w:val="left"/>
              <w:rPr>
                <w:rFonts w:asciiTheme="minorHAnsi" w:hAnsiTheme="minorHAnsi" w:cstheme="minorHAnsi"/>
                <w:sz w:val="18"/>
                <w:szCs w:val="18"/>
              </w:rPr>
            </w:pPr>
          </w:p>
        </w:tc>
        <w:tc>
          <w:tcPr>
            <w:tcW w:w="2126"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hideMark/>
          </w:tcPr>
          <w:p w14:paraId="76B83F8F" w14:textId="77777777" w:rsidR="004501B1" w:rsidRPr="004501B1" w:rsidRDefault="004501B1" w:rsidP="004501B1">
            <w:pPr>
              <w:spacing w:line="240" w:lineRule="auto"/>
              <w:jc w:val="left"/>
              <w:rPr>
                <w:rFonts w:asciiTheme="minorHAnsi" w:hAnsiTheme="minorHAnsi" w:cstheme="minorHAnsi"/>
                <w:sz w:val="18"/>
                <w:szCs w:val="18"/>
              </w:rPr>
            </w:pPr>
            <w:r w:rsidRPr="004501B1">
              <w:rPr>
                <w:rFonts w:asciiTheme="minorHAnsi" w:hAnsiTheme="minorHAnsi" w:cstheme="minorHAnsi"/>
                <w:sz w:val="18"/>
                <w:szCs w:val="18"/>
              </w:rPr>
              <w:t>76%</w:t>
            </w:r>
          </w:p>
        </w:tc>
        <w:tc>
          <w:tcPr>
            <w:tcW w:w="2126"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hideMark/>
          </w:tcPr>
          <w:p w14:paraId="156B44B7" w14:textId="77777777" w:rsidR="004501B1" w:rsidRPr="004501B1" w:rsidRDefault="004501B1" w:rsidP="004501B1">
            <w:pPr>
              <w:spacing w:line="240" w:lineRule="auto"/>
              <w:jc w:val="left"/>
              <w:rPr>
                <w:rFonts w:asciiTheme="minorHAnsi" w:hAnsiTheme="minorHAnsi" w:cstheme="minorHAnsi"/>
                <w:sz w:val="18"/>
                <w:szCs w:val="18"/>
              </w:rPr>
            </w:pPr>
            <w:r w:rsidRPr="004501B1">
              <w:rPr>
                <w:rFonts w:asciiTheme="minorHAnsi" w:hAnsiTheme="minorHAnsi" w:cstheme="minorHAnsi"/>
                <w:sz w:val="18"/>
                <w:szCs w:val="18"/>
              </w:rPr>
              <w:t>90%</w:t>
            </w:r>
          </w:p>
        </w:tc>
      </w:tr>
      <w:tr w:rsidR="004501B1" w:rsidRPr="004501B1" w14:paraId="2B724E53" w14:textId="77777777" w:rsidTr="004501B1">
        <w:trPr>
          <w:trHeight w:hRule="exact" w:val="340"/>
        </w:trPr>
        <w:tc>
          <w:tcPr>
            <w:tcW w:w="170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2F744584" w14:textId="77777777" w:rsidR="004501B1" w:rsidRPr="004501B1" w:rsidRDefault="004501B1" w:rsidP="004501B1">
            <w:pPr>
              <w:spacing w:line="240" w:lineRule="auto"/>
              <w:jc w:val="left"/>
              <w:rPr>
                <w:rFonts w:asciiTheme="minorHAnsi" w:hAnsiTheme="minorHAnsi" w:cstheme="minorHAnsi"/>
                <w:sz w:val="18"/>
                <w:szCs w:val="18"/>
              </w:rPr>
            </w:pPr>
            <w:r w:rsidRPr="004501B1">
              <w:rPr>
                <w:rFonts w:asciiTheme="minorHAnsi" w:hAnsiTheme="minorHAnsi" w:cstheme="minorHAnsi"/>
                <w:sz w:val="18"/>
                <w:szCs w:val="18"/>
                <w:lang w:val="de-DE"/>
              </w:rPr>
              <w:t>ALCL, ALK-</w:t>
            </w:r>
          </w:p>
        </w:tc>
        <w:tc>
          <w:tcPr>
            <w:tcW w:w="2126"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1A9BB199" w14:textId="77777777" w:rsidR="004501B1" w:rsidRPr="004501B1" w:rsidRDefault="004501B1" w:rsidP="004501B1">
            <w:pPr>
              <w:spacing w:line="240" w:lineRule="auto"/>
              <w:jc w:val="left"/>
              <w:rPr>
                <w:rFonts w:asciiTheme="minorHAnsi" w:hAnsiTheme="minorHAnsi" w:cstheme="minorHAnsi"/>
                <w:sz w:val="18"/>
                <w:szCs w:val="18"/>
              </w:rPr>
            </w:pPr>
          </w:p>
        </w:tc>
        <w:tc>
          <w:tcPr>
            <w:tcW w:w="2126"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61F8E97C" w14:textId="77777777" w:rsidR="004501B1" w:rsidRPr="004501B1" w:rsidRDefault="004501B1" w:rsidP="004501B1">
            <w:pPr>
              <w:spacing w:line="240" w:lineRule="auto"/>
              <w:jc w:val="left"/>
              <w:rPr>
                <w:rFonts w:asciiTheme="minorHAnsi" w:hAnsiTheme="minorHAnsi" w:cstheme="minorHAnsi"/>
                <w:sz w:val="18"/>
                <w:szCs w:val="18"/>
              </w:rPr>
            </w:pPr>
            <w:r w:rsidRPr="004501B1">
              <w:rPr>
                <w:rFonts w:asciiTheme="minorHAnsi" w:hAnsiTheme="minorHAnsi" w:cstheme="minorHAnsi"/>
                <w:sz w:val="18"/>
                <w:szCs w:val="18"/>
              </w:rPr>
              <w:t>46%</w:t>
            </w:r>
          </w:p>
        </w:tc>
        <w:tc>
          <w:tcPr>
            <w:tcW w:w="2126"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25222F03" w14:textId="77777777" w:rsidR="004501B1" w:rsidRPr="004501B1" w:rsidRDefault="004501B1" w:rsidP="004501B1">
            <w:pPr>
              <w:spacing w:line="240" w:lineRule="auto"/>
              <w:jc w:val="left"/>
              <w:rPr>
                <w:rFonts w:asciiTheme="minorHAnsi" w:hAnsiTheme="minorHAnsi" w:cstheme="minorHAnsi"/>
                <w:sz w:val="18"/>
                <w:szCs w:val="18"/>
              </w:rPr>
            </w:pPr>
            <w:r w:rsidRPr="004501B1">
              <w:rPr>
                <w:rFonts w:asciiTheme="minorHAnsi" w:hAnsiTheme="minorHAnsi" w:cstheme="minorHAnsi"/>
                <w:sz w:val="18"/>
                <w:szCs w:val="18"/>
              </w:rPr>
              <w:t>62%</w:t>
            </w:r>
          </w:p>
        </w:tc>
      </w:tr>
      <w:tr w:rsidR="004501B1" w:rsidRPr="004501B1" w14:paraId="40962154" w14:textId="77777777" w:rsidTr="004501B1">
        <w:trPr>
          <w:trHeight w:hRule="exact" w:val="340"/>
        </w:trPr>
        <w:tc>
          <w:tcPr>
            <w:tcW w:w="1704"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14:paraId="5B337D86" w14:textId="77777777" w:rsidR="004501B1" w:rsidRPr="004501B1" w:rsidRDefault="004501B1" w:rsidP="004501B1">
            <w:pPr>
              <w:spacing w:line="240" w:lineRule="auto"/>
              <w:jc w:val="left"/>
              <w:rPr>
                <w:rFonts w:asciiTheme="minorHAnsi" w:hAnsiTheme="minorHAnsi" w:cstheme="minorHAnsi"/>
                <w:sz w:val="18"/>
                <w:szCs w:val="18"/>
              </w:rPr>
            </w:pPr>
            <w:r w:rsidRPr="004501B1">
              <w:rPr>
                <w:rFonts w:asciiTheme="minorHAnsi" w:hAnsiTheme="minorHAnsi" w:cstheme="minorHAnsi"/>
                <w:sz w:val="18"/>
                <w:szCs w:val="18"/>
                <w:lang w:val="de-DE"/>
              </w:rPr>
              <w:t>AITL</w:t>
            </w:r>
          </w:p>
        </w:tc>
        <w:tc>
          <w:tcPr>
            <w:tcW w:w="2126"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6163606F" w14:textId="77777777" w:rsidR="004501B1" w:rsidRPr="004501B1" w:rsidRDefault="004501B1" w:rsidP="004501B1">
            <w:pPr>
              <w:spacing w:line="240" w:lineRule="auto"/>
              <w:jc w:val="left"/>
              <w:rPr>
                <w:rFonts w:asciiTheme="minorHAnsi" w:hAnsiTheme="minorHAnsi" w:cstheme="minorHAnsi"/>
                <w:sz w:val="18"/>
                <w:szCs w:val="18"/>
              </w:rPr>
            </w:pPr>
          </w:p>
        </w:tc>
        <w:tc>
          <w:tcPr>
            <w:tcW w:w="2126"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14:paraId="3C776B99" w14:textId="77777777" w:rsidR="004501B1" w:rsidRPr="004501B1" w:rsidRDefault="004501B1" w:rsidP="004501B1">
            <w:pPr>
              <w:spacing w:line="240" w:lineRule="auto"/>
              <w:jc w:val="left"/>
              <w:rPr>
                <w:rFonts w:asciiTheme="minorHAnsi" w:hAnsiTheme="minorHAnsi" w:cstheme="minorHAnsi"/>
                <w:sz w:val="18"/>
                <w:szCs w:val="18"/>
              </w:rPr>
            </w:pPr>
            <w:r w:rsidRPr="004501B1">
              <w:rPr>
                <w:rFonts w:asciiTheme="minorHAnsi" w:hAnsiTheme="minorHAnsi" w:cstheme="minorHAnsi"/>
                <w:sz w:val="18"/>
                <w:szCs w:val="18"/>
              </w:rPr>
              <w:t>50%</w:t>
            </w:r>
          </w:p>
        </w:tc>
        <w:tc>
          <w:tcPr>
            <w:tcW w:w="2126"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14:paraId="4C67AE4A" w14:textId="77777777" w:rsidR="004501B1" w:rsidRPr="004501B1" w:rsidRDefault="004501B1" w:rsidP="004501B1">
            <w:pPr>
              <w:spacing w:line="240" w:lineRule="auto"/>
              <w:jc w:val="left"/>
              <w:rPr>
                <w:rFonts w:asciiTheme="minorHAnsi" w:hAnsiTheme="minorHAnsi" w:cstheme="minorHAnsi"/>
                <w:sz w:val="18"/>
                <w:szCs w:val="18"/>
              </w:rPr>
            </w:pPr>
            <w:r w:rsidRPr="004501B1">
              <w:rPr>
                <w:rFonts w:asciiTheme="minorHAnsi" w:hAnsiTheme="minorHAnsi" w:cstheme="minorHAnsi"/>
                <w:sz w:val="18"/>
                <w:szCs w:val="18"/>
              </w:rPr>
              <w:t>67%</w:t>
            </w:r>
          </w:p>
        </w:tc>
      </w:tr>
      <w:tr w:rsidR="004501B1" w:rsidRPr="004501B1" w14:paraId="5AC8D902" w14:textId="77777777" w:rsidTr="004501B1">
        <w:trPr>
          <w:trHeight w:hRule="exact" w:val="340"/>
        </w:trPr>
        <w:tc>
          <w:tcPr>
            <w:tcW w:w="1704" w:type="dxa"/>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vAlign w:val="center"/>
            <w:hideMark/>
          </w:tcPr>
          <w:p w14:paraId="5A896230" w14:textId="77777777" w:rsidR="004501B1" w:rsidRPr="004501B1" w:rsidRDefault="004501B1" w:rsidP="004501B1">
            <w:pPr>
              <w:spacing w:line="240" w:lineRule="auto"/>
              <w:jc w:val="left"/>
              <w:rPr>
                <w:rFonts w:asciiTheme="minorHAnsi" w:hAnsiTheme="minorHAnsi" w:cstheme="minorHAnsi"/>
                <w:sz w:val="18"/>
                <w:szCs w:val="18"/>
              </w:rPr>
            </w:pPr>
            <w:r w:rsidRPr="004501B1">
              <w:rPr>
                <w:rFonts w:asciiTheme="minorHAnsi" w:hAnsiTheme="minorHAnsi" w:cstheme="minorHAnsi"/>
                <w:sz w:val="18"/>
                <w:szCs w:val="18"/>
                <w:lang w:val="de-DE"/>
              </w:rPr>
              <w:t>PTCL, NOS</w:t>
            </w:r>
          </w:p>
        </w:tc>
        <w:tc>
          <w:tcPr>
            <w:tcW w:w="2126" w:type="dxa"/>
            <w:tcBorders>
              <w:top w:val="single" w:sz="8" w:space="0" w:color="FFFFFF"/>
              <w:left w:val="single" w:sz="8" w:space="0" w:color="FFFFFF"/>
              <w:bottom w:val="single" w:sz="8" w:space="0" w:color="FFFFFF"/>
              <w:right w:val="single" w:sz="8" w:space="0" w:color="FFFFFF"/>
            </w:tcBorders>
            <w:shd w:val="clear" w:color="auto" w:fill="A6A6A6" w:themeFill="background1" w:themeFillShade="A6"/>
          </w:tcPr>
          <w:p w14:paraId="6388C100" w14:textId="77777777" w:rsidR="004501B1" w:rsidRPr="004501B1" w:rsidRDefault="004501B1" w:rsidP="004501B1">
            <w:pPr>
              <w:spacing w:line="240" w:lineRule="auto"/>
              <w:jc w:val="left"/>
              <w:rPr>
                <w:rFonts w:asciiTheme="minorHAnsi" w:hAnsiTheme="minorHAnsi" w:cstheme="minorHAnsi"/>
                <w:sz w:val="18"/>
                <w:szCs w:val="18"/>
              </w:rPr>
            </w:pPr>
          </w:p>
        </w:tc>
        <w:tc>
          <w:tcPr>
            <w:tcW w:w="2126" w:type="dxa"/>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vAlign w:val="center"/>
            <w:hideMark/>
          </w:tcPr>
          <w:p w14:paraId="1060F69E" w14:textId="77777777" w:rsidR="004501B1" w:rsidRPr="004501B1" w:rsidRDefault="004501B1" w:rsidP="004501B1">
            <w:pPr>
              <w:spacing w:line="240" w:lineRule="auto"/>
              <w:jc w:val="left"/>
              <w:rPr>
                <w:rFonts w:asciiTheme="minorHAnsi" w:hAnsiTheme="minorHAnsi" w:cstheme="minorHAnsi"/>
                <w:sz w:val="18"/>
                <w:szCs w:val="18"/>
              </w:rPr>
            </w:pPr>
            <w:r w:rsidRPr="004501B1">
              <w:rPr>
                <w:rFonts w:asciiTheme="minorHAnsi" w:hAnsiTheme="minorHAnsi" w:cstheme="minorHAnsi"/>
                <w:sz w:val="18"/>
                <w:szCs w:val="18"/>
              </w:rPr>
              <w:t>41%</w:t>
            </w:r>
          </w:p>
        </w:tc>
        <w:tc>
          <w:tcPr>
            <w:tcW w:w="2126" w:type="dxa"/>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vAlign w:val="center"/>
            <w:hideMark/>
          </w:tcPr>
          <w:p w14:paraId="72E1C82A" w14:textId="77777777" w:rsidR="004501B1" w:rsidRPr="004501B1" w:rsidRDefault="004501B1" w:rsidP="004501B1">
            <w:pPr>
              <w:spacing w:line="240" w:lineRule="auto"/>
              <w:jc w:val="left"/>
              <w:rPr>
                <w:rFonts w:asciiTheme="minorHAnsi" w:hAnsiTheme="minorHAnsi" w:cstheme="minorHAnsi"/>
                <w:sz w:val="18"/>
                <w:szCs w:val="18"/>
              </w:rPr>
            </w:pPr>
            <w:r w:rsidRPr="004501B1">
              <w:rPr>
                <w:rFonts w:asciiTheme="minorHAnsi" w:hAnsiTheme="minorHAnsi" w:cstheme="minorHAnsi"/>
                <w:sz w:val="18"/>
                <w:szCs w:val="18"/>
              </w:rPr>
              <w:t>54%</w:t>
            </w:r>
          </w:p>
        </w:tc>
      </w:tr>
      <w:tr w:rsidR="004501B1" w:rsidRPr="004501B1" w14:paraId="24A36E03" w14:textId="77777777" w:rsidTr="004501B1">
        <w:trPr>
          <w:trHeight w:hRule="exact" w:val="340"/>
        </w:trPr>
        <w:tc>
          <w:tcPr>
            <w:tcW w:w="1704" w:type="dxa"/>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vAlign w:val="center"/>
          </w:tcPr>
          <w:p w14:paraId="663A1557" w14:textId="77777777" w:rsidR="004501B1" w:rsidRPr="004501B1" w:rsidRDefault="004501B1" w:rsidP="004501B1">
            <w:pPr>
              <w:spacing w:line="240" w:lineRule="auto"/>
              <w:jc w:val="left"/>
              <w:rPr>
                <w:rFonts w:asciiTheme="minorHAnsi" w:hAnsiTheme="minorHAnsi" w:cstheme="minorHAnsi"/>
                <w:sz w:val="18"/>
                <w:szCs w:val="18"/>
                <w:lang w:val="de-DE"/>
              </w:rPr>
            </w:pPr>
            <w:r w:rsidRPr="004501B1">
              <w:rPr>
                <w:rFonts w:asciiTheme="minorHAnsi" w:hAnsiTheme="minorHAnsi" w:cstheme="minorHAnsi"/>
                <w:sz w:val="18"/>
                <w:szCs w:val="18"/>
                <w:lang w:val="de-DE"/>
              </w:rPr>
              <w:t>ENKTL</w:t>
            </w:r>
          </w:p>
        </w:tc>
        <w:tc>
          <w:tcPr>
            <w:tcW w:w="2126" w:type="dxa"/>
            <w:tcBorders>
              <w:top w:val="single" w:sz="8" w:space="0" w:color="FFFFFF"/>
              <w:left w:val="single" w:sz="8" w:space="0" w:color="FFFFFF"/>
              <w:bottom w:val="single" w:sz="8" w:space="0" w:color="FFFFFF"/>
              <w:right w:val="single" w:sz="8" w:space="0" w:color="FFFFFF"/>
            </w:tcBorders>
            <w:shd w:val="clear" w:color="auto" w:fill="A6A6A6" w:themeFill="background1" w:themeFillShade="A6"/>
          </w:tcPr>
          <w:p w14:paraId="5D518EDC" w14:textId="77777777" w:rsidR="004501B1" w:rsidRPr="004501B1" w:rsidRDefault="004501B1" w:rsidP="004501B1">
            <w:pPr>
              <w:spacing w:line="240" w:lineRule="auto"/>
              <w:jc w:val="left"/>
              <w:rPr>
                <w:rFonts w:asciiTheme="minorHAnsi" w:hAnsiTheme="minorHAnsi" w:cstheme="minorHAnsi"/>
                <w:sz w:val="18"/>
                <w:szCs w:val="18"/>
              </w:rPr>
            </w:pPr>
          </w:p>
        </w:tc>
        <w:tc>
          <w:tcPr>
            <w:tcW w:w="2126" w:type="dxa"/>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vAlign w:val="center"/>
          </w:tcPr>
          <w:p w14:paraId="1CE2691D" w14:textId="77777777" w:rsidR="004501B1" w:rsidRPr="004501B1" w:rsidRDefault="004501B1" w:rsidP="004501B1">
            <w:pPr>
              <w:spacing w:line="240" w:lineRule="auto"/>
              <w:jc w:val="left"/>
              <w:rPr>
                <w:rFonts w:asciiTheme="minorHAnsi" w:hAnsiTheme="minorHAnsi" w:cstheme="minorHAnsi"/>
                <w:sz w:val="18"/>
                <w:szCs w:val="18"/>
              </w:rPr>
            </w:pPr>
            <w:r w:rsidRPr="004501B1">
              <w:rPr>
                <w:rFonts w:asciiTheme="minorHAnsi" w:hAnsiTheme="minorHAnsi" w:cstheme="minorHAnsi"/>
                <w:sz w:val="18"/>
                <w:szCs w:val="18"/>
              </w:rPr>
              <w:t>36%</w:t>
            </w:r>
          </w:p>
        </w:tc>
        <w:tc>
          <w:tcPr>
            <w:tcW w:w="2126" w:type="dxa"/>
            <w:tcBorders>
              <w:top w:val="single" w:sz="8" w:space="0" w:color="FFFFFF"/>
              <w:left w:val="single" w:sz="8" w:space="0" w:color="FFFFFF"/>
              <w:bottom w:val="single" w:sz="8" w:space="0" w:color="FFFFFF"/>
              <w:right w:val="single" w:sz="8" w:space="0" w:color="FFFFFF"/>
            </w:tcBorders>
            <w:shd w:val="clear" w:color="auto" w:fill="A6A6A6" w:themeFill="background1" w:themeFillShade="A6"/>
            <w:tcMar>
              <w:top w:w="72" w:type="dxa"/>
              <w:left w:w="144" w:type="dxa"/>
              <w:bottom w:w="72" w:type="dxa"/>
              <w:right w:w="144" w:type="dxa"/>
            </w:tcMar>
            <w:vAlign w:val="center"/>
          </w:tcPr>
          <w:p w14:paraId="34E7332F" w14:textId="77777777" w:rsidR="004501B1" w:rsidRPr="004501B1" w:rsidRDefault="004501B1" w:rsidP="004501B1">
            <w:pPr>
              <w:spacing w:line="240" w:lineRule="auto"/>
              <w:jc w:val="left"/>
              <w:rPr>
                <w:rFonts w:asciiTheme="minorHAnsi" w:hAnsiTheme="minorHAnsi" w:cstheme="minorHAnsi"/>
                <w:sz w:val="18"/>
                <w:szCs w:val="18"/>
              </w:rPr>
            </w:pPr>
            <w:r w:rsidRPr="004501B1">
              <w:rPr>
                <w:rFonts w:asciiTheme="minorHAnsi" w:hAnsiTheme="minorHAnsi" w:cstheme="minorHAnsi"/>
                <w:sz w:val="18"/>
                <w:szCs w:val="18"/>
              </w:rPr>
              <w:t>46%</w:t>
            </w:r>
          </w:p>
        </w:tc>
      </w:tr>
    </w:tbl>
    <w:p w14:paraId="2CC03E0F" w14:textId="77777777" w:rsidR="00C520AA" w:rsidRDefault="00C520AA" w:rsidP="007374FB">
      <w:pPr>
        <w:pStyle w:val="Textkrper-Einzug2"/>
        <w:spacing w:after="0" w:line="276" w:lineRule="auto"/>
        <w:ind w:left="0"/>
        <w:jc w:val="left"/>
        <w:rPr>
          <w:rFonts w:asciiTheme="minorHAnsi" w:hAnsiTheme="minorHAnsi" w:cstheme="minorHAnsi"/>
          <w:sz w:val="18"/>
          <w:szCs w:val="18"/>
        </w:rPr>
      </w:pPr>
    </w:p>
    <w:p w14:paraId="66199E89" w14:textId="77777777" w:rsidR="00C520AA" w:rsidRDefault="00C520AA" w:rsidP="007374FB">
      <w:pPr>
        <w:pStyle w:val="Textkrper-Einzug2"/>
        <w:spacing w:after="0" w:line="276" w:lineRule="auto"/>
        <w:ind w:left="0"/>
        <w:jc w:val="left"/>
        <w:rPr>
          <w:rFonts w:asciiTheme="minorHAnsi" w:hAnsiTheme="minorHAnsi" w:cstheme="minorHAnsi"/>
          <w:sz w:val="18"/>
          <w:szCs w:val="18"/>
        </w:rPr>
      </w:pPr>
    </w:p>
    <w:p w14:paraId="7FE3ECD8" w14:textId="77777777" w:rsidR="00036BCF" w:rsidRDefault="00036BCF" w:rsidP="003F629C">
      <w:pPr>
        <w:pStyle w:val="berschrift3"/>
        <w:numPr>
          <w:ilvl w:val="0"/>
          <w:numId w:val="0"/>
        </w:numPr>
        <w:spacing w:line="276" w:lineRule="auto"/>
        <w:ind w:left="720" w:hanging="720"/>
      </w:pPr>
      <w:bookmarkStart w:id="15" w:name="_Toc61379688"/>
      <w:r>
        <w:t>2.6.2</w:t>
      </w:r>
      <w:r>
        <w:tab/>
        <w:t>PINK-E Risikoscore</w:t>
      </w:r>
      <w:bookmarkEnd w:id="15"/>
    </w:p>
    <w:p w14:paraId="66021D11" w14:textId="77777777" w:rsidR="003F629C" w:rsidRPr="003F629C" w:rsidRDefault="003F629C" w:rsidP="003F629C">
      <w:pPr>
        <w:rPr>
          <w:sz w:val="8"/>
          <w:szCs w:val="8"/>
        </w:rPr>
      </w:pPr>
    </w:p>
    <w:p w14:paraId="7A220617" w14:textId="77777777" w:rsidR="00036BCF" w:rsidRDefault="00036BCF" w:rsidP="007374FB">
      <w:pPr>
        <w:spacing w:line="240" w:lineRule="auto"/>
        <w:jc w:val="left"/>
        <w:rPr>
          <w:rFonts w:asciiTheme="minorHAnsi" w:hAnsiTheme="minorHAnsi" w:cstheme="minorHAnsi"/>
          <w:sz w:val="18"/>
          <w:szCs w:val="18"/>
        </w:rPr>
      </w:pPr>
      <w:r>
        <w:rPr>
          <w:noProof/>
          <w:lang w:eastAsia="de-AT"/>
        </w:rPr>
        <w:drawing>
          <wp:inline distT="0" distB="0" distL="0" distR="0" wp14:anchorId="67AA1BED" wp14:editId="03FE4DAF">
            <wp:extent cx="4356100" cy="2644553"/>
            <wp:effectExtent l="0" t="0" r="6350" b="3810"/>
            <wp:docPr id="6" name="Grafik 6" descr="Bildergebnis für pink-e lymph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ldergebnis für pink-e lymphom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86879" cy="2663239"/>
                    </a:xfrm>
                    <a:prstGeom prst="rect">
                      <a:avLst/>
                    </a:prstGeom>
                    <a:noFill/>
                    <a:ln>
                      <a:noFill/>
                    </a:ln>
                  </pic:spPr>
                </pic:pic>
              </a:graphicData>
            </a:graphic>
          </wp:inline>
        </w:drawing>
      </w:r>
    </w:p>
    <w:p w14:paraId="0650964C" w14:textId="77777777" w:rsidR="004501B1" w:rsidRDefault="004501B1" w:rsidP="007374FB">
      <w:pPr>
        <w:spacing w:line="240" w:lineRule="auto"/>
        <w:jc w:val="left"/>
        <w:rPr>
          <w:rFonts w:asciiTheme="minorHAnsi" w:hAnsiTheme="minorHAnsi" w:cstheme="minorHAnsi"/>
          <w:sz w:val="18"/>
          <w:szCs w:val="18"/>
        </w:rPr>
      </w:pPr>
    </w:p>
    <w:p w14:paraId="5CA2917D" w14:textId="77777777" w:rsidR="00B11453" w:rsidRDefault="00B11453" w:rsidP="007374FB">
      <w:pPr>
        <w:spacing w:line="240" w:lineRule="auto"/>
        <w:jc w:val="left"/>
        <w:rPr>
          <w:rFonts w:asciiTheme="minorHAnsi" w:hAnsiTheme="minorHAnsi" w:cstheme="minorHAnsi"/>
          <w:sz w:val="18"/>
          <w:szCs w:val="18"/>
        </w:rPr>
      </w:pPr>
    </w:p>
    <w:p w14:paraId="63B444DF" w14:textId="77777777" w:rsidR="00B83D1C" w:rsidRDefault="00B11453" w:rsidP="007374FB">
      <w:pPr>
        <w:spacing w:line="240" w:lineRule="auto"/>
        <w:jc w:val="left"/>
        <w:rPr>
          <w:rFonts w:asciiTheme="minorHAnsi" w:hAnsiTheme="minorHAnsi" w:cstheme="minorHAnsi"/>
          <w:sz w:val="18"/>
          <w:szCs w:val="18"/>
        </w:rPr>
      </w:pPr>
      <w:r>
        <w:rPr>
          <w:noProof/>
          <w:lang w:eastAsia="de-AT"/>
        </w:rPr>
        <w:drawing>
          <wp:inline distT="0" distB="0" distL="0" distR="0" wp14:anchorId="4DF6EC58" wp14:editId="14D5C789">
            <wp:extent cx="4362450" cy="1813046"/>
            <wp:effectExtent l="0" t="0" r="0" b="0"/>
            <wp:docPr id="2" name="Grafik 2" descr="https://www.cancernetwork.com/sites/default/files/1808zing-tabl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ancernetwork.com/sites/default/files/1808zing-table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94429" cy="1867897"/>
                    </a:xfrm>
                    <a:prstGeom prst="rect">
                      <a:avLst/>
                    </a:prstGeom>
                    <a:noFill/>
                    <a:ln>
                      <a:noFill/>
                    </a:ln>
                  </pic:spPr>
                </pic:pic>
              </a:graphicData>
            </a:graphic>
          </wp:inline>
        </w:drawing>
      </w:r>
    </w:p>
    <w:p w14:paraId="15C2FE66" w14:textId="77777777" w:rsidR="00B83D1C" w:rsidRDefault="00B83D1C">
      <w:pPr>
        <w:spacing w:line="240" w:lineRule="auto"/>
        <w:jc w:val="left"/>
        <w:rPr>
          <w:rFonts w:asciiTheme="minorHAnsi" w:hAnsiTheme="minorHAnsi" w:cstheme="minorHAnsi"/>
          <w:sz w:val="18"/>
          <w:szCs w:val="18"/>
        </w:rPr>
      </w:pPr>
      <w:r>
        <w:rPr>
          <w:rFonts w:asciiTheme="minorHAnsi" w:hAnsiTheme="minorHAnsi" w:cstheme="minorHAnsi"/>
          <w:sz w:val="18"/>
          <w:szCs w:val="18"/>
        </w:rPr>
        <w:br w:type="page"/>
      </w:r>
    </w:p>
    <w:p w14:paraId="74A64B4B" w14:textId="77777777" w:rsidR="006D4DAC" w:rsidRPr="00FC6FEE" w:rsidRDefault="00F443D5" w:rsidP="007374FB">
      <w:pPr>
        <w:pStyle w:val="berschrift1"/>
        <w:rPr>
          <w:lang w:val="en-US"/>
        </w:rPr>
      </w:pPr>
      <w:bookmarkStart w:id="16" w:name="_Toc61379689"/>
      <w:bookmarkStart w:id="17" w:name="_Toc367183617"/>
      <w:bookmarkStart w:id="18" w:name="_Toc367183855"/>
      <w:r w:rsidRPr="00FC6FEE">
        <w:rPr>
          <w:lang w:val="en-US"/>
        </w:rPr>
        <w:lastRenderedPageBreak/>
        <w:t>3</w:t>
      </w:r>
      <w:r w:rsidRPr="00FC6FEE">
        <w:rPr>
          <w:lang w:val="en-US"/>
        </w:rPr>
        <w:tab/>
      </w:r>
      <w:r w:rsidR="006D4DAC" w:rsidRPr="00FC6FEE">
        <w:rPr>
          <w:lang w:val="en-US"/>
        </w:rPr>
        <w:t>Behandlungsplan</w:t>
      </w:r>
      <w:bookmarkEnd w:id="16"/>
      <w:r w:rsidR="006D4DAC" w:rsidRPr="00FC6FEE">
        <w:rPr>
          <w:lang w:val="en-US"/>
        </w:rPr>
        <w:t xml:space="preserve"> </w:t>
      </w:r>
      <w:bookmarkEnd w:id="17"/>
      <w:bookmarkEnd w:id="18"/>
    </w:p>
    <w:p w14:paraId="2AA37DF3" w14:textId="77777777" w:rsidR="006A51D9" w:rsidRPr="0059552F" w:rsidRDefault="006A51D9" w:rsidP="007374FB">
      <w:pPr>
        <w:pStyle w:val="berschrift2"/>
        <w:jc w:val="left"/>
        <w:rPr>
          <w:lang w:val="en-US"/>
        </w:rPr>
      </w:pPr>
      <w:bookmarkStart w:id="19" w:name="_Toc61379690"/>
      <w:r w:rsidRPr="0059552F">
        <w:rPr>
          <w:lang w:val="en-US"/>
        </w:rPr>
        <w:t>3.1</w:t>
      </w:r>
      <w:r w:rsidRPr="0059552F">
        <w:rPr>
          <w:lang w:val="en-US"/>
        </w:rPr>
        <w:tab/>
      </w:r>
      <w:r w:rsidR="0059552F" w:rsidRPr="0059552F">
        <w:rPr>
          <w:lang w:val="en-US"/>
        </w:rPr>
        <w:t>T-Zell-Lymphome</w:t>
      </w:r>
      <w:r w:rsidR="0059552F">
        <w:rPr>
          <w:lang w:val="en-US"/>
        </w:rPr>
        <w:t xml:space="preserve"> -</w:t>
      </w:r>
      <w:r w:rsidR="0059552F" w:rsidRPr="0059552F">
        <w:rPr>
          <w:lang w:val="en-US"/>
        </w:rPr>
        <w:t xml:space="preserve"> fit for transplant</w:t>
      </w:r>
      <w:bookmarkEnd w:id="19"/>
    </w:p>
    <w:p w14:paraId="5D2396F0" w14:textId="5E48FCBD" w:rsidR="00D510A1" w:rsidRPr="00096FA8" w:rsidRDefault="00C13E3E" w:rsidP="007374FB">
      <w:pPr>
        <w:spacing w:line="276" w:lineRule="auto"/>
        <w:jc w:val="left"/>
        <w:rPr>
          <w:rFonts w:asciiTheme="minorHAnsi" w:hAnsiTheme="minorHAnsi" w:cstheme="minorHAnsi"/>
          <w:lang w:val="en-US"/>
        </w:rPr>
      </w:pPr>
      <w:r w:rsidRPr="00C13E3E">
        <w:rPr>
          <w:noProof/>
          <w:lang w:eastAsia="de-AT"/>
        </w:rPr>
        <w:drawing>
          <wp:inline distT="0" distB="0" distL="0" distR="0" wp14:anchorId="01162A32" wp14:editId="6342C1F4">
            <wp:extent cx="5957570" cy="8065113"/>
            <wp:effectExtent l="0" t="0" r="508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57570" cy="8065113"/>
                    </a:xfrm>
                    <a:prstGeom prst="rect">
                      <a:avLst/>
                    </a:prstGeom>
                    <a:noFill/>
                    <a:ln>
                      <a:noFill/>
                    </a:ln>
                  </pic:spPr>
                </pic:pic>
              </a:graphicData>
            </a:graphic>
          </wp:inline>
        </w:drawing>
      </w:r>
      <w:r w:rsidR="000A605D" w:rsidRPr="0059552F">
        <w:rPr>
          <w:rFonts w:asciiTheme="minorHAnsi" w:hAnsiTheme="minorHAnsi" w:cstheme="minorHAnsi"/>
          <w:b/>
          <w:lang w:val="en-US"/>
        </w:rPr>
        <w:t xml:space="preserve"> </w:t>
      </w:r>
    </w:p>
    <w:p w14:paraId="39624FDA" w14:textId="77777777" w:rsidR="000155EA" w:rsidRDefault="000155EA" w:rsidP="007374FB">
      <w:pPr>
        <w:spacing w:line="240" w:lineRule="auto"/>
        <w:jc w:val="left"/>
        <w:rPr>
          <w:rFonts w:cs="Arial"/>
          <w:b/>
          <w:bCs/>
          <w:i/>
          <w:iCs/>
          <w:sz w:val="24"/>
          <w:szCs w:val="24"/>
          <w:lang w:val="en-US"/>
        </w:rPr>
      </w:pPr>
      <w:r>
        <w:rPr>
          <w:lang w:val="en-US"/>
        </w:rPr>
        <w:br w:type="page"/>
      </w:r>
    </w:p>
    <w:p w14:paraId="0B9E2FCC" w14:textId="73AA9F1F" w:rsidR="006A51D9" w:rsidRDefault="006A51D9" w:rsidP="007374FB">
      <w:pPr>
        <w:pStyle w:val="berschrift2"/>
        <w:jc w:val="left"/>
        <w:rPr>
          <w:lang w:val="en-US"/>
        </w:rPr>
      </w:pPr>
      <w:bookmarkStart w:id="20" w:name="_Toc61379691"/>
      <w:r w:rsidRPr="0059552F">
        <w:rPr>
          <w:lang w:val="en-US"/>
        </w:rPr>
        <w:lastRenderedPageBreak/>
        <w:t>3.2</w:t>
      </w:r>
      <w:r w:rsidRPr="0059552F">
        <w:rPr>
          <w:lang w:val="en-US"/>
        </w:rPr>
        <w:tab/>
      </w:r>
      <w:r w:rsidR="0059552F" w:rsidRPr="0059552F">
        <w:rPr>
          <w:lang w:val="en-US"/>
        </w:rPr>
        <w:t>T-Zell-Lymphome – not fit for transplant</w:t>
      </w:r>
      <w:bookmarkEnd w:id="20"/>
    </w:p>
    <w:p w14:paraId="34BA8534" w14:textId="47ACB67A" w:rsidR="00726D0F" w:rsidRDefault="00AC704E">
      <w:pPr>
        <w:spacing w:line="240" w:lineRule="auto"/>
        <w:jc w:val="left"/>
        <w:rPr>
          <w:rFonts w:cs="Arial"/>
          <w:b/>
          <w:bCs/>
          <w:i/>
          <w:iCs/>
          <w:sz w:val="24"/>
          <w:szCs w:val="24"/>
        </w:rPr>
      </w:pPr>
      <w:r w:rsidRPr="00AC704E">
        <w:rPr>
          <w:noProof/>
          <w:lang w:eastAsia="de-AT"/>
        </w:rPr>
        <w:drawing>
          <wp:inline distT="0" distB="0" distL="0" distR="0" wp14:anchorId="22083EA5" wp14:editId="20AC7699">
            <wp:extent cx="5957570" cy="6214303"/>
            <wp:effectExtent l="0" t="0" r="508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57570" cy="6214303"/>
                    </a:xfrm>
                    <a:prstGeom prst="rect">
                      <a:avLst/>
                    </a:prstGeom>
                    <a:noFill/>
                    <a:ln>
                      <a:noFill/>
                    </a:ln>
                  </pic:spPr>
                </pic:pic>
              </a:graphicData>
            </a:graphic>
          </wp:inline>
        </w:drawing>
      </w:r>
      <w:r w:rsidR="00726D0F">
        <w:rPr>
          <w:rFonts w:cs="Arial"/>
          <w:b/>
          <w:bCs/>
          <w:i/>
          <w:iCs/>
          <w:sz w:val="24"/>
          <w:szCs w:val="24"/>
        </w:rPr>
        <w:br w:type="page"/>
      </w:r>
    </w:p>
    <w:p w14:paraId="498F2275" w14:textId="6BBA9F5F" w:rsidR="006601EC" w:rsidRPr="00726D0F" w:rsidRDefault="00D510A1" w:rsidP="00726D0F">
      <w:pPr>
        <w:pStyle w:val="berschrift2"/>
        <w:jc w:val="left"/>
        <w:rPr>
          <w:lang w:val="en-US"/>
        </w:rPr>
      </w:pPr>
      <w:bookmarkStart w:id="21" w:name="_Toc61379692"/>
      <w:bookmarkStart w:id="22" w:name="_Toc353200745"/>
      <w:r w:rsidRPr="00726D0F">
        <w:rPr>
          <w:lang w:val="en-US"/>
        </w:rPr>
        <w:lastRenderedPageBreak/>
        <w:t>3.3</w:t>
      </w:r>
      <w:r w:rsidRPr="00726D0F">
        <w:rPr>
          <w:lang w:val="en-US"/>
        </w:rPr>
        <w:tab/>
      </w:r>
      <w:r w:rsidR="0059552F" w:rsidRPr="00726D0F">
        <w:rPr>
          <w:lang w:val="en-US"/>
        </w:rPr>
        <w:t xml:space="preserve">T-Zell-Lymphome </w:t>
      </w:r>
      <w:r w:rsidR="0061795F" w:rsidRPr="00726D0F">
        <w:rPr>
          <w:lang w:val="en-US"/>
        </w:rPr>
        <w:t>–</w:t>
      </w:r>
      <w:r w:rsidR="0059552F" w:rsidRPr="00726D0F">
        <w:rPr>
          <w:lang w:val="en-US"/>
        </w:rPr>
        <w:t xml:space="preserve"> Rezidiv</w:t>
      </w:r>
      <w:bookmarkEnd w:id="21"/>
    </w:p>
    <w:p w14:paraId="1329B1A2" w14:textId="5135948C" w:rsidR="006601EC" w:rsidRDefault="00136693" w:rsidP="007374FB">
      <w:pPr>
        <w:jc w:val="left"/>
      </w:pPr>
      <w:r>
        <w:rPr>
          <w:noProof/>
          <w:lang w:eastAsia="de-AT"/>
        </w:rPr>
        <w:drawing>
          <wp:inline distT="0" distB="0" distL="0" distR="0" wp14:anchorId="0F909FF8" wp14:editId="147DF5FD">
            <wp:extent cx="5957570" cy="6899275"/>
            <wp:effectExtent l="0" t="0" r="508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05-29 T_lymphoma.g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57570" cy="6899275"/>
                    </a:xfrm>
                    <a:prstGeom prst="rect">
                      <a:avLst/>
                    </a:prstGeom>
                  </pic:spPr>
                </pic:pic>
              </a:graphicData>
            </a:graphic>
          </wp:inline>
        </w:drawing>
      </w:r>
    </w:p>
    <w:p w14:paraId="41904022" w14:textId="77777777" w:rsidR="007374FB" w:rsidRDefault="007374FB">
      <w:pPr>
        <w:spacing w:line="240" w:lineRule="auto"/>
        <w:jc w:val="left"/>
        <w:rPr>
          <w:rFonts w:cs="Arial"/>
          <w:b/>
          <w:bCs/>
          <w:i/>
          <w:iCs/>
          <w:sz w:val="24"/>
          <w:szCs w:val="24"/>
          <w:lang w:val="de-DE"/>
        </w:rPr>
      </w:pPr>
      <w:r>
        <w:rPr>
          <w:lang w:val="de-DE"/>
        </w:rPr>
        <w:br w:type="page"/>
      </w:r>
    </w:p>
    <w:p w14:paraId="55F93F9A" w14:textId="77777777" w:rsidR="00D510A1" w:rsidRDefault="006601EC" w:rsidP="007374FB">
      <w:pPr>
        <w:pStyle w:val="berschrift2"/>
        <w:jc w:val="left"/>
        <w:rPr>
          <w:lang w:val="de-DE"/>
        </w:rPr>
      </w:pPr>
      <w:bookmarkStart w:id="23" w:name="_Toc61379693"/>
      <w:r>
        <w:rPr>
          <w:lang w:val="de-DE"/>
        </w:rPr>
        <w:lastRenderedPageBreak/>
        <w:t>3.4</w:t>
      </w:r>
      <w:r>
        <w:rPr>
          <w:lang w:val="de-DE"/>
        </w:rPr>
        <w:tab/>
      </w:r>
      <w:r w:rsidR="000E0D14">
        <w:rPr>
          <w:lang w:val="de-DE"/>
        </w:rPr>
        <w:t>Extranodale NK</w:t>
      </w:r>
      <w:r>
        <w:rPr>
          <w:lang w:val="de-DE"/>
        </w:rPr>
        <w:t>/T-Zell-Lymphome</w:t>
      </w:r>
      <w:r w:rsidR="00D70A3B">
        <w:rPr>
          <w:lang w:val="de-DE"/>
        </w:rPr>
        <w:t xml:space="preserve"> </w:t>
      </w:r>
      <w:r w:rsidR="00654B44">
        <w:rPr>
          <w:lang w:val="de-DE"/>
        </w:rPr>
        <w:t>–</w:t>
      </w:r>
      <w:r w:rsidR="00D70A3B">
        <w:rPr>
          <w:lang w:val="de-DE"/>
        </w:rPr>
        <w:t xml:space="preserve"> Erstdiagnose</w:t>
      </w:r>
      <w:bookmarkEnd w:id="23"/>
    </w:p>
    <w:p w14:paraId="5609DC53" w14:textId="77777777" w:rsidR="00654B44" w:rsidRPr="00654B44" w:rsidRDefault="00654B44" w:rsidP="00654B44">
      <w:pPr>
        <w:jc w:val="left"/>
        <w:rPr>
          <w:lang w:val="de-DE"/>
        </w:rPr>
      </w:pPr>
    </w:p>
    <w:p w14:paraId="53562CC6" w14:textId="77777777" w:rsidR="00C72AA9" w:rsidRPr="00D32CC4" w:rsidRDefault="00D03D5C" w:rsidP="007374FB">
      <w:pPr>
        <w:spacing w:line="276" w:lineRule="auto"/>
        <w:jc w:val="left"/>
        <w:rPr>
          <w:rFonts w:asciiTheme="minorHAnsi" w:hAnsiTheme="minorHAnsi" w:cstheme="minorHAnsi"/>
        </w:rPr>
      </w:pPr>
      <w:r>
        <w:rPr>
          <w:rFonts w:asciiTheme="minorHAnsi" w:hAnsiTheme="minorHAnsi" w:cstheme="minorHAnsi"/>
          <w:noProof/>
          <w:lang w:eastAsia="de-AT"/>
        </w:rPr>
        <w:drawing>
          <wp:inline distT="0" distB="0" distL="0" distR="0" wp14:anchorId="2CD3CD04" wp14:editId="546CD19E">
            <wp:extent cx="5957570" cy="7722235"/>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05-29 T_lymphoma.gif"/>
                    <pic:cNvPicPr/>
                  </pic:nvPicPr>
                  <pic:blipFill>
                    <a:blip r:embed="rId24">
                      <a:extLst>
                        <a:ext uri="{28A0092B-C50C-407E-A947-70E740481C1C}">
                          <a14:useLocalDpi xmlns:a14="http://schemas.microsoft.com/office/drawing/2010/main" val="0"/>
                        </a:ext>
                      </a:extLst>
                    </a:blip>
                    <a:stretch>
                      <a:fillRect/>
                    </a:stretch>
                  </pic:blipFill>
                  <pic:spPr>
                    <a:xfrm>
                      <a:off x="0" y="0"/>
                      <a:ext cx="5957570" cy="7722235"/>
                    </a:xfrm>
                    <a:prstGeom prst="rect">
                      <a:avLst/>
                    </a:prstGeom>
                  </pic:spPr>
                </pic:pic>
              </a:graphicData>
            </a:graphic>
          </wp:inline>
        </w:drawing>
      </w:r>
    </w:p>
    <w:p w14:paraId="2C0092DB" w14:textId="77777777" w:rsidR="003E0B16" w:rsidRPr="00D32CC4" w:rsidRDefault="003E0B16" w:rsidP="007374FB">
      <w:pPr>
        <w:spacing w:line="276" w:lineRule="auto"/>
        <w:jc w:val="left"/>
        <w:rPr>
          <w:rFonts w:asciiTheme="minorHAnsi" w:hAnsiTheme="minorHAnsi" w:cstheme="minorHAnsi"/>
        </w:rPr>
      </w:pPr>
    </w:p>
    <w:p w14:paraId="2D0E96C1" w14:textId="77777777" w:rsidR="003E0B16" w:rsidRDefault="003E0B16">
      <w:pPr>
        <w:spacing w:line="240" w:lineRule="auto"/>
        <w:jc w:val="left"/>
        <w:rPr>
          <w:rFonts w:cs="Arial"/>
          <w:b/>
          <w:bCs/>
          <w:i/>
          <w:iCs/>
          <w:sz w:val="24"/>
          <w:szCs w:val="24"/>
        </w:rPr>
      </w:pPr>
      <w:r>
        <w:br w:type="page"/>
      </w:r>
    </w:p>
    <w:p w14:paraId="23BA309F" w14:textId="77777777" w:rsidR="006601EC" w:rsidRPr="006601EC" w:rsidRDefault="006601EC" w:rsidP="007374FB">
      <w:pPr>
        <w:pStyle w:val="berschrift2"/>
        <w:jc w:val="left"/>
      </w:pPr>
      <w:bookmarkStart w:id="24" w:name="_Toc61379694"/>
      <w:r>
        <w:lastRenderedPageBreak/>
        <w:t>3.5</w:t>
      </w:r>
      <w:r>
        <w:tab/>
      </w:r>
      <w:r w:rsidR="000E0D14">
        <w:t>Extranodale NK</w:t>
      </w:r>
      <w:r w:rsidRPr="006601EC">
        <w:t>/T-Zell-Lymphome - Rezidiv</w:t>
      </w:r>
      <w:bookmarkEnd w:id="24"/>
    </w:p>
    <w:p w14:paraId="38E81AAE" w14:textId="77777777" w:rsidR="003E0B16" w:rsidRDefault="003E0B16" w:rsidP="007374FB">
      <w:pPr>
        <w:spacing w:line="276" w:lineRule="auto"/>
        <w:jc w:val="left"/>
        <w:rPr>
          <w:rFonts w:asciiTheme="minorHAnsi" w:hAnsiTheme="minorHAnsi" w:cstheme="minorHAnsi"/>
          <w:lang w:val="en-US"/>
        </w:rPr>
      </w:pPr>
    </w:p>
    <w:p w14:paraId="3B5453A9" w14:textId="77777777" w:rsidR="003E0B16" w:rsidRDefault="008E0DBE" w:rsidP="007374FB">
      <w:pPr>
        <w:spacing w:line="276" w:lineRule="auto"/>
        <w:jc w:val="left"/>
        <w:rPr>
          <w:rFonts w:asciiTheme="minorHAnsi" w:hAnsiTheme="minorHAnsi" w:cstheme="minorHAnsi"/>
          <w:lang w:val="en-US"/>
        </w:rPr>
      </w:pPr>
      <w:r>
        <w:rPr>
          <w:rFonts w:asciiTheme="minorHAnsi" w:hAnsiTheme="minorHAnsi" w:cstheme="minorHAnsi"/>
          <w:noProof/>
          <w:lang w:eastAsia="de-AT"/>
        </w:rPr>
        <w:drawing>
          <wp:inline distT="0" distB="0" distL="0" distR="0" wp14:anchorId="6DB278F5" wp14:editId="72D731AF">
            <wp:extent cx="5957570" cy="5855970"/>
            <wp:effectExtent l="0" t="0" r="508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05-29 T_lymphoma.g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57570" cy="5855970"/>
                    </a:xfrm>
                    <a:prstGeom prst="rect">
                      <a:avLst/>
                    </a:prstGeom>
                  </pic:spPr>
                </pic:pic>
              </a:graphicData>
            </a:graphic>
          </wp:inline>
        </w:drawing>
      </w:r>
    </w:p>
    <w:p w14:paraId="2D1A5B0E" w14:textId="77777777" w:rsidR="003E0B16" w:rsidRDefault="003E0B16" w:rsidP="007374FB">
      <w:pPr>
        <w:spacing w:line="276" w:lineRule="auto"/>
        <w:jc w:val="left"/>
        <w:rPr>
          <w:rFonts w:asciiTheme="minorHAnsi" w:hAnsiTheme="minorHAnsi" w:cstheme="minorHAnsi"/>
          <w:lang w:val="en-US"/>
        </w:rPr>
      </w:pPr>
    </w:p>
    <w:p w14:paraId="6723E7B3" w14:textId="77777777" w:rsidR="00C72AA9" w:rsidRDefault="00C72AA9">
      <w:pPr>
        <w:spacing w:line="240" w:lineRule="auto"/>
        <w:jc w:val="left"/>
      </w:pPr>
    </w:p>
    <w:p w14:paraId="677CA008" w14:textId="77777777" w:rsidR="00C72AA9" w:rsidRDefault="00C72AA9">
      <w:pPr>
        <w:spacing w:line="240" w:lineRule="auto"/>
        <w:jc w:val="left"/>
      </w:pPr>
    </w:p>
    <w:p w14:paraId="3314433A" w14:textId="77777777" w:rsidR="003E0B16" w:rsidRDefault="003E0B16" w:rsidP="00C72AA9">
      <w:pPr>
        <w:spacing w:line="240" w:lineRule="auto"/>
        <w:jc w:val="left"/>
        <w:rPr>
          <w:rFonts w:cs="Arial"/>
          <w:b/>
          <w:bCs/>
          <w:i/>
          <w:iCs/>
          <w:sz w:val="24"/>
          <w:szCs w:val="24"/>
        </w:rPr>
      </w:pPr>
      <w:r>
        <w:br w:type="page"/>
      </w:r>
    </w:p>
    <w:p w14:paraId="2B63C643" w14:textId="77777777" w:rsidR="00A97524" w:rsidRDefault="006601EC" w:rsidP="007374FB">
      <w:pPr>
        <w:pStyle w:val="berschrift2"/>
        <w:jc w:val="left"/>
      </w:pPr>
      <w:bookmarkStart w:id="25" w:name="_Toc61379695"/>
      <w:r>
        <w:lastRenderedPageBreak/>
        <w:t>3.6</w:t>
      </w:r>
      <w:r w:rsidR="00A97524" w:rsidRPr="005D5CAE">
        <w:tab/>
        <w:t>Strahlentherapie</w:t>
      </w:r>
      <w:bookmarkEnd w:id="25"/>
      <w:r w:rsidR="00EE0C6D">
        <w:t xml:space="preserve"> </w:t>
      </w:r>
    </w:p>
    <w:p w14:paraId="2DB9C90A" w14:textId="77777777" w:rsidR="008E0DBE" w:rsidRPr="009D185C" w:rsidRDefault="00B92DB0" w:rsidP="008E0DBE">
      <w:pPr>
        <w:spacing w:line="276" w:lineRule="auto"/>
        <w:jc w:val="both"/>
        <w:rPr>
          <w:rFonts w:asciiTheme="minorHAnsi" w:hAnsiTheme="minorHAnsi" w:cstheme="minorHAnsi"/>
          <w:color w:val="000000" w:themeColor="text1"/>
        </w:rPr>
      </w:pPr>
      <w:r w:rsidRPr="006601EC">
        <w:rPr>
          <w:rFonts w:asciiTheme="minorHAnsi" w:hAnsiTheme="minorHAnsi" w:cstheme="minorHAnsi"/>
        </w:rPr>
        <w:t>Die peripheren T-Zell-Lymhome mit A</w:t>
      </w:r>
      <w:r w:rsidR="006601EC">
        <w:rPr>
          <w:rFonts w:asciiTheme="minorHAnsi" w:hAnsiTheme="minorHAnsi" w:cstheme="minorHAnsi"/>
        </w:rPr>
        <w:t>usnahme der NK-/T-Zell-Lymphome</w:t>
      </w:r>
      <w:r w:rsidRPr="006601EC">
        <w:rPr>
          <w:rFonts w:asciiTheme="minorHAnsi" w:hAnsiTheme="minorHAnsi" w:cstheme="minorHAnsi"/>
        </w:rPr>
        <w:t xml:space="preserve"> sind etwas weniger </w:t>
      </w:r>
      <w:r w:rsidRPr="009D185C">
        <w:rPr>
          <w:rFonts w:asciiTheme="minorHAnsi" w:hAnsiTheme="minorHAnsi" w:cstheme="minorHAnsi"/>
          <w:color w:val="000000" w:themeColor="text1"/>
        </w:rPr>
        <w:t>strahlenempfindlich als die aggressiven B-Zell-Lymphome und benötigen daher höhere Strahlendosen.</w:t>
      </w:r>
      <w:r w:rsidR="003F172A" w:rsidRPr="009D185C">
        <w:rPr>
          <w:rFonts w:asciiTheme="minorHAnsi" w:hAnsiTheme="minorHAnsi" w:cstheme="minorHAnsi"/>
          <w:color w:val="000000" w:themeColor="text1"/>
        </w:rPr>
        <w:t xml:space="preserve"> </w:t>
      </w:r>
      <w:r w:rsidR="008E0DBE" w:rsidRPr="009D185C">
        <w:rPr>
          <w:rFonts w:ascii="Calibri" w:hAnsi="Calibri" w:cs="Calibri"/>
          <w:color w:val="000000" w:themeColor="text1"/>
          <w:szCs w:val="22"/>
          <w:shd w:val="clear" w:color="auto" w:fill="FFFFFF"/>
        </w:rPr>
        <w:t xml:space="preserve">Obwohl es in NCCN / UpToDate und Onkopedia die isRT als Empfehlung in lokalisierten Stadien optional enthalten ist bzw. empfohlen wird, ist die Evidenz eines Nutzens sehr gering. Daher Vorgehen wie bei anderen Lymphomen in Abhängigkeit vom PET-CT und Restbulk. </w:t>
      </w:r>
    </w:p>
    <w:p w14:paraId="4B625029" w14:textId="77777777" w:rsidR="00A43EC9" w:rsidRPr="009D185C" w:rsidRDefault="00A43EC9" w:rsidP="004501B1">
      <w:pPr>
        <w:spacing w:line="276" w:lineRule="auto"/>
        <w:jc w:val="both"/>
        <w:rPr>
          <w:rFonts w:asciiTheme="minorHAnsi" w:hAnsiTheme="minorHAnsi" w:cstheme="minorHAnsi"/>
          <w:color w:val="000000" w:themeColor="text1"/>
        </w:rPr>
      </w:pPr>
    </w:p>
    <w:p w14:paraId="15AA1255" w14:textId="77777777" w:rsidR="00A97524" w:rsidRPr="00A43EC9" w:rsidRDefault="007A634C" w:rsidP="004501B1">
      <w:pPr>
        <w:spacing w:line="276" w:lineRule="auto"/>
        <w:jc w:val="both"/>
        <w:rPr>
          <w:rFonts w:asciiTheme="minorHAnsi" w:hAnsiTheme="minorHAnsi" w:cstheme="minorHAnsi"/>
          <w:u w:val="single"/>
        </w:rPr>
      </w:pPr>
      <w:r w:rsidRPr="00A43EC9">
        <w:rPr>
          <w:rFonts w:asciiTheme="minorHAnsi" w:hAnsiTheme="minorHAnsi" w:cstheme="minorHAnsi"/>
          <w:u w:val="single"/>
        </w:rPr>
        <w:t xml:space="preserve">Eine lokale </w:t>
      </w:r>
      <w:r w:rsidR="0005570D" w:rsidRPr="00A43EC9">
        <w:rPr>
          <w:rFonts w:asciiTheme="minorHAnsi" w:hAnsiTheme="minorHAnsi" w:cstheme="minorHAnsi"/>
          <w:u w:val="single"/>
        </w:rPr>
        <w:t>Bestrahlung ist zu empfehlen</w:t>
      </w:r>
      <w:r w:rsidR="006601EC" w:rsidRPr="00A43EC9">
        <w:rPr>
          <w:rFonts w:asciiTheme="minorHAnsi" w:hAnsiTheme="minorHAnsi" w:cstheme="minorHAnsi"/>
          <w:u w:val="single"/>
        </w:rPr>
        <w:t>:</w:t>
      </w:r>
    </w:p>
    <w:p w14:paraId="388E0DC3" w14:textId="77777777" w:rsidR="00A97524" w:rsidRPr="00A43EC9" w:rsidRDefault="0005570D" w:rsidP="005C6EE4">
      <w:pPr>
        <w:pStyle w:val="Listenabsatz"/>
        <w:numPr>
          <w:ilvl w:val="0"/>
          <w:numId w:val="9"/>
        </w:numPr>
        <w:spacing w:line="276" w:lineRule="auto"/>
        <w:jc w:val="both"/>
        <w:rPr>
          <w:rFonts w:asciiTheme="minorHAnsi" w:hAnsiTheme="minorHAnsi" w:cstheme="minorHAnsi"/>
          <w:szCs w:val="22"/>
        </w:rPr>
      </w:pPr>
      <w:r w:rsidRPr="00A43EC9">
        <w:rPr>
          <w:rFonts w:asciiTheme="minorHAnsi" w:hAnsiTheme="minorHAnsi" w:cstheme="minorHAnsi"/>
          <w:szCs w:val="22"/>
        </w:rPr>
        <w:t xml:space="preserve">bei </w:t>
      </w:r>
      <w:r w:rsidR="006601EC" w:rsidRPr="00A43EC9">
        <w:rPr>
          <w:rFonts w:asciiTheme="minorHAnsi" w:hAnsiTheme="minorHAnsi" w:cstheme="minorHAnsi"/>
          <w:szCs w:val="22"/>
        </w:rPr>
        <w:t>lokalem</w:t>
      </w:r>
      <w:r w:rsidR="00895F95">
        <w:rPr>
          <w:rFonts w:asciiTheme="minorHAnsi" w:hAnsiTheme="minorHAnsi" w:cstheme="minorHAnsi"/>
          <w:szCs w:val="22"/>
        </w:rPr>
        <w:t xml:space="preserve"> Befall – Stadium I-</w:t>
      </w:r>
      <w:r w:rsidR="007A634C" w:rsidRPr="00A43EC9">
        <w:rPr>
          <w:rFonts w:asciiTheme="minorHAnsi" w:hAnsiTheme="minorHAnsi" w:cstheme="minorHAnsi"/>
          <w:szCs w:val="22"/>
        </w:rPr>
        <w:t>II, die mit Chemotherapie ein</w:t>
      </w:r>
      <w:r w:rsidRPr="00A43EC9">
        <w:rPr>
          <w:rFonts w:asciiTheme="minorHAnsi" w:hAnsiTheme="minorHAnsi" w:cstheme="minorHAnsi"/>
          <w:szCs w:val="22"/>
        </w:rPr>
        <w:t>e</w:t>
      </w:r>
      <w:r w:rsidR="007A634C" w:rsidRPr="00A43EC9">
        <w:rPr>
          <w:rFonts w:asciiTheme="minorHAnsi" w:hAnsiTheme="minorHAnsi" w:cstheme="minorHAnsi"/>
          <w:szCs w:val="22"/>
        </w:rPr>
        <w:t xml:space="preserve"> CR erreicht haben</w:t>
      </w:r>
    </w:p>
    <w:p w14:paraId="3CB2C53C" w14:textId="77777777" w:rsidR="007A634C" w:rsidRPr="00A43EC9" w:rsidRDefault="0005570D" w:rsidP="005C6EE4">
      <w:pPr>
        <w:pStyle w:val="Listenabsatz"/>
        <w:numPr>
          <w:ilvl w:val="0"/>
          <w:numId w:val="9"/>
        </w:numPr>
        <w:spacing w:line="276" w:lineRule="auto"/>
        <w:jc w:val="both"/>
        <w:rPr>
          <w:rFonts w:asciiTheme="minorHAnsi" w:hAnsiTheme="minorHAnsi" w:cstheme="minorHAnsi"/>
          <w:szCs w:val="22"/>
        </w:rPr>
      </w:pPr>
      <w:r w:rsidRPr="00A43EC9">
        <w:rPr>
          <w:rFonts w:asciiTheme="minorHAnsi" w:hAnsiTheme="minorHAnsi" w:cstheme="minorHAnsi"/>
          <w:szCs w:val="22"/>
        </w:rPr>
        <w:t>bei Patienten mit PR und singulärem oder symptomatischem Restlymphom, welche nicht für eine ASZT geeignet sind</w:t>
      </w:r>
    </w:p>
    <w:p w14:paraId="31456F02" w14:textId="77777777" w:rsidR="007A634C" w:rsidRPr="00A43EC9" w:rsidRDefault="007A634C" w:rsidP="005C6EE4">
      <w:pPr>
        <w:pStyle w:val="Listenabsatz"/>
        <w:numPr>
          <w:ilvl w:val="0"/>
          <w:numId w:val="9"/>
        </w:numPr>
        <w:spacing w:line="276" w:lineRule="auto"/>
        <w:jc w:val="both"/>
        <w:rPr>
          <w:rFonts w:asciiTheme="minorHAnsi" w:hAnsiTheme="minorHAnsi" w:cstheme="minorHAnsi"/>
          <w:szCs w:val="22"/>
        </w:rPr>
      </w:pPr>
      <w:r w:rsidRPr="00A43EC9">
        <w:rPr>
          <w:rFonts w:asciiTheme="minorHAnsi" w:hAnsiTheme="minorHAnsi" w:cstheme="minorHAnsi"/>
          <w:szCs w:val="22"/>
        </w:rPr>
        <w:t>als Symptomkontrolle bei Patienten, die nicht f</w:t>
      </w:r>
      <w:r w:rsidR="0005570D" w:rsidRPr="00A43EC9">
        <w:rPr>
          <w:rFonts w:asciiTheme="minorHAnsi" w:hAnsiTheme="minorHAnsi" w:cstheme="minorHAnsi"/>
          <w:szCs w:val="22"/>
        </w:rPr>
        <w:t>ür Chemotherapie geeignet sind</w:t>
      </w:r>
    </w:p>
    <w:p w14:paraId="4FC05BE5" w14:textId="77777777" w:rsidR="00F20002" w:rsidRPr="006601EC" w:rsidRDefault="00F20002" w:rsidP="004501B1">
      <w:pPr>
        <w:spacing w:line="276" w:lineRule="auto"/>
        <w:jc w:val="both"/>
        <w:rPr>
          <w:rFonts w:asciiTheme="minorHAnsi" w:hAnsiTheme="minorHAnsi" w:cstheme="minorHAnsi"/>
          <w:szCs w:val="22"/>
        </w:rPr>
      </w:pPr>
    </w:p>
    <w:p w14:paraId="21923490" w14:textId="77777777" w:rsidR="009E14DC" w:rsidRPr="006601EC" w:rsidRDefault="000D0D9F" w:rsidP="004501B1">
      <w:pPr>
        <w:spacing w:line="276" w:lineRule="auto"/>
        <w:jc w:val="both"/>
        <w:rPr>
          <w:rFonts w:asciiTheme="minorHAnsi" w:hAnsiTheme="minorHAnsi" w:cstheme="minorHAnsi"/>
          <w:szCs w:val="22"/>
        </w:rPr>
      </w:pPr>
      <w:r w:rsidRPr="006601EC">
        <w:rPr>
          <w:rFonts w:asciiTheme="minorHAnsi" w:hAnsiTheme="minorHAnsi" w:cstheme="minorHAnsi"/>
          <w:szCs w:val="22"/>
        </w:rPr>
        <w:t xml:space="preserve">Empfohlene </w:t>
      </w:r>
      <w:r w:rsidR="00A178EE" w:rsidRPr="006601EC">
        <w:rPr>
          <w:rFonts w:asciiTheme="minorHAnsi" w:hAnsiTheme="minorHAnsi" w:cstheme="minorHAnsi"/>
          <w:szCs w:val="22"/>
        </w:rPr>
        <w:t>Strahlendosen</w:t>
      </w:r>
      <w:r w:rsidRPr="006601EC">
        <w:rPr>
          <w:rFonts w:asciiTheme="minorHAnsi" w:hAnsiTheme="minorHAnsi" w:cstheme="minorHAnsi"/>
          <w:szCs w:val="22"/>
        </w:rPr>
        <w:t xml:space="preserve"> abhängig vom Therapieansprechen, IPI-Score und Patienten-</w:t>
      </w:r>
      <w:r w:rsidR="00D21FF8">
        <w:rPr>
          <w:rFonts w:asciiTheme="minorHAnsi" w:hAnsiTheme="minorHAnsi" w:cstheme="minorHAnsi"/>
          <w:szCs w:val="22"/>
        </w:rPr>
        <w:t>Fitness:</w:t>
      </w:r>
      <w:r w:rsidR="00A178EE" w:rsidRPr="006601EC">
        <w:rPr>
          <w:rFonts w:asciiTheme="minorHAnsi" w:hAnsiTheme="minorHAnsi" w:cstheme="minorHAnsi"/>
          <w:szCs w:val="22"/>
        </w:rPr>
        <w:t xml:space="preserve"> </w:t>
      </w:r>
    </w:p>
    <w:p w14:paraId="00F74006" w14:textId="77777777" w:rsidR="00A27652" w:rsidRPr="00A43EC9" w:rsidRDefault="00895F95" w:rsidP="005C6EE4">
      <w:pPr>
        <w:pStyle w:val="Listenabsatz"/>
        <w:numPr>
          <w:ilvl w:val="0"/>
          <w:numId w:val="10"/>
        </w:numPr>
        <w:spacing w:line="276" w:lineRule="auto"/>
        <w:jc w:val="both"/>
        <w:rPr>
          <w:rFonts w:asciiTheme="minorHAnsi" w:hAnsiTheme="minorHAnsi" w:cstheme="minorHAnsi"/>
          <w:szCs w:val="22"/>
        </w:rPr>
      </w:pPr>
      <w:r>
        <w:rPr>
          <w:rFonts w:asciiTheme="minorHAnsi" w:hAnsiTheme="minorHAnsi" w:cstheme="minorHAnsi"/>
          <w:szCs w:val="22"/>
        </w:rPr>
        <w:t>Konso</w:t>
      </w:r>
      <w:r w:rsidR="00A27652" w:rsidRPr="00A43EC9">
        <w:rPr>
          <w:rFonts w:asciiTheme="minorHAnsi" w:hAnsiTheme="minorHAnsi" w:cstheme="minorHAnsi"/>
          <w:szCs w:val="22"/>
        </w:rPr>
        <w:t>lidierung: 36-40 Gy</w:t>
      </w:r>
    </w:p>
    <w:p w14:paraId="285FD323" w14:textId="77777777" w:rsidR="00A27652" w:rsidRPr="00A43EC9" w:rsidRDefault="00D21FF8" w:rsidP="005C6EE4">
      <w:pPr>
        <w:pStyle w:val="Listenabsatz"/>
        <w:numPr>
          <w:ilvl w:val="0"/>
          <w:numId w:val="10"/>
        </w:numPr>
        <w:spacing w:line="276" w:lineRule="auto"/>
        <w:jc w:val="both"/>
        <w:rPr>
          <w:rFonts w:asciiTheme="minorHAnsi" w:hAnsiTheme="minorHAnsi" w:cstheme="minorHAnsi"/>
          <w:szCs w:val="22"/>
        </w:rPr>
      </w:pPr>
      <w:r w:rsidRPr="00A43EC9">
        <w:rPr>
          <w:rFonts w:asciiTheme="minorHAnsi" w:hAnsiTheme="minorHAnsi" w:cstheme="minorHAnsi"/>
          <w:szCs w:val="22"/>
        </w:rPr>
        <w:t>Komplemen</w:t>
      </w:r>
      <w:r w:rsidR="00A27652" w:rsidRPr="00A43EC9">
        <w:rPr>
          <w:rFonts w:asciiTheme="minorHAnsi" w:hAnsiTheme="minorHAnsi" w:cstheme="minorHAnsi"/>
          <w:szCs w:val="22"/>
        </w:rPr>
        <w:t>tär</w:t>
      </w:r>
      <w:r w:rsidR="000E4A0B" w:rsidRPr="00A43EC9">
        <w:rPr>
          <w:rFonts w:asciiTheme="minorHAnsi" w:hAnsiTheme="minorHAnsi" w:cstheme="minorHAnsi"/>
          <w:szCs w:val="22"/>
        </w:rPr>
        <w:t xml:space="preserve"> bei PR oder </w:t>
      </w:r>
      <w:r w:rsidR="00A27652" w:rsidRPr="00A43EC9">
        <w:rPr>
          <w:rFonts w:asciiTheme="minorHAnsi" w:hAnsiTheme="minorHAnsi" w:cstheme="minorHAnsi"/>
          <w:szCs w:val="22"/>
        </w:rPr>
        <w:t>therapeutisch</w:t>
      </w:r>
      <w:r w:rsidR="000E4A0B" w:rsidRPr="00A43EC9">
        <w:rPr>
          <w:rFonts w:asciiTheme="minorHAnsi" w:hAnsiTheme="minorHAnsi" w:cstheme="minorHAnsi"/>
          <w:szCs w:val="22"/>
        </w:rPr>
        <w:t xml:space="preserve"> bei primär Refraktä</w:t>
      </w:r>
      <w:r w:rsidRPr="00A43EC9">
        <w:rPr>
          <w:rFonts w:asciiTheme="minorHAnsi" w:hAnsiTheme="minorHAnsi" w:cstheme="minorHAnsi"/>
          <w:szCs w:val="22"/>
        </w:rPr>
        <w:t>ren oder für nicht HD-geeignete</w:t>
      </w:r>
      <w:r w:rsidR="000E4A0B" w:rsidRPr="00A43EC9">
        <w:rPr>
          <w:rFonts w:asciiTheme="minorHAnsi" w:hAnsiTheme="minorHAnsi" w:cstheme="minorHAnsi"/>
          <w:szCs w:val="22"/>
        </w:rPr>
        <w:t xml:space="preserve"> Patienten</w:t>
      </w:r>
      <w:r w:rsidR="00A27652" w:rsidRPr="00A43EC9">
        <w:rPr>
          <w:rFonts w:asciiTheme="minorHAnsi" w:hAnsiTheme="minorHAnsi" w:cstheme="minorHAnsi"/>
          <w:szCs w:val="22"/>
        </w:rPr>
        <w:t>: 40-55 Gy</w:t>
      </w:r>
    </w:p>
    <w:p w14:paraId="7F33BEF4" w14:textId="77777777" w:rsidR="00437783" w:rsidRPr="00A43EC9" w:rsidRDefault="00871E47" w:rsidP="005C6EE4">
      <w:pPr>
        <w:pStyle w:val="Listenabsatz"/>
        <w:numPr>
          <w:ilvl w:val="0"/>
          <w:numId w:val="10"/>
        </w:numPr>
        <w:spacing w:line="276" w:lineRule="auto"/>
        <w:jc w:val="both"/>
        <w:rPr>
          <w:rFonts w:asciiTheme="minorHAnsi" w:hAnsiTheme="minorHAnsi" w:cstheme="minorHAnsi"/>
          <w:szCs w:val="22"/>
        </w:rPr>
      </w:pPr>
      <w:r w:rsidRPr="00A43EC9">
        <w:rPr>
          <w:rFonts w:asciiTheme="minorHAnsi" w:hAnsiTheme="minorHAnsi" w:cstheme="minorHAnsi"/>
          <w:szCs w:val="22"/>
        </w:rPr>
        <w:t>In Kombination mit HD-Therapie, je nach Lokalisation und Vo</w:t>
      </w:r>
      <w:r w:rsidR="00D21FF8" w:rsidRPr="00A43EC9">
        <w:rPr>
          <w:rFonts w:asciiTheme="minorHAnsi" w:hAnsiTheme="minorHAnsi" w:cstheme="minorHAnsi"/>
          <w:szCs w:val="22"/>
        </w:rPr>
        <w:t>r</w:t>
      </w:r>
      <w:r w:rsidR="00437783" w:rsidRPr="00A43EC9">
        <w:rPr>
          <w:rFonts w:asciiTheme="minorHAnsi" w:hAnsiTheme="minorHAnsi" w:cstheme="minorHAnsi"/>
          <w:szCs w:val="22"/>
        </w:rPr>
        <w:t>behandlung mit Strahlentherapie: 20-36 Gy</w:t>
      </w:r>
    </w:p>
    <w:bookmarkEnd w:id="22"/>
    <w:p w14:paraId="7F3188CA" w14:textId="77777777" w:rsidR="008A6BBC" w:rsidRPr="004501B1" w:rsidRDefault="008A6BBC" w:rsidP="007374FB">
      <w:pPr>
        <w:pStyle w:val="Textkrper-Einzug2"/>
        <w:spacing w:after="0" w:line="276" w:lineRule="auto"/>
        <w:ind w:left="0"/>
        <w:jc w:val="left"/>
        <w:rPr>
          <w:rFonts w:asciiTheme="minorHAnsi" w:hAnsiTheme="minorHAnsi" w:cstheme="minorHAnsi"/>
          <w:sz w:val="12"/>
          <w:szCs w:val="22"/>
        </w:rPr>
      </w:pPr>
    </w:p>
    <w:p w14:paraId="2A59B66E" w14:textId="77777777" w:rsidR="004A7236" w:rsidRDefault="000155EA" w:rsidP="007374FB">
      <w:pPr>
        <w:pStyle w:val="berschrift2"/>
        <w:ind w:left="0" w:firstLine="0"/>
        <w:jc w:val="left"/>
      </w:pPr>
      <w:bookmarkStart w:id="26" w:name="_Toc353200765"/>
      <w:bookmarkStart w:id="27" w:name="_Toc61379696"/>
      <w:r>
        <w:t>3.7</w:t>
      </w:r>
      <w:r w:rsidR="00AA4FC4">
        <w:tab/>
      </w:r>
      <w:r w:rsidR="004A7236">
        <w:t>Supportive Therapie mit G-CSF</w:t>
      </w:r>
      <w:bookmarkEnd w:id="26"/>
      <w:bookmarkEnd w:id="27"/>
    </w:p>
    <w:p w14:paraId="4EB855FA" w14:textId="77777777" w:rsidR="004A7236" w:rsidRPr="004A7236" w:rsidRDefault="004A7236" w:rsidP="007374FB">
      <w:pPr>
        <w:pStyle w:val="Textkrper-Einzug2"/>
        <w:numPr>
          <w:ilvl w:val="0"/>
          <w:numId w:val="3"/>
        </w:numPr>
        <w:spacing w:after="0" w:line="276" w:lineRule="auto"/>
        <w:ind w:left="426" w:hanging="426"/>
        <w:jc w:val="left"/>
        <w:rPr>
          <w:rFonts w:asciiTheme="minorHAnsi" w:hAnsiTheme="minorHAnsi" w:cstheme="minorHAnsi"/>
          <w:szCs w:val="22"/>
        </w:rPr>
      </w:pPr>
      <w:r w:rsidRPr="004A7236">
        <w:rPr>
          <w:rFonts w:asciiTheme="minorHAnsi" w:hAnsiTheme="minorHAnsi" w:cstheme="minorHAnsi"/>
          <w:szCs w:val="22"/>
        </w:rPr>
        <w:t xml:space="preserve">Grundsätzlich wird eine Primärprophylaxe mit G-CSF bei  Chemotherapieschemata empfohlen, die ein </w:t>
      </w:r>
      <w:r w:rsidRPr="004A7236">
        <w:rPr>
          <w:rFonts w:asciiTheme="minorHAnsi" w:hAnsiTheme="minorHAnsi" w:cstheme="minorHAnsi"/>
          <w:szCs w:val="22"/>
          <w:u w:val="single"/>
        </w:rPr>
        <w:t>&gt; 20 %iges Risiko einer febrilen Neutropenie</w:t>
      </w:r>
      <w:r w:rsidRPr="004A7236">
        <w:rPr>
          <w:rFonts w:asciiTheme="minorHAnsi" w:hAnsiTheme="minorHAnsi" w:cstheme="minorHAnsi"/>
          <w:szCs w:val="22"/>
        </w:rPr>
        <w:t xml:space="preserve"> haben.</w:t>
      </w:r>
    </w:p>
    <w:p w14:paraId="10C7449F" w14:textId="77777777" w:rsidR="004A7236" w:rsidRPr="004A7236" w:rsidRDefault="004A7236" w:rsidP="007374FB">
      <w:pPr>
        <w:pStyle w:val="Textkrper-Einzug2"/>
        <w:numPr>
          <w:ilvl w:val="0"/>
          <w:numId w:val="3"/>
        </w:numPr>
        <w:spacing w:after="0" w:line="276" w:lineRule="auto"/>
        <w:ind w:left="426" w:hanging="426"/>
        <w:jc w:val="left"/>
        <w:rPr>
          <w:rFonts w:asciiTheme="minorHAnsi" w:hAnsiTheme="minorHAnsi" w:cstheme="minorHAnsi"/>
          <w:szCs w:val="22"/>
        </w:rPr>
      </w:pPr>
      <w:r w:rsidRPr="004A7236">
        <w:rPr>
          <w:rFonts w:asciiTheme="minorHAnsi" w:hAnsiTheme="minorHAnsi" w:cstheme="minorHAnsi"/>
          <w:szCs w:val="22"/>
        </w:rPr>
        <w:t>Eine Primärprophylaxe sollte außerdem erfolgen bei Patienten ≥ 65 Jahre sowie Patienten mit zusätzlichen Risikofaktoren für infektiöse Komplikationen, wie frühere intensive Chemotherapien, Vorbestrahlung im Beckenbereich oder zusätzliche Infektionsprobleme.</w:t>
      </w:r>
    </w:p>
    <w:p w14:paraId="47A03159" w14:textId="77777777" w:rsidR="004A7236" w:rsidRPr="004A7236" w:rsidRDefault="004A7236" w:rsidP="007374FB">
      <w:pPr>
        <w:pStyle w:val="Textkrper-Einzug2"/>
        <w:numPr>
          <w:ilvl w:val="0"/>
          <w:numId w:val="3"/>
        </w:numPr>
        <w:spacing w:after="0" w:line="276" w:lineRule="auto"/>
        <w:ind w:left="426" w:hanging="426"/>
        <w:jc w:val="left"/>
        <w:rPr>
          <w:rFonts w:asciiTheme="minorHAnsi" w:hAnsiTheme="minorHAnsi" w:cstheme="minorHAnsi"/>
          <w:szCs w:val="22"/>
        </w:rPr>
      </w:pPr>
      <w:r w:rsidRPr="004A7236">
        <w:rPr>
          <w:rFonts w:asciiTheme="minorHAnsi" w:hAnsiTheme="minorHAnsi" w:cstheme="minorHAnsi"/>
          <w:szCs w:val="22"/>
        </w:rPr>
        <w:t xml:space="preserve">Eine </w:t>
      </w:r>
      <w:r w:rsidRPr="006D3B7B">
        <w:rPr>
          <w:rFonts w:asciiTheme="minorHAnsi" w:hAnsiTheme="minorHAnsi" w:cstheme="minorHAnsi"/>
          <w:szCs w:val="22"/>
          <w:u w:val="single"/>
        </w:rPr>
        <w:t>Sekundärprophylaxe</w:t>
      </w:r>
      <w:r w:rsidRPr="004A7236">
        <w:rPr>
          <w:rFonts w:asciiTheme="minorHAnsi" w:hAnsiTheme="minorHAnsi" w:cstheme="minorHAnsi"/>
          <w:szCs w:val="22"/>
        </w:rPr>
        <w:t xml:space="preserve"> ist indiziert,  wenn im zuvor durchgeführten Chemotherapiezyklus in der neutropenischen Phase Fieber auftrat oder die Erhaltung der Dosisintensität sowie die zeitgerechte Gabe der Chemotherapie für den Behandlungserfolg entscheidend ist.</w:t>
      </w:r>
    </w:p>
    <w:p w14:paraId="6791F5E7" w14:textId="77777777" w:rsidR="004A7236" w:rsidRDefault="0086097E" w:rsidP="007374FB">
      <w:pPr>
        <w:pStyle w:val="Textkrper-Einzug2"/>
        <w:numPr>
          <w:ilvl w:val="0"/>
          <w:numId w:val="3"/>
        </w:numPr>
        <w:spacing w:after="0" w:line="276" w:lineRule="auto"/>
        <w:ind w:left="426" w:hanging="426"/>
        <w:jc w:val="left"/>
        <w:rPr>
          <w:rFonts w:asciiTheme="minorHAnsi" w:hAnsiTheme="minorHAnsi" w:cstheme="minorHAnsi"/>
          <w:szCs w:val="22"/>
        </w:rPr>
      </w:pPr>
      <w:r>
        <w:rPr>
          <w:rFonts w:asciiTheme="minorHAnsi" w:hAnsiTheme="minorHAnsi" w:cstheme="minorHAnsi"/>
          <w:szCs w:val="22"/>
        </w:rPr>
        <w:t>F</w:t>
      </w:r>
      <w:r w:rsidR="003D0B17">
        <w:rPr>
          <w:rFonts w:asciiTheme="minorHAnsi" w:hAnsiTheme="minorHAnsi" w:cstheme="minorHAnsi"/>
          <w:szCs w:val="22"/>
        </w:rPr>
        <w:t>olgende Empfehlungen</w:t>
      </w:r>
      <w:r w:rsidR="005A1657">
        <w:rPr>
          <w:rFonts w:asciiTheme="minorHAnsi" w:hAnsiTheme="minorHAnsi" w:cstheme="minorHAnsi"/>
          <w:szCs w:val="22"/>
        </w:rPr>
        <w:t xml:space="preserve"> </w:t>
      </w:r>
      <w:r>
        <w:rPr>
          <w:rFonts w:asciiTheme="minorHAnsi" w:hAnsiTheme="minorHAnsi" w:cstheme="minorHAnsi"/>
          <w:szCs w:val="22"/>
        </w:rPr>
        <w:t xml:space="preserve">gelten </w:t>
      </w:r>
      <w:r w:rsidR="005A1657">
        <w:rPr>
          <w:rFonts w:asciiTheme="minorHAnsi" w:hAnsiTheme="minorHAnsi" w:cstheme="minorHAnsi"/>
          <w:szCs w:val="22"/>
        </w:rPr>
        <w:t xml:space="preserve">für die </w:t>
      </w:r>
      <w:r w:rsidR="005A1657" w:rsidRPr="006D3B7B">
        <w:rPr>
          <w:rFonts w:asciiTheme="minorHAnsi" w:hAnsiTheme="minorHAnsi" w:cstheme="minorHAnsi"/>
          <w:szCs w:val="22"/>
          <w:u w:val="single"/>
        </w:rPr>
        <w:t>Primärprophylaxe</w:t>
      </w:r>
      <w:r w:rsidR="004A7236" w:rsidRPr="004A7236">
        <w:rPr>
          <w:rFonts w:asciiTheme="minorHAnsi" w:hAnsiTheme="minorHAnsi" w:cstheme="minorHAnsi"/>
          <w:szCs w:val="22"/>
        </w:rPr>
        <w:t>:</w:t>
      </w:r>
    </w:p>
    <w:tbl>
      <w:tblPr>
        <w:tblStyle w:val="Tabellenraster"/>
        <w:tblW w:w="0" w:type="auto"/>
        <w:tblInd w:w="534" w:type="dxa"/>
        <w:tblLook w:val="04A0" w:firstRow="1" w:lastRow="0" w:firstColumn="1" w:lastColumn="0" w:noHBand="0" w:noVBand="1"/>
      </w:tblPr>
      <w:tblGrid>
        <w:gridCol w:w="1825"/>
        <w:gridCol w:w="7013"/>
      </w:tblGrid>
      <w:tr w:rsidR="00175ED5" w14:paraId="652B29CA" w14:textId="77777777" w:rsidTr="003F172A">
        <w:tc>
          <w:tcPr>
            <w:tcW w:w="1842" w:type="dxa"/>
          </w:tcPr>
          <w:p w14:paraId="65937F33" w14:textId="77777777" w:rsidR="00175ED5" w:rsidRPr="003F172A" w:rsidRDefault="00175ED5" w:rsidP="007374FB">
            <w:pPr>
              <w:spacing w:line="240" w:lineRule="auto"/>
              <w:jc w:val="left"/>
            </w:pPr>
            <w:r w:rsidRPr="003F172A">
              <w:rPr>
                <w:rFonts w:asciiTheme="minorHAnsi" w:hAnsiTheme="minorHAnsi" w:cstheme="minorHAnsi"/>
                <w:b/>
                <w:szCs w:val="22"/>
              </w:rPr>
              <w:t>BV-CHP</w:t>
            </w:r>
            <w:r w:rsidRPr="003F172A">
              <w:rPr>
                <w:rFonts w:asciiTheme="minorHAnsi" w:hAnsiTheme="minorHAnsi" w:cstheme="minorHAnsi"/>
                <w:b/>
                <w:szCs w:val="22"/>
              </w:rPr>
              <w:tab/>
              <w:t>q3w</w:t>
            </w:r>
          </w:p>
        </w:tc>
        <w:tc>
          <w:tcPr>
            <w:tcW w:w="7146" w:type="dxa"/>
          </w:tcPr>
          <w:p w14:paraId="6683B106" w14:textId="77777777" w:rsidR="00175ED5" w:rsidRPr="003F172A" w:rsidRDefault="004E7EBC" w:rsidP="007374FB">
            <w:pPr>
              <w:spacing w:line="240" w:lineRule="auto"/>
              <w:jc w:val="left"/>
            </w:pPr>
            <w:r>
              <w:rPr>
                <w:rFonts w:asciiTheme="minorHAnsi" w:hAnsiTheme="minorHAnsi" w:cstheme="minorHAnsi"/>
                <w:szCs w:val="22"/>
              </w:rPr>
              <w:t>G-CSF fix ab</w:t>
            </w:r>
            <w:r w:rsidR="0086097E" w:rsidRPr="003F172A">
              <w:rPr>
                <w:rFonts w:asciiTheme="minorHAnsi" w:hAnsiTheme="minorHAnsi" w:cstheme="minorHAnsi"/>
                <w:szCs w:val="22"/>
              </w:rPr>
              <w:t xml:space="preserve"> d4</w:t>
            </w:r>
          </w:p>
        </w:tc>
      </w:tr>
      <w:tr w:rsidR="00175ED5" w14:paraId="5BC7B28F" w14:textId="77777777" w:rsidTr="003F172A">
        <w:tc>
          <w:tcPr>
            <w:tcW w:w="1842" w:type="dxa"/>
          </w:tcPr>
          <w:p w14:paraId="43EF18D4" w14:textId="77777777" w:rsidR="00175ED5" w:rsidRPr="003F172A" w:rsidRDefault="00175ED5" w:rsidP="007374FB">
            <w:pPr>
              <w:spacing w:line="240" w:lineRule="auto"/>
              <w:jc w:val="left"/>
            </w:pPr>
            <w:r w:rsidRPr="003F172A">
              <w:rPr>
                <w:rFonts w:asciiTheme="minorHAnsi" w:hAnsiTheme="minorHAnsi" w:cstheme="minorHAnsi"/>
                <w:b/>
                <w:szCs w:val="22"/>
              </w:rPr>
              <w:t>CHOEP q2w/q3w</w:t>
            </w:r>
          </w:p>
        </w:tc>
        <w:tc>
          <w:tcPr>
            <w:tcW w:w="7146" w:type="dxa"/>
          </w:tcPr>
          <w:p w14:paraId="46984CD0" w14:textId="77777777" w:rsidR="00175ED5" w:rsidRPr="003F172A" w:rsidRDefault="004E7EBC" w:rsidP="007374FB">
            <w:pPr>
              <w:spacing w:line="240" w:lineRule="auto"/>
              <w:jc w:val="left"/>
            </w:pPr>
            <w:r>
              <w:rPr>
                <w:rFonts w:asciiTheme="minorHAnsi" w:hAnsiTheme="minorHAnsi" w:cstheme="minorHAnsi"/>
                <w:szCs w:val="22"/>
              </w:rPr>
              <w:t xml:space="preserve">G-CSF fix ab </w:t>
            </w:r>
            <w:r w:rsidR="00175ED5" w:rsidRPr="003F172A">
              <w:rPr>
                <w:rFonts w:asciiTheme="minorHAnsi" w:hAnsiTheme="minorHAnsi" w:cstheme="minorHAnsi"/>
                <w:szCs w:val="22"/>
              </w:rPr>
              <w:t>d4</w:t>
            </w:r>
          </w:p>
        </w:tc>
      </w:tr>
      <w:tr w:rsidR="00175ED5" w14:paraId="6654990B" w14:textId="77777777" w:rsidTr="003F172A">
        <w:tc>
          <w:tcPr>
            <w:tcW w:w="1842" w:type="dxa"/>
          </w:tcPr>
          <w:p w14:paraId="171A007A" w14:textId="77777777" w:rsidR="00175ED5" w:rsidRPr="003F172A" w:rsidRDefault="00175ED5" w:rsidP="00175ED5">
            <w:pPr>
              <w:spacing w:line="240" w:lineRule="auto"/>
              <w:jc w:val="left"/>
            </w:pPr>
            <w:r w:rsidRPr="003F172A">
              <w:rPr>
                <w:rFonts w:asciiTheme="minorHAnsi" w:hAnsiTheme="minorHAnsi" w:cstheme="minorHAnsi"/>
                <w:b/>
                <w:szCs w:val="22"/>
              </w:rPr>
              <w:t>CHOP q3w</w:t>
            </w:r>
          </w:p>
        </w:tc>
        <w:tc>
          <w:tcPr>
            <w:tcW w:w="7146" w:type="dxa"/>
          </w:tcPr>
          <w:p w14:paraId="5B910AB5" w14:textId="77777777" w:rsidR="00175ED5" w:rsidRPr="003F172A" w:rsidRDefault="00175ED5" w:rsidP="00175ED5">
            <w:pPr>
              <w:spacing w:line="240" w:lineRule="auto"/>
              <w:jc w:val="left"/>
            </w:pPr>
            <w:r w:rsidRPr="003F172A">
              <w:rPr>
                <w:rFonts w:asciiTheme="minorHAnsi" w:hAnsiTheme="minorHAnsi" w:cstheme="minorHAnsi"/>
                <w:szCs w:val="22"/>
              </w:rPr>
              <w:t>G-CSF nur bei zusätzlichem Risikofaktor* ab d4</w:t>
            </w:r>
          </w:p>
        </w:tc>
      </w:tr>
      <w:tr w:rsidR="00175ED5" w14:paraId="5D885EAC" w14:textId="77777777" w:rsidTr="003F172A">
        <w:tc>
          <w:tcPr>
            <w:tcW w:w="1842" w:type="dxa"/>
          </w:tcPr>
          <w:p w14:paraId="56802C49" w14:textId="77777777" w:rsidR="00175ED5" w:rsidRPr="003F172A" w:rsidRDefault="00175ED5" w:rsidP="00175ED5">
            <w:pPr>
              <w:spacing w:line="240" w:lineRule="auto"/>
              <w:jc w:val="left"/>
            </w:pPr>
            <w:r w:rsidRPr="003F172A">
              <w:rPr>
                <w:rFonts w:asciiTheme="minorHAnsi" w:hAnsiTheme="minorHAnsi" w:cstheme="minorHAnsi"/>
                <w:b/>
                <w:szCs w:val="22"/>
              </w:rPr>
              <w:t>Mini-CHOP</w:t>
            </w:r>
          </w:p>
        </w:tc>
        <w:tc>
          <w:tcPr>
            <w:tcW w:w="7146" w:type="dxa"/>
          </w:tcPr>
          <w:p w14:paraId="0E2FDEF0" w14:textId="77777777" w:rsidR="00175ED5" w:rsidRPr="003F172A" w:rsidRDefault="00175ED5" w:rsidP="00175ED5">
            <w:pPr>
              <w:spacing w:line="240" w:lineRule="auto"/>
              <w:jc w:val="left"/>
            </w:pPr>
            <w:r w:rsidRPr="003F172A">
              <w:rPr>
                <w:rFonts w:asciiTheme="minorHAnsi" w:hAnsiTheme="minorHAnsi" w:cstheme="minorHAnsi"/>
                <w:szCs w:val="22"/>
              </w:rPr>
              <w:t xml:space="preserve">G-CSF nur bei zusätzlichem Risikofaktor </w:t>
            </w:r>
            <w:r w:rsidR="003D0B17" w:rsidRPr="003F172A">
              <w:rPr>
                <w:rFonts w:asciiTheme="minorHAnsi" w:hAnsiTheme="minorHAnsi" w:cstheme="minorHAnsi"/>
                <w:szCs w:val="22"/>
              </w:rPr>
              <w:t>(</w:t>
            </w:r>
            <w:r w:rsidRPr="003F172A">
              <w:rPr>
                <w:rFonts w:asciiTheme="minorHAnsi" w:hAnsiTheme="minorHAnsi" w:cstheme="minorHAnsi"/>
                <w:szCs w:val="22"/>
              </w:rPr>
              <w:t>außer Alter</w:t>
            </w:r>
            <w:r w:rsidR="003D0B17" w:rsidRPr="003F172A">
              <w:rPr>
                <w:rFonts w:asciiTheme="minorHAnsi" w:hAnsiTheme="minorHAnsi" w:cstheme="minorHAnsi"/>
                <w:szCs w:val="22"/>
              </w:rPr>
              <w:t>)</w:t>
            </w:r>
            <w:r w:rsidRPr="003F172A">
              <w:rPr>
                <w:rFonts w:asciiTheme="minorHAnsi" w:hAnsiTheme="minorHAnsi" w:cstheme="minorHAnsi"/>
                <w:szCs w:val="22"/>
              </w:rPr>
              <w:t>* ab d4</w:t>
            </w:r>
          </w:p>
        </w:tc>
      </w:tr>
      <w:tr w:rsidR="00175ED5" w14:paraId="05B834D7" w14:textId="77777777" w:rsidTr="003F172A">
        <w:tc>
          <w:tcPr>
            <w:tcW w:w="1842" w:type="dxa"/>
          </w:tcPr>
          <w:p w14:paraId="53A4E33F" w14:textId="77777777" w:rsidR="00175ED5" w:rsidRPr="003F172A" w:rsidRDefault="00175ED5" w:rsidP="00175ED5">
            <w:pPr>
              <w:spacing w:line="240" w:lineRule="auto"/>
              <w:jc w:val="left"/>
            </w:pPr>
            <w:r w:rsidRPr="003F172A">
              <w:rPr>
                <w:rFonts w:asciiTheme="minorHAnsi" w:hAnsiTheme="minorHAnsi" w:cstheme="minorHAnsi"/>
                <w:b/>
                <w:szCs w:val="22"/>
              </w:rPr>
              <w:t>BV mono</w:t>
            </w:r>
          </w:p>
        </w:tc>
        <w:tc>
          <w:tcPr>
            <w:tcW w:w="7146" w:type="dxa"/>
          </w:tcPr>
          <w:p w14:paraId="77AEBDE7" w14:textId="77777777" w:rsidR="00175ED5" w:rsidRPr="003F172A" w:rsidRDefault="00175ED5" w:rsidP="00175ED5">
            <w:pPr>
              <w:spacing w:line="240" w:lineRule="auto"/>
              <w:jc w:val="left"/>
            </w:pPr>
            <w:r w:rsidRPr="003F172A">
              <w:rPr>
                <w:rFonts w:asciiTheme="minorHAnsi" w:hAnsiTheme="minorHAnsi" w:cstheme="minorHAnsi"/>
                <w:szCs w:val="22"/>
              </w:rPr>
              <w:t>G-CSF nur bei zusätzlichem Risikofaktor* ab d4</w:t>
            </w:r>
          </w:p>
        </w:tc>
      </w:tr>
      <w:tr w:rsidR="003D0B17" w14:paraId="466DCF9F" w14:textId="77777777" w:rsidTr="003F172A">
        <w:tc>
          <w:tcPr>
            <w:tcW w:w="1842" w:type="dxa"/>
            <w:shd w:val="clear" w:color="auto" w:fill="auto"/>
          </w:tcPr>
          <w:p w14:paraId="06CFE191" w14:textId="77777777" w:rsidR="003D0B17" w:rsidRPr="003F172A" w:rsidRDefault="003D0B17" w:rsidP="003D0B17">
            <w:pPr>
              <w:spacing w:line="240" w:lineRule="auto"/>
              <w:jc w:val="left"/>
            </w:pPr>
            <w:r w:rsidRPr="003F172A">
              <w:rPr>
                <w:rFonts w:asciiTheme="minorHAnsi" w:hAnsiTheme="minorHAnsi" w:cstheme="minorHAnsi"/>
                <w:b/>
                <w:szCs w:val="22"/>
              </w:rPr>
              <w:t>DDGP</w:t>
            </w:r>
          </w:p>
        </w:tc>
        <w:tc>
          <w:tcPr>
            <w:tcW w:w="7146" w:type="dxa"/>
            <w:shd w:val="clear" w:color="auto" w:fill="auto"/>
          </w:tcPr>
          <w:p w14:paraId="700D39C3" w14:textId="77777777" w:rsidR="003D0B17" w:rsidRPr="003F172A" w:rsidRDefault="004E7EBC" w:rsidP="003D0B17">
            <w:pPr>
              <w:spacing w:line="240" w:lineRule="auto"/>
              <w:jc w:val="left"/>
            </w:pPr>
            <w:r>
              <w:rPr>
                <w:rFonts w:asciiTheme="minorHAnsi" w:hAnsiTheme="minorHAnsi" w:cstheme="minorHAnsi"/>
                <w:szCs w:val="22"/>
              </w:rPr>
              <w:t>G-CSF fix ab</w:t>
            </w:r>
            <w:r w:rsidR="003D0B17" w:rsidRPr="003F172A">
              <w:rPr>
                <w:rFonts w:asciiTheme="minorHAnsi" w:hAnsiTheme="minorHAnsi" w:cstheme="minorHAnsi"/>
                <w:szCs w:val="22"/>
              </w:rPr>
              <w:t xml:space="preserve"> d</w:t>
            </w:r>
            <w:r>
              <w:rPr>
                <w:rFonts w:asciiTheme="minorHAnsi" w:hAnsiTheme="minorHAnsi" w:cstheme="minorHAnsi"/>
                <w:szCs w:val="22"/>
              </w:rPr>
              <w:t>6</w:t>
            </w:r>
          </w:p>
        </w:tc>
      </w:tr>
      <w:tr w:rsidR="003D0B17" w14:paraId="029BB163" w14:textId="77777777" w:rsidTr="003F172A">
        <w:tc>
          <w:tcPr>
            <w:tcW w:w="1842" w:type="dxa"/>
            <w:shd w:val="clear" w:color="auto" w:fill="auto"/>
          </w:tcPr>
          <w:p w14:paraId="7DC2E23F" w14:textId="77777777" w:rsidR="003D0B17" w:rsidRPr="003F172A" w:rsidRDefault="003D0B17" w:rsidP="003D0B17">
            <w:pPr>
              <w:spacing w:line="240" w:lineRule="auto"/>
              <w:jc w:val="left"/>
            </w:pPr>
            <w:r w:rsidRPr="003F172A">
              <w:rPr>
                <w:rFonts w:asciiTheme="minorHAnsi" w:hAnsiTheme="minorHAnsi" w:cstheme="minorHAnsi"/>
                <w:b/>
                <w:szCs w:val="22"/>
              </w:rPr>
              <w:t>2/3 DeVIC</w:t>
            </w:r>
          </w:p>
        </w:tc>
        <w:tc>
          <w:tcPr>
            <w:tcW w:w="7146" w:type="dxa"/>
            <w:shd w:val="clear" w:color="auto" w:fill="auto"/>
          </w:tcPr>
          <w:p w14:paraId="386E82C6" w14:textId="77777777" w:rsidR="003D0B17" w:rsidRPr="003F172A" w:rsidRDefault="003D0B17" w:rsidP="003D0B17">
            <w:pPr>
              <w:spacing w:line="240" w:lineRule="auto"/>
              <w:jc w:val="left"/>
            </w:pPr>
            <w:r w:rsidRPr="003F172A">
              <w:rPr>
                <w:rFonts w:asciiTheme="minorHAnsi" w:hAnsiTheme="minorHAnsi" w:cstheme="minorHAnsi"/>
                <w:szCs w:val="22"/>
              </w:rPr>
              <w:t xml:space="preserve">G-CSF </w:t>
            </w:r>
            <w:r w:rsidR="004E7EBC">
              <w:rPr>
                <w:rFonts w:asciiTheme="minorHAnsi" w:hAnsiTheme="minorHAnsi" w:cstheme="minorHAnsi"/>
                <w:szCs w:val="22"/>
              </w:rPr>
              <w:t xml:space="preserve">fix ab </w:t>
            </w:r>
            <w:r w:rsidRPr="003F172A">
              <w:rPr>
                <w:rFonts w:asciiTheme="minorHAnsi" w:hAnsiTheme="minorHAnsi" w:cstheme="minorHAnsi"/>
                <w:szCs w:val="22"/>
              </w:rPr>
              <w:t>d4</w:t>
            </w:r>
          </w:p>
        </w:tc>
      </w:tr>
      <w:tr w:rsidR="004E7EBC" w14:paraId="632CD285" w14:textId="77777777" w:rsidTr="003F172A">
        <w:tc>
          <w:tcPr>
            <w:tcW w:w="1842" w:type="dxa"/>
            <w:shd w:val="clear" w:color="auto" w:fill="auto"/>
          </w:tcPr>
          <w:p w14:paraId="29F0D312" w14:textId="77777777" w:rsidR="004E7EBC" w:rsidRPr="003F172A" w:rsidRDefault="004E7EBC" w:rsidP="003D0B17">
            <w:pPr>
              <w:spacing w:line="240" w:lineRule="auto"/>
              <w:jc w:val="left"/>
              <w:rPr>
                <w:rFonts w:asciiTheme="minorHAnsi" w:hAnsiTheme="minorHAnsi" w:cstheme="minorHAnsi"/>
                <w:b/>
                <w:szCs w:val="22"/>
              </w:rPr>
            </w:pPr>
            <w:r>
              <w:rPr>
                <w:rFonts w:asciiTheme="minorHAnsi" w:hAnsiTheme="minorHAnsi" w:cstheme="minorHAnsi"/>
                <w:b/>
                <w:szCs w:val="22"/>
              </w:rPr>
              <w:t>GDP</w:t>
            </w:r>
          </w:p>
        </w:tc>
        <w:tc>
          <w:tcPr>
            <w:tcW w:w="7146" w:type="dxa"/>
            <w:shd w:val="clear" w:color="auto" w:fill="auto"/>
          </w:tcPr>
          <w:p w14:paraId="16DE248C" w14:textId="77777777" w:rsidR="004E7EBC" w:rsidRPr="003F172A" w:rsidRDefault="004E7EBC" w:rsidP="004E7EBC">
            <w:pPr>
              <w:spacing w:line="240" w:lineRule="auto"/>
              <w:jc w:val="left"/>
              <w:rPr>
                <w:rFonts w:asciiTheme="minorHAnsi" w:hAnsiTheme="minorHAnsi" w:cstheme="minorHAnsi"/>
                <w:szCs w:val="22"/>
              </w:rPr>
            </w:pPr>
            <w:r w:rsidRPr="003F172A">
              <w:rPr>
                <w:rFonts w:asciiTheme="minorHAnsi" w:hAnsiTheme="minorHAnsi" w:cstheme="minorHAnsi"/>
                <w:szCs w:val="22"/>
              </w:rPr>
              <w:t>G-CSF fix ab d4</w:t>
            </w:r>
          </w:p>
        </w:tc>
      </w:tr>
      <w:tr w:rsidR="003D0B17" w14:paraId="3B25E314" w14:textId="77777777" w:rsidTr="003F172A">
        <w:tc>
          <w:tcPr>
            <w:tcW w:w="1842" w:type="dxa"/>
            <w:shd w:val="clear" w:color="auto" w:fill="auto"/>
          </w:tcPr>
          <w:p w14:paraId="499512FB" w14:textId="77777777" w:rsidR="003D0B17" w:rsidRPr="003F172A" w:rsidRDefault="003D0B17" w:rsidP="003D0B17">
            <w:pPr>
              <w:spacing w:line="240" w:lineRule="auto"/>
              <w:jc w:val="left"/>
            </w:pPr>
            <w:r w:rsidRPr="003F172A">
              <w:rPr>
                <w:rFonts w:asciiTheme="minorHAnsi" w:hAnsiTheme="minorHAnsi" w:cstheme="minorHAnsi"/>
                <w:b/>
                <w:szCs w:val="22"/>
              </w:rPr>
              <w:t>SMILE</w:t>
            </w:r>
          </w:p>
        </w:tc>
        <w:tc>
          <w:tcPr>
            <w:tcW w:w="7146" w:type="dxa"/>
            <w:shd w:val="clear" w:color="auto" w:fill="auto"/>
          </w:tcPr>
          <w:p w14:paraId="7705F8C7" w14:textId="77777777" w:rsidR="003D0B17" w:rsidRPr="003F172A" w:rsidRDefault="003D0B17" w:rsidP="004E7EBC">
            <w:pPr>
              <w:spacing w:line="240" w:lineRule="auto"/>
              <w:jc w:val="left"/>
            </w:pPr>
            <w:r w:rsidRPr="003F172A">
              <w:rPr>
                <w:rFonts w:asciiTheme="minorHAnsi" w:hAnsiTheme="minorHAnsi" w:cstheme="minorHAnsi"/>
                <w:szCs w:val="22"/>
              </w:rPr>
              <w:t>G-CSF fix ab d6</w:t>
            </w:r>
          </w:p>
        </w:tc>
      </w:tr>
    </w:tbl>
    <w:p w14:paraId="3785489D" w14:textId="77777777" w:rsidR="005A1657" w:rsidRPr="0086097E" w:rsidRDefault="005A1657" w:rsidP="003F172A">
      <w:pPr>
        <w:spacing w:line="240" w:lineRule="auto"/>
        <w:ind w:left="426"/>
        <w:jc w:val="left"/>
        <w:rPr>
          <w:rFonts w:asciiTheme="minorHAnsi" w:hAnsiTheme="minorHAnsi" w:cstheme="minorHAnsi"/>
          <w:sz w:val="20"/>
          <w:szCs w:val="22"/>
        </w:rPr>
      </w:pPr>
      <w:r w:rsidRPr="0086097E">
        <w:rPr>
          <w:rFonts w:asciiTheme="minorHAnsi" w:hAnsiTheme="minorHAnsi" w:cstheme="minorHAnsi"/>
          <w:sz w:val="20"/>
          <w:szCs w:val="22"/>
        </w:rPr>
        <w:t xml:space="preserve">* </w:t>
      </w:r>
      <w:r w:rsidR="0086097E" w:rsidRPr="0086097E">
        <w:rPr>
          <w:rFonts w:asciiTheme="minorHAnsi" w:hAnsiTheme="minorHAnsi" w:cstheme="minorHAnsi"/>
          <w:sz w:val="20"/>
          <w:szCs w:val="22"/>
        </w:rPr>
        <w:t xml:space="preserve">Alter &gt; 65 Jahre, </w:t>
      </w:r>
      <w:r w:rsidR="003F172A" w:rsidRPr="0086097E">
        <w:rPr>
          <w:rFonts w:asciiTheme="minorHAnsi" w:hAnsiTheme="minorHAnsi" w:cstheme="minorHAnsi"/>
          <w:sz w:val="20"/>
          <w:szCs w:val="22"/>
        </w:rPr>
        <w:t>Niedriger Performancestatus (niedrig</w:t>
      </w:r>
      <w:r w:rsidR="0086097E" w:rsidRPr="0086097E">
        <w:rPr>
          <w:rFonts w:asciiTheme="minorHAnsi" w:hAnsiTheme="minorHAnsi" w:cstheme="minorHAnsi"/>
          <w:sz w:val="20"/>
          <w:szCs w:val="22"/>
        </w:rPr>
        <w:t xml:space="preserve">er Karnofsky Index, hoher ECOG), Mukositis, </w:t>
      </w:r>
      <w:r w:rsidR="003F172A" w:rsidRPr="0086097E">
        <w:rPr>
          <w:rFonts w:asciiTheme="minorHAnsi" w:hAnsiTheme="minorHAnsi" w:cstheme="minorHAnsi"/>
          <w:sz w:val="20"/>
          <w:szCs w:val="22"/>
        </w:rPr>
        <w:t>Komorbiditäten    (COPD,    Herzinsuffizienz    NYHA    III-IV,    HIV-Infektion, Autoimmunerkrankung, deutlich</w:t>
      </w:r>
      <w:r w:rsidR="0086097E" w:rsidRPr="0086097E">
        <w:rPr>
          <w:rFonts w:asciiTheme="minorHAnsi" w:hAnsiTheme="minorHAnsi" w:cstheme="minorHAnsi"/>
          <w:sz w:val="20"/>
          <w:szCs w:val="22"/>
        </w:rPr>
        <w:t xml:space="preserve"> eingeschränkte Nierenfunktion), </w:t>
      </w:r>
      <w:r w:rsidR="0086097E">
        <w:rPr>
          <w:rFonts w:asciiTheme="minorHAnsi" w:hAnsiTheme="minorHAnsi" w:cstheme="minorHAnsi"/>
          <w:sz w:val="20"/>
          <w:szCs w:val="22"/>
        </w:rPr>
        <w:t>w</w:t>
      </w:r>
      <w:r w:rsidR="003F172A" w:rsidRPr="0086097E">
        <w:rPr>
          <w:rFonts w:asciiTheme="minorHAnsi" w:hAnsiTheme="minorHAnsi" w:cstheme="minorHAnsi"/>
          <w:sz w:val="20"/>
          <w:szCs w:val="22"/>
        </w:rPr>
        <w:t>eit fortgeschrittene,</w:t>
      </w:r>
      <w:r w:rsidR="0086097E" w:rsidRPr="0086097E">
        <w:rPr>
          <w:rFonts w:asciiTheme="minorHAnsi" w:hAnsiTheme="minorHAnsi" w:cstheme="minorHAnsi"/>
          <w:sz w:val="20"/>
          <w:szCs w:val="22"/>
        </w:rPr>
        <w:t xml:space="preserve"> symptomatische Tumorerkrankung, </w:t>
      </w:r>
      <w:r w:rsidR="004E7EBC">
        <w:rPr>
          <w:rFonts w:asciiTheme="minorHAnsi" w:hAnsiTheme="minorHAnsi" w:cstheme="minorHAnsi"/>
          <w:sz w:val="20"/>
          <w:szCs w:val="22"/>
        </w:rPr>
        <w:t>V.a eingeschränkte hämatopoetische Reserve, z.B. bei kürzlich zurückliegender Chemotherapie oder Chemotherapie ab 3. Therapielinie</w:t>
      </w:r>
      <w:r w:rsidR="0086097E" w:rsidRPr="0086097E">
        <w:rPr>
          <w:rFonts w:asciiTheme="minorHAnsi" w:hAnsiTheme="minorHAnsi" w:cstheme="minorHAnsi"/>
          <w:sz w:val="20"/>
          <w:szCs w:val="22"/>
        </w:rPr>
        <w:t xml:space="preserve">, Laborparameter (Anämie, </w:t>
      </w:r>
      <w:r w:rsidR="003F172A" w:rsidRPr="0086097E">
        <w:rPr>
          <w:rFonts w:asciiTheme="minorHAnsi" w:hAnsiTheme="minorHAnsi" w:cstheme="minorHAnsi"/>
          <w:sz w:val="20"/>
          <w:szCs w:val="22"/>
        </w:rPr>
        <w:t>Lymphozytopen</w:t>
      </w:r>
      <w:r w:rsidR="004E7EBC">
        <w:rPr>
          <w:rFonts w:asciiTheme="minorHAnsi" w:hAnsiTheme="minorHAnsi" w:cstheme="minorHAnsi"/>
          <w:sz w:val="20"/>
          <w:szCs w:val="22"/>
        </w:rPr>
        <w:t xml:space="preserve">ie &lt;700/μl, </w:t>
      </w:r>
      <w:r w:rsidR="0086097E">
        <w:rPr>
          <w:rFonts w:asciiTheme="minorHAnsi" w:hAnsiTheme="minorHAnsi" w:cstheme="minorHAnsi"/>
          <w:sz w:val="20"/>
          <w:szCs w:val="22"/>
        </w:rPr>
        <w:t>Hypalbuminämie,</w:t>
      </w:r>
      <w:r w:rsidR="003F172A" w:rsidRPr="0086097E">
        <w:rPr>
          <w:rFonts w:asciiTheme="minorHAnsi" w:hAnsiTheme="minorHAnsi" w:cstheme="minorHAnsi"/>
          <w:sz w:val="20"/>
          <w:szCs w:val="22"/>
        </w:rPr>
        <w:t xml:space="preserve"> Hyperbilirubinämie</w:t>
      </w:r>
      <w:r w:rsidR="0086097E">
        <w:rPr>
          <w:rFonts w:asciiTheme="minorHAnsi" w:hAnsiTheme="minorHAnsi" w:cstheme="minorHAnsi"/>
          <w:sz w:val="20"/>
          <w:szCs w:val="22"/>
        </w:rPr>
        <w:t xml:space="preserve">), </w:t>
      </w:r>
      <w:r w:rsidR="0086097E" w:rsidRPr="0086097E">
        <w:rPr>
          <w:rFonts w:asciiTheme="minorHAnsi" w:hAnsiTheme="minorHAnsi" w:cstheme="minorHAnsi"/>
          <w:sz w:val="20"/>
          <w:szCs w:val="22"/>
        </w:rPr>
        <w:t>Zytop</w:t>
      </w:r>
      <w:r w:rsidR="0086097E">
        <w:rPr>
          <w:rFonts w:asciiTheme="minorHAnsi" w:hAnsiTheme="minorHAnsi" w:cstheme="minorHAnsi"/>
          <w:sz w:val="20"/>
          <w:szCs w:val="22"/>
        </w:rPr>
        <w:t>enie aufgrund eines Knochenmark</w:t>
      </w:r>
      <w:r w:rsidR="0086097E" w:rsidRPr="0086097E">
        <w:rPr>
          <w:rFonts w:asciiTheme="minorHAnsi" w:hAnsiTheme="minorHAnsi" w:cstheme="minorHAnsi"/>
          <w:sz w:val="20"/>
          <w:szCs w:val="22"/>
        </w:rPr>
        <w:t>befalls durch den Tumo</w:t>
      </w:r>
      <w:r w:rsidR="0086097E">
        <w:rPr>
          <w:rFonts w:asciiTheme="minorHAnsi" w:hAnsiTheme="minorHAnsi" w:cstheme="minorHAnsi"/>
          <w:sz w:val="20"/>
          <w:szCs w:val="22"/>
        </w:rPr>
        <w:t>r</w:t>
      </w:r>
    </w:p>
    <w:p w14:paraId="0F3F7A6B" w14:textId="77777777" w:rsidR="003F172A" w:rsidRPr="00175ED5" w:rsidRDefault="003F172A" w:rsidP="003F172A">
      <w:pPr>
        <w:spacing w:line="240" w:lineRule="auto"/>
        <w:ind w:left="426"/>
        <w:jc w:val="left"/>
        <w:rPr>
          <w:rFonts w:asciiTheme="minorHAnsi" w:hAnsiTheme="minorHAnsi" w:cstheme="minorHAnsi"/>
          <w:szCs w:val="22"/>
        </w:rPr>
      </w:pPr>
    </w:p>
    <w:p w14:paraId="11480403" w14:textId="77777777" w:rsidR="00D00AB0" w:rsidRDefault="00B22A25" w:rsidP="007374FB">
      <w:pPr>
        <w:pStyle w:val="berschrift2"/>
        <w:ind w:left="0" w:firstLine="0"/>
        <w:jc w:val="left"/>
      </w:pPr>
      <w:bookmarkStart w:id="28" w:name="_Toc61379697"/>
      <w:bookmarkStart w:id="29" w:name="_Toc353200766"/>
      <w:r>
        <w:lastRenderedPageBreak/>
        <w:t>3.8</w:t>
      </w:r>
      <w:r w:rsidR="004A7236">
        <w:tab/>
      </w:r>
      <w:r w:rsidR="00D00AB0">
        <w:t>Infektionsprophylaxe während der Immunochemotherapie</w:t>
      </w:r>
      <w:bookmarkEnd w:id="28"/>
    </w:p>
    <w:p w14:paraId="12CE8FDB" w14:textId="77777777" w:rsidR="003F172A" w:rsidRDefault="00D00AB0" w:rsidP="00C75201">
      <w:pPr>
        <w:pStyle w:val="Textkrper-Einzug2"/>
        <w:spacing w:after="0" w:line="240" w:lineRule="auto"/>
        <w:ind w:left="0"/>
        <w:jc w:val="left"/>
        <w:rPr>
          <w:rFonts w:asciiTheme="minorHAnsi" w:hAnsiTheme="minorHAnsi" w:cstheme="minorHAnsi"/>
          <w:szCs w:val="22"/>
        </w:rPr>
      </w:pPr>
      <w:r>
        <w:rPr>
          <w:rFonts w:asciiTheme="minorHAnsi" w:hAnsiTheme="minorHAnsi" w:cstheme="minorHAnsi"/>
          <w:szCs w:val="22"/>
        </w:rPr>
        <w:t xml:space="preserve">Es gelten die Prophylaxen gemäß der </w:t>
      </w:r>
      <w:hyperlink r:id="rId26" w:history="1">
        <w:r w:rsidR="005D7D02" w:rsidRPr="00C75201">
          <w:rPr>
            <w:rStyle w:val="Hyperlink"/>
            <w:rFonts w:asciiTheme="minorHAnsi" w:hAnsiTheme="minorHAnsi" w:cstheme="minorHAnsi"/>
            <w:szCs w:val="22"/>
          </w:rPr>
          <w:t>Leitlinie antimikrobielle Prophylaxe und Therapie</w:t>
        </w:r>
      </w:hyperlink>
      <w:r w:rsidR="009F3DFA">
        <w:rPr>
          <w:rFonts w:asciiTheme="minorHAnsi" w:hAnsiTheme="minorHAnsi" w:cstheme="minorHAnsi"/>
          <w:szCs w:val="22"/>
        </w:rPr>
        <w:t>.</w:t>
      </w:r>
    </w:p>
    <w:p w14:paraId="197170D8" w14:textId="77777777" w:rsidR="004E7EBC" w:rsidRDefault="004E7EBC">
      <w:pPr>
        <w:spacing w:line="240" w:lineRule="auto"/>
        <w:jc w:val="left"/>
        <w:rPr>
          <w:rFonts w:asciiTheme="minorHAnsi" w:hAnsiTheme="minorHAnsi" w:cstheme="minorHAnsi"/>
          <w:szCs w:val="22"/>
        </w:rPr>
      </w:pPr>
    </w:p>
    <w:p w14:paraId="3002CF5C" w14:textId="77777777" w:rsidR="00C75201" w:rsidRPr="00C75201" w:rsidRDefault="00C75201" w:rsidP="00C75201">
      <w:pPr>
        <w:pStyle w:val="berschrift3"/>
        <w:numPr>
          <w:ilvl w:val="0"/>
          <w:numId w:val="0"/>
        </w:numPr>
        <w:ind w:left="720" w:hanging="720"/>
      </w:pPr>
      <w:bookmarkStart w:id="30" w:name="_Toc61379698"/>
      <w:r w:rsidRPr="00C75201">
        <w:t>Corona-Infektion (COVID-19) bei PTCL-Patienten</w:t>
      </w:r>
      <w:bookmarkEnd w:id="30"/>
    </w:p>
    <w:p w14:paraId="76D9BB6F" w14:textId="77777777" w:rsidR="00C75201" w:rsidRPr="00C75201" w:rsidRDefault="00C75201" w:rsidP="00C75201">
      <w:pPr>
        <w:spacing w:line="276" w:lineRule="auto"/>
        <w:jc w:val="both"/>
        <w:rPr>
          <w:rFonts w:asciiTheme="minorHAnsi" w:hAnsiTheme="minorHAnsi" w:cstheme="minorHAnsi"/>
        </w:rPr>
      </w:pPr>
      <w:r w:rsidRPr="00C75201">
        <w:rPr>
          <w:rFonts w:asciiTheme="minorHAnsi" w:hAnsiTheme="minorHAnsi" w:cstheme="minorHAnsi"/>
        </w:rPr>
        <w:t>Aufgrund der Leukozytopenie besteht grundsätzlich ein erhöhtes Risiko für einen schweren Infektionsverlauf COVID-19 unter Immuno-/Chemotherapie mit (CHOEP), Brentuximab, Gemcitabin, Bendamustin, Altemtuzumab, Carboplatin, Etoposid, Ifosfamid.</w:t>
      </w:r>
    </w:p>
    <w:p w14:paraId="19F88850" w14:textId="77777777" w:rsidR="00C75201" w:rsidRPr="00C75201" w:rsidRDefault="00C75201" w:rsidP="00C75201">
      <w:pPr>
        <w:spacing w:line="276" w:lineRule="auto"/>
        <w:jc w:val="both"/>
        <w:rPr>
          <w:rFonts w:asciiTheme="minorHAnsi" w:hAnsiTheme="minorHAnsi" w:cstheme="minorHAnsi"/>
          <w:szCs w:val="22"/>
        </w:rPr>
      </w:pPr>
      <w:r w:rsidRPr="00C75201">
        <w:rPr>
          <w:rFonts w:asciiTheme="minorHAnsi" w:hAnsiTheme="minorHAnsi" w:cstheme="minorHAnsi"/>
        </w:rPr>
        <w:t xml:space="preserve">Ausführliche und aktuelle Empfehlungen sind auf der Homepage von Onkopedia aus der </w:t>
      </w:r>
      <w:hyperlink r:id="rId27" w:history="1">
        <w:r w:rsidRPr="00C75201">
          <w:rPr>
            <w:rStyle w:val="Hyperlink"/>
            <w:rFonts w:asciiTheme="minorHAnsi" w:hAnsiTheme="minorHAnsi" w:cstheme="minorHAnsi"/>
          </w:rPr>
          <w:t>Covid-19-Leitlinie</w:t>
        </w:r>
      </w:hyperlink>
      <w:r>
        <w:rPr>
          <w:rFonts w:asciiTheme="minorHAnsi" w:hAnsiTheme="minorHAnsi" w:cstheme="minorHAnsi"/>
        </w:rPr>
        <w:t xml:space="preserve"> zu entnehmen.</w:t>
      </w:r>
    </w:p>
    <w:p w14:paraId="6E92299F" w14:textId="77777777" w:rsidR="00C75201" w:rsidRPr="00C75201" w:rsidRDefault="00C75201" w:rsidP="00C75201">
      <w:pPr>
        <w:spacing w:line="240" w:lineRule="auto"/>
        <w:jc w:val="left"/>
        <w:rPr>
          <w:rFonts w:asciiTheme="minorHAnsi" w:hAnsiTheme="minorHAnsi" w:cstheme="minorHAnsi"/>
          <w:szCs w:val="22"/>
        </w:rPr>
      </w:pPr>
    </w:p>
    <w:p w14:paraId="78539A51" w14:textId="77777777" w:rsidR="00C75201" w:rsidRPr="00C75201" w:rsidRDefault="00C75201" w:rsidP="00C75201">
      <w:pPr>
        <w:spacing w:line="276" w:lineRule="auto"/>
        <w:jc w:val="both"/>
        <w:rPr>
          <w:rFonts w:asciiTheme="minorHAnsi" w:hAnsiTheme="minorHAnsi" w:cstheme="minorHAnsi"/>
          <w:b/>
        </w:rPr>
      </w:pPr>
      <w:r w:rsidRPr="00C75201">
        <w:rPr>
          <w:rFonts w:asciiTheme="minorHAnsi" w:hAnsiTheme="minorHAnsi" w:cstheme="minorHAnsi"/>
          <w:b/>
        </w:rPr>
        <w:t>Impfempfehlung</w:t>
      </w:r>
    </w:p>
    <w:p w14:paraId="3A540272" w14:textId="77777777" w:rsidR="00C75201" w:rsidRPr="00C75201" w:rsidRDefault="00C75201" w:rsidP="00C75201">
      <w:pPr>
        <w:spacing w:line="276" w:lineRule="auto"/>
        <w:jc w:val="both"/>
        <w:rPr>
          <w:rFonts w:asciiTheme="minorHAnsi" w:hAnsiTheme="minorHAnsi" w:cstheme="minorHAnsi"/>
        </w:rPr>
      </w:pPr>
      <w:r w:rsidRPr="00C75201">
        <w:rPr>
          <w:rFonts w:asciiTheme="minorHAnsi" w:hAnsiTheme="minorHAnsi" w:cstheme="minorHAnsi"/>
        </w:rPr>
        <w:t>Weder das hämatologische Grundleiden</w:t>
      </w:r>
      <w:r>
        <w:rPr>
          <w:rFonts w:asciiTheme="minorHAnsi" w:hAnsiTheme="minorHAnsi" w:cstheme="minorHAnsi"/>
        </w:rPr>
        <w:t>,</w:t>
      </w:r>
      <w:r w:rsidRPr="00C75201">
        <w:rPr>
          <w:rFonts w:asciiTheme="minorHAnsi" w:hAnsiTheme="minorHAnsi" w:cstheme="minorHAnsi"/>
        </w:rPr>
        <w:t xml:space="preserve"> in diesem Fall PTCL</w:t>
      </w:r>
      <w:r>
        <w:rPr>
          <w:rFonts w:asciiTheme="minorHAnsi" w:hAnsiTheme="minorHAnsi" w:cstheme="minorHAnsi"/>
        </w:rPr>
        <w:t>,</w:t>
      </w:r>
      <w:r w:rsidRPr="00C75201">
        <w:rPr>
          <w:rFonts w:asciiTheme="minorHAnsi" w:hAnsiTheme="minorHAnsi" w:cstheme="minorHAnsi"/>
        </w:rPr>
        <w:t xml:space="preserve"> noch eine spezifische Therapie (Immuno-/</w:t>
      </w:r>
      <w:r>
        <w:rPr>
          <w:rFonts w:asciiTheme="minorHAnsi" w:hAnsiTheme="minorHAnsi" w:cstheme="minorHAnsi"/>
        </w:rPr>
        <w:t xml:space="preserve"> </w:t>
      </w:r>
      <w:r w:rsidRPr="00C75201">
        <w:rPr>
          <w:rFonts w:asciiTheme="minorHAnsi" w:hAnsiTheme="minorHAnsi" w:cstheme="minorHAnsi"/>
        </w:rPr>
        <w:t>Chemotherapie) stellen eine Kontraindikation gegen eine Schutzimpfung.  Allerdings ist bei immunsupprimierten Patienten von einer geringen Schutzwirkung auszugehen. Eine Auffrischung der Impfung sollte nach Beendigung der Therapie erneut in Erwägung gezogen werden.</w:t>
      </w:r>
    </w:p>
    <w:p w14:paraId="43EEB458" w14:textId="77777777" w:rsidR="00C75201" w:rsidRPr="00C75201" w:rsidRDefault="00C75201" w:rsidP="00C75201">
      <w:pPr>
        <w:spacing w:line="276" w:lineRule="auto"/>
        <w:jc w:val="both"/>
        <w:rPr>
          <w:rFonts w:asciiTheme="minorHAnsi" w:hAnsiTheme="minorHAnsi" w:cstheme="minorHAnsi"/>
        </w:rPr>
      </w:pPr>
      <w:r w:rsidRPr="00C75201">
        <w:rPr>
          <w:rFonts w:asciiTheme="minorHAnsi" w:hAnsiTheme="minorHAnsi" w:cstheme="minorHAnsi"/>
        </w:rPr>
        <w:t>Sowohl nach B-Zell-Depletion als auch nach einer Stammzelltransplantation ist von einer fehlenden bzw. deutlich reduzierten Impfantwort auszugehen. Auch hier stellt eine Schutz</w:t>
      </w:r>
      <w:r>
        <w:rPr>
          <w:rFonts w:asciiTheme="minorHAnsi" w:hAnsiTheme="minorHAnsi" w:cstheme="minorHAnsi"/>
        </w:rPr>
        <w:t>impfung frühestens nach 3 bis &gt;</w:t>
      </w:r>
      <w:r w:rsidRPr="00C75201">
        <w:rPr>
          <w:rFonts w:asciiTheme="minorHAnsi" w:hAnsiTheme="minorHAnsi" w:cstheme="minorHAnsi"/>
        </w:rPr>
        <w:t xml:space="preserve">6 Monaten nach der Therapie keine Kontraindikation dar. </w:t>
      </w:r>
    </w:p>
    <w:p w14:paraId="37896125" w14:textId="77777777" w:rsidR="00C75201" w:rsidRPr="00C75201" w:rsidRDefault="00C75201" w:rsidP="00C75201">
      <w:pPr>
        <w:spacing w:line="276" w:lineRule="auto"/>
        <w:jc w:val="both"/>
        <w:rPr>
          <w:rFonts w:asciiTheme="minorHAnsi" w:hAnsiTheme="minorHAnsi" w:cstheme="minorHAnsi"/>
        </w:rPr>
      </w:pPr>
      <w:r w:rsidRPr="00C75201">
        <w:rPr>
          <w:rFonts w:asciiTheme="minorHAnsi" w:hAnsiTheme="minorHAnsi" w:cstheme="minorHAnsi"/>
        </w:rPr>
        <w:t>Um das Infektionsrisiko des immunsupprimierten Patienten zu minimieren, sollten auch die Familienmitglieder auf die Covid-19-Impfung hingewiesen werden.</w:t>
      </w:r>
    </w:p>
    <w:p w14:paraId="2C60A5BB" w14:textId="77777777" w:rsidR="00C75201" w:rsidRDefault="00C75201" w:rsidP="00C75201">
      <w:pPr>
        <w:spacing w:line="276" w:lineRule="auto"/>
        <w:jc w:val="both"/>
        <w:rPr>
          <w:rFonts w:asciiTheme="minorHAnsi" w:hAnsiTheme="minorHAnsi" w:cstheme="minorHAnsi"/>
        </w:rPr>
      </w:pPr>
    </w:p>
    <w:p w14:paraId="12C2AFE2" w14:textId="77777777" w:rsidR="00C75201" w:rsidRDefault="00C75201" w:rsidP="00C75201">
      <w:pPr>
        <w:spacing w:line="276" w:lineRule="auto"/>
        <w:jc w:val="both"/>
        <w:rPr>
          <w:rFonts w:asciiTheme="minorHAnsi" w:hAnsiTheme="minorHAnsi" w:cstheme="minorHAnsi"/>
        </w:rPr>
      </w:pPr>
      <w:r w:rsidRPr="00C75201">
        <w:rPr>
          <w:rFonts w:asciiTheme="minorHAnsi" w:hAnsiTheme="minorHAnsi" w:cstheme="minorHAnsi"/>
        </w:rPr>
        <w:t xml:space="preserve">Eine ausführliche Impfempfehlung ist auf der Homepage von Onkopedia aus der </w:t>
      </w:r>
      <w:hyperlink r:id="rId28" w:history="1">
        <w:r w:rsidRPr="00C75201">
          <w:rPr>
            <w:rStyle w:val="Hyperlink"/>
            <w:rFonts w:asciiTheme="minorHAnsi" w:hAnsiTheme="minorHAnsi" w:cstheme="minorHAnsi"/>
          </w:rPr>
          <w:t>Covid-19-Schutzimpfung-Leitlinie</w:t>
        </w:r>
      </w:hyperlink>
      <w:r w:rsidRPr="00C75201">
        <w:rPr>
          <w:rFonts w:asciiTheme="minorHAnsi" w:hAnsiTheme="minorHAnsi" w:cstheme="minorHAnsi"/>
        </w:rPr>
        <w:t xml:space="preserve"> zu entnehmen.</w:t>
      </w:r>
    </w:p>
    <w:p w14:paraId="51E22660" w14:textId="77777777" w:rsidR="00C75201" w:rsidRPr="00C75201" w:rsidRDefault="00C75201" w:rsidP="00C75201">
      <w:pPr>
        <w:spacing w:line="276" w:lineRule="auto"/>
        <w:jc w:val="both"/>
        <w:rPr>
          <w:rFonts w:asciiTheme="minorHAnsi" w:hAnsiTheme="minorHAnsi" w:cstheme="minorHAnsi"/>
        </w:rPr>
      </w:pPr>
    </w:p>
    <w:p w14:paraId="6BE71055" w14:textId="77777777" w:rsidR="004E7EBC" w:rsidRDefault="004E7EBC">
      <w:pPr>
        <w:spacing w:line="240" w:lineRule="auto"/>
        <w:jc w:val="left"/>
        <w:rPr>
          <w:rFonts w:asciiTheme="minorHAnsi" w:hAnsiTheme="minorHAnsi" w:cstheme="minorHAnsi"/>
          <w:szCs w:val="22"/>
        </w:rPr>
      </w:pPr>
    </w:p>
    <w:p w14:paraId="1A6A7675" w14:textId="77777777" w:rsidR="006D4DAC" w:rsidRPr="00E344D4" w:rsidRDefault="006D4DAC" w:rsidP="007374FB">
      <w:pPr>
        <w:pStyle w:val="berschrift1"/>
      </w:pPr>
      <w:bookmarkStart w:id="31" w:name="_Toc367183618"/>
      <w:bookmarkStart w:id="32" w:name="_Toc367183856"/>
      <w:bookmarkStart w:id="33" w:name="_Toc61379699"/>
      <w:bookmarkEnd w:id="29"/>
      <w:r w:rsidRPr="00E344D4">
        <w:t>4</w:t>
      </w:r>
      <w:r w:rsidRPr="00E344D4">
        <w:tab/>
      </w:r>
      <w:bookmarkEnd w:id="31"/>
      <w:bookmarkEnd w:id="32"/>
      <w:r w:rsidR="0049768A">
        <w:t>Besondere klinische Situationen</w:t>
      </w:r>
      <w:bookmarkEnd w:id="33"/>
      <w:r w:rsidRPr="00E344D4">
        <w:t xml:space="preserve"> </w:t>
      </w:r>
    </w:p>
    <w:p w14:paraId="014F1770" w14:textId="77777777" w:rsidR="006C03F2" w:rsidRDefault="006C03F2" w:rsidP="006C03F2">
      <w:pPr>
        <w:jc w:val="left"/>
      </w:pPr>
    </w:p>
    <w:p w14:paraId="5242C840" w14:textId="77777777" w:rsidR="006C03F2" w:rsidRPr="006C03F2" w:rsidRDefault="00B8236C" w:rsidP="00B8236C">
      <w:pPr>
        <w:pStyle w:val="berschrift2"/>
        <w:numPr>
          <w:ilvl w:val="1"/>
          <w:numId w:val="0"/>
        </w:numPr>
        <w:tabs>
          <w:tab w:val="num" w:pos="576"/>
        </w:tabs>
        <w:spacing w:before="0" w:after="0"/>
        <w:ind w:left="576" w:hanging="576"/>
        <w:jc w:val="left"/>
        <w:rPr>
          <w:lang w:val="en-US"/>
        </w:rPr>
      </w:pPr>
      <w:bookmarkStart w:id="34" w:name="_Toc61379700"/>
      <w:r>
        <w:rPr>
          <w:lang w:val="en-US"/>
        </w:rPr>
        <w:t>4.1</w:t>
      </w:r>
      <w:r>
        <w:rPr>
          <w:lang w:val="en-US"/>
        </w:rPr>
        <w:tab/>
      </w:r>
      <w:r w:rsidR="006C03F2" w:rsidRPr="006C03F2">
        <w:rPr>
          <w:lang w:val="en-US"/>
        </w:rPr>
        <w:t>Hohe Tumorlast</w:t>
      </w:r>
      <w:bookmarkEnd w:id="34"/>
    </w:p>
    <w:p w14:paraId="670931AA" w14:textId="77777777" w:rsidR="00B8236C" w:rsidRDefault="006C03F2" w:rsidP="00B8236C">
      <w:pPr>
        <w:pStyle w:val="Textkrper-Einzug2"/>
        <w:numPr>
          <w:ilvl w:val="0"/>
          <w:numId w:val="3"/>
        </w:numPr>
        <w:spacing w:after="0" w:line="276" w:lineRule="auto"/>
        <w:ind w:left="426" w:hanging="426"/>
        <w:jc w:val="left"/>
        <w:rPr>
          <w:rFonts w:asciiTheme="minorHAnsi" w:hAnsiTheme="minorHAnsi" w:cstheme="minorHAnsi"/>
          <w:szCs w:val="22"/>
        </w:rPr>
      </w:pPr>
      <w:r w:rsidRPr="004A7236">
        <w:rPr>
          <w:rFonts w:asciiTheme="minorHAnsi" w:hAnsiTheme="minorHAnsi" w:cstheme="minorHAnsi"/>
          <w:szCs w:val="22"/>
        </w:rPr>
        <w:t>Bei</w:t>
      </w:r>
      <w:r>
        <w:rPr>
          <w:rFonts w:asciiTheme="minorHAnsi" w:hAnsiTheme="minorHAnsi" w:cstheme="minorHAnsi"/>
          <w:szCs w:val="22"/>
        </w:rPr>
        <w:t xml:space="preserve"> Patienten mit hoher Tumorlast (hohe</w:t>
      </w:r>
      <w:r w:rsidRPr="004A7236">
        <w:rPr>
          <w:rFonts w:asciiTheme="minorHAnsi" w:hAnsiTheme="minorHAnsi" w:cstheme="minorHAnsi"/>
          <w:szCs w:val="22"/>
        </w:rPr>
        <w:t xml:space="preserve"> LDH, Bulk &gt; </w:t>
      </w:r>
      <w:r>
        <w:rPr>
          <w:rFonts w:asciiTheme="minorHAnsi" w:hAnsiTheme="minorHAnsi" w:cstheme="minorHAnsi"/>
          <w:szCs w:val="22"/>
        </w:rPr>
        <w:t>7,5</w:t>
      </w:r>
      <w:r w:rsidRPr="004A7236">
        <w:rPr>
          <w:rFonts w:asciiTheme="minorHAnsi" w:hAnsiTheme="minorHAnsi" w:cstheme="minorHAnsi"/>
          <w:szCs w:val="22"/>
        </w:rPr>
        <w:t>cm, Organkompression,…) ist an die Möglichkeit einer Vorphase (Prednisolon 100 mg (d</w:t>
      </w:r>
      <w:r>
        <w:rPr>
          <w:rFonts w:asciiTheme="minorHAnsi" w:hAnsiTheme="minorHAnsi" w:cstheme="minorHAnsi"/>
          <w:szCs w:val="22"/>
        </w:rPr>
        <w:t>1-5</w:t>
      </w:r>
      <w:r w:rsidRPr="004A7236">
        <w:rPr>
          <w:rFonts w:asciiTheme="minorHAnsi" w:hAnsiTheme="minorHAnsi" w:cstheme="minorHAnsi"/>
          <w:szCs w:val="22"/>
        </w:rPr>
        <w:t>) zu denken.</w:t>
      </w:r>
    </w:p>
    <w:p w14:paraId="66C33A12" w14:textId="77777777" w:rsidR="006C03F2" w:rsidRPr="00B8236C" w:rsidRDefault="00B8236C" w:rsidP="00B8236C">
      <w:pPr>
        <w:pStyle w:val="Textkrper-Einzug2"/>
        <w:numPr>
          <w:ilvl w:val="0"/>
          <w:numId w:val="3"/>
        </w:numPr>
        <w:spacing w:after="0" w:line="276" w:lineRule="auto"/>
        <w:ind w:left="426" w:hanging="426"/>
        <w:jc w:val="left"/>
        <w:rPr>
          <w:rFonts w:asciiTheme="minorHAnsi" w:hAnsiTheme="minorHAnsi" w:cstheme="minorHAnsi"/>
          <w:szCs w:val="22"/>
        </w:rPr>
      </w:pPr>
      <w:r w:rsidRPr="00B8236C">
        <w:rPr>
          <w:rFonts w:asciiTheme="minorHAnsi" w:hAnsiTheme="minorHAnsi" w:cstheme="minorHAnsi"/>
          <w:szCs w:val="22"/>
        </w:rPr>
        <w:t>Allopurinol/Rasbirucase</w:t>
      </w:r>
    </w:p>
    <w:p w14:paraId="6A97B348" w14:textId="77777777" w:rsidR="006C03F2" w:rsidRDefault="006C03F2" w:rsidP="006C03F2">
      <w:pPr>
        <w:pStyle w:val="Textkrper-Einzug2"/>
        <w:numPr>
          <w:ilvl w:val="0"/>
          <w:numId w:val="3"/>
        </w:numPr>
        <w:spacing w:after="0" w:line="276" w:lineRule="auto"/>
        <w:ind w:left="426" w:hanging="426"/>
        <w:jc w:val="left"/>
        <w:rPr>
          <w:rFonts w:asciiTheme="minorHAnsi" w:hAnsiTheme="minorHAnsi" w:cstheme="minorHAnsi"/>
          <w:szCs w:val="22"/>
        </w:rPr>
      </w:pPr>
      <w:r w:rsidRPr="004A7236">
        <w:rPr>
          <w:rFonts w:asciiTheme="minorHAnsi" w:hAnsiTheme="minorHAnsi" w:cstheme="minorHAnsi"/>
          <w:szCs w:val="22"/>
        </w:rPr>
        <w:t>Hydrierung!</w:t>
      </w:r>
    </w:p>
    <w:p w14:paraId="58C5BCD4" w14:textId="77777777" w:rsidR="006C03F2" w:rsidRPr="006C03F2" w:rsidRDefault="006C03F2" w:rsidP="006C03F2">
      <w:pPr>
        <w:jc w:val="left"/>
      </w:pPr>
      <w:bookmarkStart w:id="35" w:name="_Toc353200751"/>
    </w:p>
    <w:p w14:paraId="34E9EB88" w14:textId="77777777" w:rsidR="0038211D" w:rsidRPr="006C03F2" w:rsidRDefault="0038211D" w:rsidP="006C03F2">
      <w:pPr>
        <w:pStyle w:val="berschrift2"/>
        <w:numPr>
          <w:ilvl w:val="1"/>
          <w:numId w:val="0"/>
        </w:numPr>
        <w:tabs>
          <w:tab w:val="num" w:pos="576"/>
        </w:tabs>
        <w:spacing w:before="0" w:after="0"/>
        <w:ind w:left="576" w:hanging="576"/>
        <w:jc w:val="left"/>
        <w:rPr>
          <w:b w:val="0"/>
          <w:i w:val="0"/>
          <w:lang w:val="en-US"/>
        </w:rPr>
      </w:pPr>
      <w:bookmarkStart w:id="36" w:name="_Toc61379701"/>
      <w:r w:rsidRPr="000E5CE5">
        <w:rPr>
          <w:lang w:val="en-US"/>
        </w:rPr>
        <w:t>4.</w:t>
      </w:r>
      <w:r w:rsidR="006C03F2">
        <w:rPr>
          <w:lang w:val="en-US"/>
        </w:rPr>
        <w:t>2</w:t>
      </w:r>
      <w:r w:rsidR="005A6712" w:rsidRPr="000E5CE5">
        <w:rPr>
          <w:lang w:val="en-US"/>
        </w:rPr>
        <w:tab/>
      </w:r>
      <w:r w:rsidRPr="000E5CE5">
        <w:rPr>
          <w:lang w:val="en-US"/>
        </w:rPr>
        <w:t>ZNS-Befall</w:t>
      </w:r>
      <w:bookmarkEnd w:id="35"/>
      <w:bookmarkEnd w:id="36"/>
    </w:p>
    <w:p w14:paraId="0CFD8412" w14:textId="77777777" w:rsidR="0038211D" w:rsidRPr="00D2069D" w:rsidRDefault="0038211D" w:rsidP="006C03F2">
      <w:pPr>
        <w:pStyle w:val="Textkrper-Einzug2"/>
        <w:spacing w:line="276" w:lineRule="auto"/>
        <w:ind w:left="0"/>
        <w:jc w:val="left"/>
        <w:rPr>
          <w:rFonts w:asciiTheme="minorHAnsi" w:hAnsiTheme="minorHAnsi" w:cstheme="minorHAnsi"/>
          <w:szCs w:val="22"/>
          <w:lang w:val="de-DE"/>
        </w:rPr>
      </w:pPr>
      <w:r>
        <w:rPr>
          <w:rFonts w:asciiTheme="minorHAnsi" w:hAnsiTheme="minorHAnsi" w:cstheme="minorHAnsi"/>
          <w:szCs w:val="22"/>
          <w:lang w:val="de-DE"/>
        </w:rPr>
        <w:t>Die Häufigkeit eines ZNS-Befalls bei den peripheren T-</w:t>
      </w:r>
      <w:r w:rsidRPr="00D2069D">
        <w:rPr>
          <w:rFonts w:asciiTheme="minorHAnsi" w:hAnsiTheme="minorHAnsi" w:cstheme="minorHAnsi"/>
          <w:szCs w:val="22"/>
          <w:lang w:val="de-DE"/>
        </w:rPr>
        <w:t xml:space="preserve">Zell-Lymphomen und den extranodalen NK-/T-Zell-Lymphomen wird in der Literatur mit </w:t>
      </w:r>
      <w:r w:rsidR="00CF0A8C" w:rsidRPr="00D2069D">
        <w:rPr>
          <w:rFonts w:asciiTheme="minorHAnsi" w:hAnsiTheme="minorHAnsi" w:cstheme="minorHAnsi"/>
          <w:szCs w:val="22"/>
          <w:lang w:val="de-DE"/>
        </w:rPr>
        <w:t>2</w:t>
      </w:r>
      <w:r w:rsidRPr="00D2069D">
        <w:rPr>
          <w:rFonts w:asciiTheme="minorHAnsi" w:hAnsiTheme="minorHAnsi" w:cstheme="minorHAnsi"/>
          <w:szCs w:val="22"/>
          <w:lang w:val="de-DE"/>
        </w:rPr>
        <w:t>-</w:t>
      </w:r>
      <w:r w:rsidR="00CF0A8C" w:rsidRPr="00D2069D">
        <w:rPr>
          <w:rFonts w:asciiTheme="minorHAnsi" w:hAnsiTheme="minorHAnsi" w:cstheme="minorHAnsi"/>
          <w:szCs w:val="22"/>
          <w:lang w:val="de-DE"/>
        </w:rPr>
        <w:t>6</w:t>
      </w:r>
      <w:r w:rsidRPr="00D2069D">
        <w:rPr>
          <w:rFonts w:asciiTheme="minorHAnsi" w:hAnsiTheme="minorHAnsi" w:cstheme="minorHAnsi"/>
          <w:szCs w:val="22"/>
          <w:lang w:val="de-DE"/>
        </w:rPr>
        <w:t>% beziffert</w:t>
      </w:r>
      <w:r w:rsidR="00942D0D" w:rsidRPr="00D2069D">
        <w:rPr>
          <w:rFonts w:asciiTheme="minorHAnsi" w:hAnsiTheme="minorHAnsi" w:cstheme="minorHAnsi"/>
          <w:szCs w:val="22"/>
          <w:lang w:val="de-DE"/>
        </w:rPr>
        <w:t xml:space="preserve"> (Chihara D 2018; Pro B 2010)</w:t>
      </w:r>
      <w:r w:rsidRPr="00D2069D">
        <w:rPr>
          <w:rFonts w:asciiTheme="minorHAnsi" w:hAnsiTheme="minorHAnsi" w:cstheme="minorHAnsi"/>
          <w:szCs w:val="22"/>
          <w:lang w:val="de-DE"/>
        </w:rPr>
        <w:t>.</w:t>
      </w:r>
    </w:p>
    <w:p w14:paraId="74C05AD6" w14:textId="77777777" w:rsidR="00B8236C" w:rsidRDefault="0038211D" w:rsidP="007374FB">
      <w:pPr>
        <w:pStyle w:val="Textkrper-Einzug2"/>
        <w:spacing w:after="0" w:line="276" w:lineRule="auto"/>
        <w:ind w:left="0"/>
        <w:jc w:val="left"/>
        <w:rPr>
          <w:rFonts w:asciiTheme="minorHAnsi" w:hAnsiTheme="minorHAnsi" w:cstheme="minorHAnsi"/>
          <w:szCs w:val="22"/>
          <w:lang w:val="de-DE"/>
        </w:rPr>
      </w:pPr>
      <w:r w:rsidRPr="00D2069D">
        <w:rPr>
          <w:rFonts w:asciiTheme="minorHAnsi" w:hAnsiTheme="minorHAnsi" w:cstheme="minorHAnsi"/>
          <w:szCs w:val="22"/>
          <w:lang w:val="de-DE"/>
        </w:rPr>
        <w:t>In Gegensatz zum diffus großzelligen B-Zell-Lymphom liegen keine Daten zu Risikofaktoren für einen ZNS-Befall bzw. für ein erhöhtes Risiko eines ZNS-Rezidivs vor. Es kann somit aktuell</w:t>
      </w:r>
      <w:r>
        <w:rPr>
          <w:rFonts w:asciiTheme="minorHAnsi" w:hAnsiTheme="minorHAnsi" w:cstheme="minorHAnsi"/>
          <w:szCs w:val="22"/>
          <w:lang w:val="de-DE"/>
        </w:rPr>
        <w:t xml:space="preserve"> auch keine Empfehlung bezüglich einer ZNS-Prophylaxe gegeben werden.</w:t>
      </w:r>
    </w:p>
    <w:p w14:paraId="1269BBB5" w14:textId="77777777" w:rsidR="00B8236C" w:rsidRDefault="00B8236C" w:rsidP="00B8236C">
      <w:pPr>
        <w:pStyle w:val="Textkrper-Einzug2"/>
        <w:spacing w:line="276" w:lineRule="auto"/>
        <w:ind w:left="0"/>
        <w:jc w:val="left"/>
        <w:rPr>
          <w:rFonts w:asciiTheme="minorHAnsi" w:hAnsiTheme="minorHAnsi" w:cstheme="minorHAnsi"/>
          <w:szCs w:val="22"/>
          <w:lang w:val="de-DE"/>
        </w:rPr>
      </w:pPr>
    </w:p>
    <w:p w14:paraId="7D52BAE2" w14:textId="77777777" w:rsidR="00B8236C" w:rsidRPr="004501B1" w:rsidRDefault="00B8236C" w:rsidP="00B8236C">
      <w:pPr>
        <w:pStyle w:val="berschrift2"/>
        <w:numPr>
          <w:ilvl w:val="1"/>
          <w:numId w:val="0"/>
        </w:numPr>
        <w:tabs>
          <w:tab w:val="num" w:pos="576"/>
        </w:tabs>
        <w:spacing w:before="0" w:after="0"/>
        <w:ind w:left="576" w:hanging="576"/>
        <w:jc w:val="left"/>
      </w:pPr>
      <w:bookmarkStart w:id="37" w:name="_Toc61379702"/>
      <w:r w:rsidRPr="004501B1">
        <w:lastRenderedPageBreak/>
        <w:t>4.3</w:t>
      </w:r>
      <w:r w:rsidRPr="004501B1">
        <w:tab/>
        <w:t>Eingeschränkte Linksventrikelfunktion / erhöhtes kardiovaskuläres Risiko</w:t>
      </w:r>
      <w:bookmarkEnd w:id="37"/>
    </w:p>
    <w:p w14:paraId="69D86FC7" w14:textId="77777777" w:rsidR="00B8236C" w:rsidRPr="00B8236C" w:rsidRDefault="00B8236C" w:rsidP="00B8236C">
      <w:pPr>
        <w:pStyle w:val="Textkrper-Einzug2"/>
        <w:spacing w:line="276" w:lineRule="auto"/>
        <w:ind w:left="0"/>
        <w:jc w:val="left"/>
        <w:rPr>
          <w:rFonts w:asciiTheme="minorHAnsi" w:hAnsiTheme="minorHAnsi" w:cstheme="minorHAnsi"/>
          <w:szCs w:val="22"/>
          <w:lang w:val="de-DE"/>
        </w:rPr>
      </w:pPr>
      <w:r>
        <w:rPr>
          <w:rFonts w:asciiTheme="minorHAnsi" w:hAnsiTheme="minorHAnsi" w:cstheme="minorHAnsi"/>
          <w:szCs w:val="22"/>
          <w:lang w:val="de-DE"/>
        </w:rPr>
        <w:t>B</w:t>
      </w:r>
      <w:r w:rsidRPr="00B8236C">
        <w:rPr>
          <w:rFonts w:asciiTheme="minorHAnsi" w:hAnsiTheme="minorHAnsi" w:cstheme="minorHAnsi"/>
          <w:szCs w:val="22"/>
          <w:lang w:val="de-DE"/>
        </w:rPr>
        <w:t>ei e</w:t>
      </w:r>
      <w:r>
        <w:rPr>
          <w:rFonts w:asciiTheme="minorHAnsi" w:hAnsiTheme="minorHAnsi" w:cstheme="minorHAnsi"/>
          <w:szCs w:val="22"/>
          <w:lang w:val="de-DE"/>
        </w:rPr>
        <w:t xml:space="preserve">rhöhtem kardiovaskulärem Risiko, vor allem </w:t>
      </w:r>
      <w:r w:rsidRPr="00B8236C">
        <w:rPr>
          <w:rFonts w:asciiTheme="minorHAnsi" w:hAnsiTheme="minorHAnsi" w:cstheme="minorHAnsi"/>
          <w:szCs w:val="22"/>
          <w:lang w:val="de-DE"/>
        </w:rPr>
        <w:t>eingeschränkte</w:t>
      </w:r>
      <w:r>
        <w:rPr>
          <w:rFonts w:asciiTheme="minorHAnsi" w:hAnsiTheme="minorHAnsi" w:cstheme="minorHAnsi"/>
          <w:szCs w:val="22"/>
          <w:lang w:val="de-DE"/>
        </w:rPr>
        <w:t>r Linksventrikelfunktion sollte folgende Therapieadaption durchgeführt werden:</w:t>
      </w:r>
    </w:p>
    <w:p w14:paraId="2F4512EA" w14:textId="77777777" w:rsidR="00B8236C" w:rsidRPr="00B8236C" w:rsidRDefault="00B8236C" w:rsidP="00B8236C">
      <w:pPr>
        <w:pStyle w:val="Textkrper-Einzug2"/>
        <w:numPr>
          <w:ilvl w:val="0"/>
          <w:numId w:val="3"/>
        </w:numPr>
        <w:spacing w:after="0" w:line="276" w:lineRule="auto"/>
        <w:ind w:left="426" w:hanging="426"/>
        <w:jc w:val="left"/>
        <w:rPr>
          <w:rFonts w:asciiTheme="minorHAnsi" w:hAnsiTheme="minorHAnsi" w:cstheme="minorHAnsi"/>
          <w:szCs w:val="22"/>
        </w:rPr>
      </w:pPr>
      <w:r w:rsidRPr="00B8236C">
        <w:rPr>
          <w:rFonts w:asciiTheme="minorHAnsi" w:hAnsiTheme="minorHAnsi" w:cstheme="minorHAnsi"/>
          <w:szCs w:val="22"/>
        </w:rPr>
        <w:t>Myocet anstelle von Doxorubicin</w:t>
      </w:r>
    </w:p>
    <w:p w14:paraId="07F36AE3" w14:textId="77777777" w:rsidR="00B8236C" w:rsidRPr="00B8236C" w:rsidRDefault="00B8236C" w:rsidP="00B8236C">
      <w:pPr>
        <w:pStyle w:val="Textkrper-Einzug2"/>
        <w:numPr>
          <w:ilvl w:val="0"/>
          <w:numId w:val="3"/>
        </w:numPr>
        <w:spacing w:after="0" w:line="276" w:lineRule="auto"/>
        <w:ind w:left="426" w:hanging="426"/>
        <w:jc w:val="left"/>
        <w:rPr>
          <w:rFonts w:asciiTheme="minorHAnsi" w:hAnsiTheme="minorHAnsi" w:cstheme="minorHAnsi"/>
          <w:szCs w:val="22"/>
        </w:rPr>
      </w:pPr>
      <w:r w:rsidRPr="00B8236C">
        <w:rPr>
          <w:rFonts w:asciiTheme="minorHAnsi" w:hAnsiTheme="minorHAnsi" w:cstheme="minorHAnsi"/>
          <w:szCs w:val="22"/>
        </w:rPr>
        <w:t>Etoposid anstelle von Doxorubicin bei fortgeschrittener Herzinsuffizienz (CEOP)</w:t>
      </w:r>
    </w:p>
    <w:p w14:paraId="20582BB5" w14:textId="77777777" w:rsidR="00DD0FA6" w:rsidRDefault="00DD0FA6" w:rsidP="007374FB">
      <w:pPr>
        <w:pStyle w:val="Textkrper-Einzug2"/>
        <w:spacing w:after="0" w:line="276" w:lineRule="auto"/>
        <w:ind w:left="0"/>
        <w:jc w:val="left"/>
        <w:rPr>
          <w:rFonts w:asciiTheme="minorHAnsi" w:hAnsiTheme="minorHAnsi" w:cstheme="minorHAnsi"/>
          <w:color w:val="FF0000"/>
          <w:szCs w:val="22"/>
          <w:lang w:val="de-DE"/>
        </w:rPr>
      </w:pPr>
    </w:p>
    <w:p w14:paraId="71917CCB" w14:textId="77777777" w:rsidR="00546985" w:rsidRPr="000E0AAA" w:rsidRDefault="00546985" w:rsidP="007374FB">
      <w:pPr>
        <w:pStyle w:val="Textkrper-Einzug2"/>
        <w:spacing w:after="0" w:line="240" w:lineRule="auto"/>
        <w:ind w:left="0"/>
        <w:jc w:val="left"/>
        <w:rPr>
          <w:rFonts w:asciiTheme="minorHAnsi" w:hAnsiTheme="minorHAnsi" w:cstheme="minorHAnsi"/>
          <w:szCs w:val="22"/>
          <w:lang w:val="de-DE"/>
        </w:rPr>
      </w:pPr>
    </w:p>
    <w:p w14:paraId="756D60DE" w14:textId="77777777" w:rsidR="006C03F2" w:rsidRDefault="006C03F2">
      <w:pPr>
        <w:spacing w:line="240" w:lineRule="auto"/>
        <w:jc w:val="left"/>
      </w:pPr>
      <w:r>
        <w:br w:type="page"/>
      </w:r>
    </w:p>
    <w:p w14:paraId="002A1EDC" w14:textId="77777777" w:rsidR="006D4DAC" w:rsidRPr="00E344D4" w:rsidRDefault="004A7236" w:rsidP="007374FB">
      <w:pPr>
        <w:pStyle w:val="berschrift1"/>
      </w:pPr>
      <w:bookmarkStart w:id="38" w:name="_Toc367183619"/>
      <w:bookmarkStart w:id="39" w:name="_Toc367183857"/>
      <w:bookmarkStart w:id="40" w:name="_Toc61379703"/>
      <w:r>
        <w:lastRenderedPageBreak/>
        <w:t>5</w:t>
      </w:r>
      <w:r>
        <w:tab/>
      </w:r>
      <w:r w:rsidR="0049768A">
        <w:t xml:space="preserve">Verlaufskontrolle und </w:t>
      </w:r>
      <w:r w:rsidR="006D4DAC" w:rsidRPr="00E344D4">
        <w:t>Nachsorge</w:t>
      </w:r>
      <w:bookmarkEnd w:id="38"/>
      <w:bookmarkEnd w:id="39"/>
      <w:bookmarkEnd w:id="40"/>
    </w:p>
    <w:p w14:paraId="6AEE9B49" w14:textId="77777777" w:rsidR="004A7236" w:rsidRDefault="004A7236" w:rsidP="007374FB">
      <w:pPr>
        <w:pStyle w:val="Textkrper-Einzug2"/>
        <w:spacing w:after="0" w:line="276" w:lineRule="auto"/>
        <w:ind w:left="0"/>
        <w:jc w:val="left"/>
        <w:rPr>
          <w:rFonts w:asciiTheme="minorHAnsi" w:hAnsiTheme="minorHAnsi" w:cstheme="minorHAnsi"/>
          <w:szCs w:val="22"/>
        </w:rPr>
      </w:pPr>
    </w:p>
    <w:p w14:paraId="5EC836A8" w14:textId="77777777" w:rsidR="000155EA" w:rsidRPr="00C75201" w:rsidRDefault="000155EA" w:rsidP="006C03F2">
      <w:pPr>
        <w:pStyle w:val="berschrift2"/>
        <w:numPr>
          <w:ilvl w:val="1"/>
          <w:numId w:val="0"/>
        </w:numPr>
        <w:tabs>
          <w:tab w:val="num" w:pos="576"/>
        </w:tabs>
        <w:spacing w:before="0" w:after="0"/>
        <w:ind w:left="576" w:hanging="576"/>
        <w:jc w:val="left"/>
      </w:pPr>
      <w:bookmarkStart w:id="41" w:name="_Toc29233652"/>
      <w:bookmarkStart w:id="42" w:name="_Toc61379704"/>
      <w:r w:rsidRPr="00C75201">
        <w:t>5.1</w:t>
      </w:r>
      <w:r w:rsidRPr="00C75201">
        <w:tab/>
        <w:t>Responsebeurteilung</w:t>
      </w:r>
      <w:bookmarkEnd w:id="41"/>
      <w:bookmarkEnd w:id="42"/>
      <w:r w:rsidRPr="00C75201">
        <w:t xml:space="preserve"> </w:t>
      </w:r>
    </w:p>
    <w:p w14:paraId="41E5ABEA" w14:textId="77777777" w:rsidR="000155EA" w:rsidRPr="004501B1" w:rsidRDefault="000155EA" w:rsidP="007374FB">
      <w:pPr>
        <w:spacing w:line="276" w:lineRule="auto"/>
        <w:jc w:val="left"/>
        <w:rPr>
          <w:rFonts w:asciiTheme="minorHAnsi" w:hAnsiTheme="minorHAnsi" w:cstheme="minorHAnsi"/>
          <w:szCs w:val="22"/>
        </w:rPr>
      </w:pPr>
      <w:r w:rsidRPr="004501B1">
        <w:rPr>
          <w:rFonts w:asciiTheme="minorHAnsi" w:hAnsiTheme="minorHAnsi" w:cstheme="minorHAnsi"/>
          <w:szCs w:val="22"/>
        </w:rPr>
        <w:t>Es stehen derzeit 2 international gültige Klassifikationen zur Responsebeurteilung zur Auswahl (The Lugano Classification 2014; RECIL 2017). In der vorliegenden Leitlinie wird die Lugano-Klassifikation (Cheson BD, 2014) verwendet</w:t>
      </w:r>
      <w:r w:rsidR="00130F7C" w:rsidRPr="004501B1">
        <w:rPr>
          <w:rFonts w:asciiTheme="minorHAnsi" w:hAnsiTheme="minorHAnsi" w:cstheme="minorHAnsi"/>
          <w:szCs w:val="22"/>
        </w:rPr>
        <w:t xml:space="preserve"> </w:t>
      </w:r>
      <w:r w:rsidR="00130F7C" w:rsidRPr="004501B1">
        <w:rPr>
          <w:rFonts w:asciiTheme="minorHAnsi" w:hAnsiTheme="minorHAnsi" w:cstheme="minorHAnsi"/>
          <w:b/>
          <w:szCs w:val="22"/>
        </w:rPr>
        <w:t>(siehe Folgeseite)</w:t>
      </w:r>
      <w:r w:rsidRPr="004501B1">
        <w:rPr>
          <w:rFonts w:asciiTheme="minorHAnsi" w:hAnsiTheme="minorHAnsi" w:cstheme="minorHAnsi"/>
          <w:szCs w:val="22"/>
        </w:rPr>
        <w:t>.</w:t>
      </w:r>
    </w:p>
    <w:p w14:paraId="23010487" w14:textId="77777777" w:rsidR="000155EA" w:rsidRPr="00A97524" w:rsidRDefault="000155EA" w:rsidP="007374FB">
      <w:pPr>
        <w:pStyle w:val="Textkrper-Einzug2"/>
        <w:spacing w:after="0" w:line="276" w:lineRule="auto"/>
        <w:ind w:left="0"/>
        <w:jc w:val="left"/>
        <w:rPr>
          <w:rFonts w:asciiTheme="minorHAnsi" w:hAnsiTheme="minorHAnsi" w:cstheme="minorHAnsi"/>
          <w:szCs w:val="22"/>
        </w:rPr>
      </w:pPr>
    </w:p>
    <w:p w14:paraId="791784AF" w14:textId="77777777" w:rsidR="000155EA" w:rsidRDefault="000155EA" w:rsidP="005C6EE4">
      <w:pPr>
        <w:pStyle w:val="Textkrper-Einzug2"/>
        <w:numPr>
          <w:ilvl w:val="0"/>
          <w:numId w:val="11"/>
        </w:numPr>
        <w:spacing w:after="0" w:line="276" w:lineRule="auto"/>
        <w:jc w:val="left"/>
        <w:rPr>
          <w:rFonts w:asciiTheme="minorHAnsi" w:hAnsiTheme="minorHAnsi" w:cstheme="minorHAnsi"/>
          <w:szCs w:val="22"/>
        </w:rPr>
      </w:pPr>
      <w:r w:rsidRPr="00A97524">
        <w:rPr>
          <w:rFonts w:asciiTheme="minorHAnsi" w:hAnsiTheme="minorHAnsi" w:cstheme="minorHAnsi"/>
          <w:szCs w:val="22"/>
        </w:rPr>
        <w:t>Zum Restaging unter laufender Therapie (nach 3 Zyklen) werden alle initial positiven klinischen und bildgebenden Verfahren neuerlich angewendet, jedoch kein PET-CT</w:t>
      </w:r>
      <w:r>
        <w:rPr>
          <w:rFonts w:asciiTheme="minorHAnsi" w:hAnsiTheme="minorHAnsi" w:cstheme="minorHAnsi"/>
          <w:szCs w:val="22"/>
        </w:rPr>
        <w:t xml:space="preserve"> und keine KM-Untersuchung</w:t>
      </w:r>
      <w:r w:rsidRPr="00A97524">
        <w:rPr>
          <w:rFonts w:asciiTheme="minorHAnsi" w:hAnsiTheme="minorHAnsi" w:cstheme="minorHAnsi"/>
          <w:szCs w:val="22"/>
        </w:rPr>
        <w:t>.</w:t>
      </w:r>
    </w:p>
    <w:p w14:paraId="164A1F05" w14:textId="77777777" w:rsidR="000155EA" w:rsidRPr="00A97524" w:rsidRDefault="000155EA" w:rsidP="005C6EE4">
      <w:pPr>
        <w:pStyle w:val="Textkrper-Einzug2"/>
        <w:numPr>
          <w:ilvl w:val="0"/>
          <w:numId w:val="11"/>
        </w:numPr>
        <w:spacing w:after="0" w:line="276" w:lineRule="auto"/>
        <w:jc w:val="left"/>
        <w:rPr>
          <w:rFonts w:asciiTheme="minorHAnsi" w:hAnsiTheme="minorHAnsi" w:cstheme="minorHAnsi"/>
          <w:szCs w:val="22"/>
        </w:rPr>
      </w:pPr>
      <w:r>
        <w:rPr>
          <w:rFonts w:asciiTheme="minorHAnsi" w:hAnsiTheme="minorHAnsi" w:cstheme="minorHAnsi"/>
          <w:szCs w:val="22"/>
        </w:rPr>
        <w:t>Wenn keine fixe Indikation für eine Strahlentherapie besteht, erfolgt das</w:t>
      </w:r>
      <w:r w:rsidRPr="00A97524">
        <w:rPr>
          <w:rFonts w:asciiTheme="minorHAnsi" w:hAnsiTheme="minorHAnsi" w:cstheme="minorHAnsi"/>
          <w:szCs w:val="22"/>
        </w:rPr>
        <w:t xml:space="preserve"> Restaging bei Therapieabschluss</w:t>
      </w:r>
      <w:r>
        <w:rPr>
          <w:rFonts w:asciiTheme="minorHAnsi" w:hAnsiTheme="minorHAnsi" w:cstheme="minorHAnsi"/>
          <w:szCs w:val="22"/>
        </w:rPr>
        <w:t xml:space="preserve"> frühestens</w:t>
      </w:r>
      <w:r w:rsidRPr="00A97524">
        <w:rPr>
          <w:rFonts w:asciiTheme="minorHAnsi" w:hAnsiTheme="minorHAnsi" w:cstheme="minorHAnsi"/>
          <w:szCs w:val="22"/>
        </w:rPr>
        <w:t xml:space="preserve"> 6 Wochen nach Ende </w:t>
      </w:r>
      <w:r>
        <w:rPr>
          <w:rFonts w:asciiTheme="minorHAnsi" w:hAnsiTheme="minorHAnsi" w:cstheme="minorHAnsi"/>
          <w:szCs w:val="22"/>
        </w:rPr>
        <w:t xml:space="preserve">der </w:t>
      </w:r>
      <w:r w:rsidRPr="00A97524">
        <w:rPr>
          <w:rFonts w:asciiTheme="minorHAnsi" w:hAnsiTheme="minorHAnsi" w:cstheme="minorHAnsi"/>
          <w:szCs w:val="22"/>
        </w:rPr>
        <w:t>Chemotherapie</w:t>
      </w:r>
      <w:r>
        <w:rPr>
          <w:rFonts w:asciiTheme="minorHAnsi" w:hAnsiTheme="minorHAnsi" w:cstheme="minorHAnsi"/>
          <w:szCs w:val="22"/>
        </w:rPr>
        <w:t>:</w:t>
      </w:r>
    </w:p>
    <w:p w14:paraId="3494B698" w14:textId="77777777" w:rsidR="000155EA" w:rsidRPr="005A6712" w:rsidRDefault="000155EA" w:rsidP="007374FB">
      <w:pPr>
        <w:pStyle w:val="Textkrper-Einzug2"/>
        <w:numPr>
          <w:ilvl w:val="1"/>
          <w:numId w:val="3"/>
        </w:numPr>
        <w:spacing w:after="0" w:line="276" w:lineRule="auto"/>
        <w:jc w:val="left"/>
        <w:rPr>
          <w:rFonts w:asciiTheme="minorHAnsi" w:hAnsiTheme="minorHAnsi" w:cstheme="minorHAnsi"/>
          <w:szCs w:val="22"/>
        </w:rPr>
      </w:pPr>
      <w:r w:rsidRPr="005A6712">
        <w:rPr>
          <w:rFonts w:asciiTheme="minorHAnsi" w:hAnsiTheme="minorHAnsi" w:cstheme="minorHAnsi"/>
          <w:szCs w:val="22"/>
        </w:rPr>
        <w:t>PET CT (inkl. diagnostisches CTs)</w:t>
      </w:r>
    </w:p>
    <w:p w14:paraId="482DAC67" w14:textId="77777777" w:rsidR="000155EA" w:rsidRPr="005A6712" w:rsidRDefault="000155EA" w:rsidP="007374FB">
      <w:pPr>
        <w:pStyle w:val="Textkrper-Einzug2"/>
        <w:numPr>
          <w:ilvl w:val="1"/>
          <w:numId w:val="3"/>
        </w:numPr>
        <w:spacing w:after="0" w:line="276" w:lineRule="auto"/>
        <w:jc w:val="left"/>
        <w:rPr>
          <w:rFonts w:asciiTheme="minorHAnsi" w:hAnsiTheme="minorHAnsi" w:cstheme="minorHAnsi"/>
          <w:szCs w:val="22"/>
        </w:rPr>
      </w:pPr>
      <w:r w:rsidRPr="005A6712">
        <w:rPr>
          <w:rFonts w:asciiTheme="minorHAnsi" w:hAnsiTheme="minorHAnsi" w:cstheme="minorHAnsi"/>
          <w:szCs w:val="22"/>
        </w:rPr>
        <w:t>KM (falls initial positiv)</w:t>
      </w:r>
    </w:p>
    <w:p w14:paraId="1B3BB453" w14:textId="77777777" w:rsidR="000155EA" w:rsidRDefault="000155EA" w:rsidP="007374FB">
      <w:pPr>
        <w:pStyle w:val="Textkrper-Einzug2"/>
        <w:numPr>
          <w:ilvl w:val="1"/>
          <w:numId w:val="3"/>
        </w:numPr>
        <w:spacing w:after="0" w:line="276" w:lineRule="auto"/>
        <w:jc w:val="left"/>
        <w:rPr>
          <w:rFonts w:asciiTheme="minorHAnsi" w:hAnsiTheme="minorHAnsi" w:cstheme="minorHAnsi"/>
          <w:szCs w:val="22"/>
        </w:rPr>
      </w:pPr>
      <w:r w:rsidRPr="005A6712">
        <w:rPr>
          <w:rFonts w:asciiTheme="minorHAnsi" w:hAnsiTheme="minorHAnsi" w:cstheme="minorHAnsi"/>
          <w:szCs w:val="22"/>
        </w:rPr>
        <w:t>Echokardiographie</w:t>
      </w:r>
    </w:p>
    <w:p w14:paraId="5C81A3E0" w14:textId="77777777" w:rsidR="006C03F2" w:rsidRDefault="006C03F2" w:rsidP="006C03F2">
      <w:pPr>
        <w:pStyle w:val="Textkrper-Einzug2"/>
        <w:spacing w:after="0" w:line="276" w:lineRule="auto"/>
        <w:ind w:left="0"/>
        <w:jc w:val="left"/>
        <w:rPr>
          <w:rFonts w:asciiTheme="minorHAnsi" w:hAnsiTheme="minorHAnsi" w:cstheme="minorHAnsi"/>
          <w:szCs w:val="22"/>
        </w:rPr>
      </w:pPr>
    </w:p>
    <w:tbl>
      <w:tblPr>
        <w:tblW w:w="5440" w:type="pct"/>
        <w:tblCellSpacing w:w="0" w:type="dxa"/>
        <w:tblInd w:w="-426" w:type="dxa"/>
        <w:tblCellMar>
          <w:left w:w="0" w:type="dxa"/>
          <w:right w:w="0" w:type="dxa"/>
        </w:tblCellMar>
        <w:tblLook w:val="04A0" w:firstRow="1" w:lastRow="0" w:firstColumn="1" w:lastColumn="0" w:noHBand="0" w:noVBand="1"/>
      </w:tblPr>
      <w:tblGrid>
        <w:gridCol w:w="1842"/>
        <w:gridCol w:w="4246"/>
        <w:gridCol w:w="4109"/>
      </w:tblGrid>
      <w:tr w:rsidR="000155EA" w14:paraId="6328B9FD" w14:textId="77777777" w:rsidTr="006C03F2">
        <w:trPr>
          <w:trHeight w:val="357"/>
          <w:tblHeader/>
          <w:tblCellSpacing w:w="0" w:type="dxa"/>
        </w:trPr>
        <w:tc>
          <w:tcPr>
            <w:tcW w:w="903" w:type="pct"/>
            <w:tcBorders>
              <w:top w:val="single" w:sz="4" w:space="0" w:color="000000" w:themeColor="text1"/>
              <w:left w:val="single" w:sz="4" w:space="0" w:color="000000" w:themeColor="text1"/>
              <w:bottom w:val="nil"/>
              <w:right w:val="nil"/>
            </w:tcBorders>
            <w:shd w:val="clear" w:color="auto" w:fill="595959" w:themeFill="text1" w:themeFillTint="A6"/>
            <w:vAlign w:val="center"/>
            <w:hideMark/>
          </w:tcPr>
          <w:p w14:paraId="7478AC67" w14:textId="77777777" w:rsidR="000155EA" w:rsidRPr="006C03F2" w:rsidRDefault="00130F7C" w:rsidP="007374FB">
            <w:pPr>
              <w:spacing w:line="240" w:lineRule="auto"/>
              <w:jc w:val="left"/>
            </w:pPr>
            <w:r>
              <w:br w:type="page"/>
            </w:r>
            <w:r w:rsidR="000155EA" w:rsidRPr="00CA35F4">
              <w:rPr>
                <w:rFonts w:asciiTheme="minorHAnsi" w:hAnsiTheme="minorHAnsi"/>
                <w:b/>
                <w:bCs/>
                <w:color w:val="FFFFFF" w:themeColor="background1"/>
                <w:sz w:val="20"/>
                <w:szCs w:val="16"/>
                <w:lang w:val="en-US"/>
              </w:rPr>
              <w:t>Response and Site</w:t>
            </w:r>
          </w:p>
        </w:tc>
        <w:tc>
          <w:tcPr>
            <w:tcW w:w="2082" w:type="pct"/>
            <w:tcBorders>
              <w:top w:val="single" w:sz="4" w:space="0" w:color="000000" w:themeColor="text1"/>
              <w:left w:val="nil"/>
              <w:bottom w:val="nil"/>
              <w:right w:val="nil"/>
            </w:tcBorders>
            <w:shd w:val="clear" w:color="auto" w:fill="595959" w:themeFill="text1" w:themeFillTint="A6"/>
            <w:vAlign w:val="center"/>
            <w:hideMark/>
          </w:tcPr>
          <w:p w14:paraId="547AD810" w14:textId="77777777" w:rsidR="000155EA" w:rsidRPr="00CA35F4" w:rsidRDefault="000155EA" w:rsidP="007374FB">
            <w:pPr>
              <w:spacing w:line="240" w:lineRule="auto"/>
              <w:ind w:right="170"/>
              <w:jc w:val="left"/>
              <w:rPr>
                <w:rFonts w:asciiTheme="minorHAnsi" w:hAnsiTheme="minorHAnsi"/>
                <w:b/>
                <w:bCs/>
                <w:color w:val="FFFFFF" w:themeColor="background1"/>
                <w:sz w:val="20"/>
                <w:szCs w:val="16"/>
                <w:lang w:val="en-US"/>
              </w:rPr>
            </w:pPr>
            <w:r w:rsidRPr="00CA35F4">
              <w:rPr>
                <w:rFonts w:asciiTheme="minorHAnsi" w:hAnsiTheme="minorHAnsi"/>
                <w:b/>
                <w:bCs/>
                <w:color w:val="FFFFFF" w:themeColor="background1"/>
                <w:sz w:val="20"/>
                <w:szCs w:val="16"/>
                <w:lang w:val="en-US"/>
              </w:rPr>
              <w:t>PET-CT–Based Response</w:t>
            </w:r>
          </w:p>
        </w:tc>
        <w:tc>
          <w:tcPr>
            <w:tcW w:w="2015" w:type="pct"/>
            <w:tcBorders>
              <w:top w:val="single" w:sz="4" w:space="0" w:color="000000" w:themeColor="text1"/>
              <w:left w:val="nil"/>
              <w:bottom w:val="nil"/>
              <w:right w:val="single" w:sz="4" w:space="0" w:color="000000" w:themeColor="text1"/>
            </w:tcBorders>
            <w:shd w:val="clear" w:color="auto" w:fill="595959" w:themeFill="text1" w:themeFillTint="A6"/>
            <w:vAlign w:val="center"/>
            <w:hideMark/>
          </w:tcPr>
          <w:p w14:paraId="07BFC657" w14:textId="77777777" w:rsidR="000155EA" w:rsidRPr="00CA35F4" w:rsidRDefault="000155EA" w:rsidP="007374FB">
            <w:pPr>
              <w:spacing w:line="240" w:lineRule="auto"/>
              <w:jc w:val="left"/>
              <w:rPr>
                <w:rFonts w:asciiTheme="minorHAnsi" w:hAnsiTheme="minorHAnsi"/>
                <w:b/>
                <w:bCs/>
                <w:color w:val="FFFFFF" w:themeColor="background1"/>
                <w:sz w:val="20"/>
                <w:szCs w:val="16"/>
                <w:lang w:val="en-US"/>
              </w:rPr>
            </w:pPr>
            <w:r w:rsidRPr="00CA35F4">
              <w:rPr>
                <w:rFonts w:asciiTheme="minorHAnsi" w:hAnsiTheme="minorHAnsi"/>
                <w:b/>
                <w:bCs/>
                <w:color w:val="FFFFFF" w:themeColor="background1"/>
                <w:sz w:val="20"/>
                <w:szCs w:val="16"/>
                <w:lang w:val="en-US"/>
              </w:rPr>
              <w:t>CT-Based Response</w:t>
            </w:r>
          </w:p>
        </w:tc>
      </w:tr>
      <w:tr w:rsidR="000155EA" w:rsidRPr="00E57A6B" w14:paraId="7D84D858" w14:textId="77777777" w:rsidTr="006C03F2">
        <w:trPr>
          <w:trHeight w:val="277"/>
          <w:tblCellSpacing w:w="0" w:type="dxa"/>
        </w:trPr>
        <w:tc>
          <w:tcPr>
            <w:tcW w:w="903" w:type="pct"/>
            <w:tcBorders>
              <w:top w:val="single" w:sz="4" w:space="0" w:color="000000" w:themeColor="text1"/>
              <w:left w:val="single" w:sz="4" w:space="0" w:color="000000" w:themeColor="text1"/>
              <w:bottom w:val="nil"/>
              <w:right w:val="nil"/>
            </w:tcBorders>
            <w:shd w:val="clear" w:color="auto" w:fill="D9D9D9" w:themeFill="background1" w:themeFillShade="D9"/>
            <w:vAlign w:val="center"/>
            <w:hideMark/>
          </w:tcPr>
          <w:p w14:paraId="2C741C91" w14:textId="77777777" w:rsidR="000155EA" w:rsidRPr="00CA35F4" w:rsidRDefault="00130F7C" w:rsidP="007374FB">
            <w:pPr>
              <w:spacing w:line="240" w:lineRule="auto"/>
              <w:jc w:val="left"/>
              <w:rPr>
                <w:rFonts w:asciiTheme="minorHAnsi" w:hAnsiTheme="minorHAnsi"/>
                <w:b/>
                <w:sz w:val="18"/>
                <w:szCs w:val="16"/>
                <w:lang w:val="en-US"/>
              </w:rPr>
            </w:pPr>
            <w:r>
              <w:rPr>
                <w:rFonts w:asciiTheme="minorHAnsi" w:hAnsiTheme="minorHAnsi"/>
                <w:b/>
                <w:sz w:val="18"/>
                <w:szCs w:val="16"/>
                <w:lang w:val="en-US"/>
              </w:rPr>
              <w:t xml:space="preserve">  </w:t>
            </w:r>
            <w:r w:rsidR="000155EA" w:rsidRPr="00CA35F4">
              <w:rPr>
                <w:rFonts w:asciiTheme="minorHAnsi" w:hAnsiTheme="minorHAnsi"/>
                <w:b/>
                <w:sz w:val="18"/>
                <w:szCs w:val="16"/>
                <w:lang w:val="en-US"/>
              </w:rPr>
              <w:t>Complete</w:t>
            </w:r>
            <w:r w:rsidR="000155EA">
              <w:rPr>
                <w:rFonts w:asciiTheme="minorHAnsi" w:hAnsiTheme="minorHAnsi"/>
                <w:b/>
                <w:sz w:val="18"/>
                <w:szCs w:val="16"/>
                <w:lang w:val="en-US"/>
              </w:rPr>
              <w:t xml:space="preserve"> Remission</w:t>
            </w:r>
          </w:p>
        </w:tc>
        <w:tc>
          <w:tcPr>
            <w:tcW w:w="2082" w:type="pct"/>
            <w:tcBorders>
              <w:top w:val="single" w:sz="4" w:space="0" w:color="000000" w:themeColor="text1"/>
              <w:left w:val="nil"/>
              <w:bottom w:val="nil"/>
              <w:right w:val="nil"/>
            </w:tcBorders>
            <w:shd w:val="clear" w:color="auto" w:fill="D9D9D9" w:themeFill="background1" w:themeFillShade="D9"/>
            <w:vAlign w:val="center"/>
            <w:hideMark/>
          </w:tcPr>
          <w:p w14:paraId="7D78B19A" w14:textId="77777777" w:rsidR="000155EA" w:rsidRPr="00CA35F4" w:rsidRDefault="000155EA" w:rsidP="007374FB">
            <w:pPr>
              <w:spacing w:line="240" w:lineRule="auto"/>
              <w:ind w:right="170"/>
              <w:jc w:val="left"/>
              <w:rPr>
                <w:rFonts w:asciiTheme="minorHAnsi" w:hAnsiTheme="minorHAnsi"/>
                <w:b/>
                <w:sz w:val="18"/>
                <w:szCs w:val="16"/>
                <w:lang w:val="en-US"/>
              </w:rPr>
            </w:pPr>
            <w:r w:rsidRPr="00CA35F4">
              <w:rPr>
                <w:rFonts w:asciiTheme="minorHAnsi" w:hAnsiTheme="minorHAnsi"/>
                <w:b/>
                <w:sz w:val="18"/>
                <w:szCs w:val="16"/>
                <w:lang w:val="en-US"/>
              </w:rPr>
              <w:t>Complete metabolic response</w:t>
            </w:r>
          </w:p>
        </w:tc>
        <w:tc>
          <w:tcPr>
            <w:tcW w:w="2015" w:type="pct"/>
            <w:tcBorders>
              <w:top w:val="single" w:sz="4" w:space="0" w:color="000000" w:themeColor="text1"/>
              <w:left w:val="nil"/>
              <w:bottom w:val="nil"/>
              <w:right w:val="single" w:sz="4" w:space="0" w:color="000000" w:themeColor="text1"/>
            </w:tcBorders>
            <w:shd w:val="clear" w:color="auto" w:fill="D9D9D9" w:themeFill="background1" w:themeFillShade="D9"/>
            <w:vAlign w:val="center"/>
            <w:hideMark/>
          </w:tcPr>
          <w:p w14:paraId="1A42535D" w14:textId="77777777" w:rsidR="000155EA" w:rsidRPr="00CA35F4" w:rsidRDefault="000155EA" w:rsidP="007374FB">
            <w:pPr>
              <w:spacing w:line="240" w:lineRule="auto"/>
              <w:jc w:val="left"/>
              <w:rPr>
                <w:rFonts w:asciiTheme="minorHAnsi" w:hAnsiTheme="minorHAnsi"/>
                <w:b/>
                <w:sz w:val="18"/>
                <w:szCs w:val="16"/>
                <w:lang w:val="en-US"/>
              </w:rPr>
            </w:pPr>
            <w:r w:rsidRPr="00CA35F4">
              <w:rPr>
                <w:rFonts w:asciiTheme="minorHAnsi" w:hAnsiTheme="minorHAnsi"/>
                <w:b/>
                <w:sz w:val="18"/>
                <w:szCs w:val="16"/>
                <w:lang w:val="en-US"/>
              </w:rPr>
              <w:t>Complete radiologic response (all of the following)</w:t>
            </w:r>
          </w:p>
        </w:tc>
      </w:tr>
      <w:tr w:rsidR="000155EA" w:rsidRPr="00E57A6B" w14:paraId="73AC416B" w14:textId="77777777" w:rsidTr="006C03F2">
        <w:trPr>
          <w:tblCellSpacing w:w="0" w:type="dxa"/>
        </w:trPr>
        <w:tc>
          <w:tcPr>
            <w:tcW w:w="903" w:type="pct"/>
            <w:vMerge w:val="restart"/>
            <w:tcBorders>
              <w:top w:val="nil"/>
              <w:left w:val="single" w:sz="4" w:space="0" w:color="000000" w:themeColor="text1"/>
              <w:bottom w:val="nil"/>
              <w:right w:val="nil"/>
            </w:tcBorders>
            <w:shd w:val="clear" w:color="auto" w:fill="FFFFFF" w:themeFill="background1"/>
            <w:hideMark/>
          </w:tcPr>
          <w:p w14:paraId="6C6CA5B2" w14:textId="77777777" w:rsidR="000155EA" w:rsidRPr="00CA35F4" w:rsidRDefault="000155EA" w:rsidP="007374FB">
            <w:pPr>
              <w:spacing w:line="240" w:lineRule="auto"/>
              <w:ind w:left="142" w:right="221"/>
              <w:jc w:val="left"/>
              <w:rPr>
                <w:rFonts w:asciiTheme="minorHAnsi" w:hAnsiTheme="minorHAnsi"/>
                <w:sz w:val="18"/>
                <w:szCs w:val="16"/>
                <w:lang w:val="en-US"/>
              </w:rPr>
            </w:pPr>
            <w:r w:rsidRPr="00CA35F4">
              <w:rPr>
                <w:rFonts w:asciiTheme="minorHAnsi" w:hAnsiTheme="minorHAnsi"/>
                <w:sz w:val="18"/>
                <w:szCs w:val="16"/>
                <w:lang w:val="en-US"/>
              </w:rPr>
              <w:t>Lymph nodes and extralymphatic sites</w:t>
            </w:r>
          </w:p>
        </w:tc>
        <w:tc>
          <w:tcPr>
            <w:tcW w:w="2082" w:type="pct"/>
            <w:shd w:val="clear" w:color="auto" w:fill="FFFFFF" w:themeFill="background1"/>
            <w:hideMark/>
          </w:tcPr>
          <w:p w14:paraId="1F1D9613" w14:textId="29C9106C" w:rsidR="000155EA" w:rsidRPr="00CA35F4" w:rsidRDefault="000155EA" w:rsidP="007374FB">
            <w:pPr>
              <w:spacing w:line="240" w:lineRule="auto"/>
              <w:ind w:right="170"/>
              <w:jc w:val="left"/>
              <w:rPr>
                <w:rFonts w:asciiTheme="minorHAnsi" w:hAnsiTheme="minorHAnsi"/>
                <w:sz w:val="18"/>
                <w:szCs w:val="16"/>
                <w:lang w:val="en-US"/>
              </w:rPr>
            </w:pPr>
            <w:r>
              <w:rPr>
                <w:rFonts w:asciiTheme="minorHAnsi" w:hAnsiTheme="minorHAnsi"/>
                <w:sz w:val="18"/>
                <w:szCs w:val="16"/>
                <w:lang w:val="en-US"/>
              </w:rPr>
              <w:t>Score 1, 2</w:t>
            </w:r>
            <w:r w:rsidRPr="00CA35F4">
              <w:rPr>
                <w:rFonts w:asciiTheme="minorHAnsi" w:hAnsiTheme="minorHAnsi"/>
                <w:sz w:val="18"/>
                <w:szCs w:val="16"/>
                <w:lang w:val="en-US"/>
              </w:rPr>
              <w:t xml:space="preserve"> or </w:t>
            </w:r>
            <w:r>
              <w:rPr>
                <w:rFonts w:asciiTheme="minorHAnsi" w:hAnsiTheme="minorHAnsi"/>
                <w:sz w:val="18"/>
                <w:szCs w:val="16"/>
                <w:lang w:val="en-US"/>
              </w:rPr>
              <w:t xml:space="preserve">3 </w:t>
            </w:r>
            <w:r w:rsidRPr="008711D9">
              <w:rPr>
                <w:rFonts w:asciiTheme="minorHAnsi" w:hAnsiTheme="minorHAnsi"/>
                <w:color w:val="FF0000"/>
                <w:sz w:val="18"/>
                <w:szCs w:val="16"/>
                <w:lang w:val="en-US"/>
              </w:rPr>
              <w:t xml:space="preserve">(1) </w:t>
            </w:r>
            <w:r w:rsidRPr="00CA35F4">
              <w:rPr>
                <w:rFonts w:asciiTheme="minorHAnsi" w:hAnsiTheme="minorHAnsi"/>
                <w:sz w:val="18"/>
                <w:szCs w:val="16"/>
                <w:lang w:val="en-US"/>
              </w:rPr>
              <w:t>with or without a residual mass on 5PS</w:t>
            </w:r>
            <w:r w:rsidRPr="003561E7">
              <w:rPr>
                <w:rFonts w:asciiTheme="minorHAnsi" w:hAnsiTheme="minorHAnsi"/>
                <w:sz w:val="18"/>
                <w:szCs w:val="16"/>
                <w:lang w:val="en-US"/>
              </w:rPr>
              <w:t xml:space="preserve"> </w:t>
            </w:r>
            <w:r w:rsidRPr="003561E7">
              <w:rPr>
                <w:rFonts w:asciiTheme="minorHAnsi" w:hAnsiTheme="minorHAnsi"/>
                <w:color w:val="FF0000"/>
                <w:sz w:val="18"/>
                <w:szCs w:val="16"/>
                <w:lang w:val="en-US"/>
              </w:rPr>
              <w:t>(2)</w:t>
            </w:r>
          </w:p>
        </w:tc>
        <w:tc>
          <w:tcPr>
            <w:tcW w:w="2015" w:type="pct"/>
            <w:tcBorders>
              <w:top w:val="nil"/>
              <w:left w:val="nil"/>
              <w:bottom w:val="nil"/>
              <w:right w:val="single" w:sz="4" w:space="0" w:color="000000" w:themeColor="text1"/>
            </w:tcBorders>
            <w:shd w:val="clear" w:color="auto" w:fill="FFFFFF" w:themeFill="background1"/>
            <w:hideMark/>
          </w:tcPr>
          <w:p w14:paraId="4D132CD8" w14:textId="77777777" w:rsidR="000155EA" w:rsidRPr="00CA35F4" w:rsidRDefault="000155EA" w:rsidP="007374FB">
            <w:pPr>
              <w:spacing w:line="240" w:lineRule="auto"/>
              <w:jc w:val="left"/>
              <w:rPr>
                <w:rFonts w:asciiTheme="minorHAnsi" w:hAnsiTheme="minorHAnsi"/>
                <w:sz w:val="18"/>
                <w:szCs w:val="16"/>
                <w:lang w:val="en-US"/>
              </w:rPr>
            </w:pPr>
            <w:r w:rsidRPr="00CA35F4">
              <w:rPr>
                <w:rFonts w:asciiTheme="minorHAnsi" w:hAnsiTheme="minorHAnsi"/>
                <w:sz w:val="18"/>
                <w:szCs w:val="16"/>
                <w:lang w:val="en-US"/>
              </w:rPr>
              <w:t>Target nodes/nodal masses must regress to ≤ 1.5 cm in LDi</w:t>
            </w:r>
          </w:p>
        </w:tc>
      </w:tr>
      <w:tr w:rsidR="000155EA" w:rsidRPr="00E57A6B" w14:paraId="68906FA8" w14:textId="77777777" w:rsidTr="006C03F2">
        <w:trPr>
          <w:tblCellSpacing w:w="0" w:type="dxa"/>
        </w:trPr>
        <w:tc>
          <w:tcPr>
            <w:tcW w:w="0" w:type="auto"/>
            <w:vMerge/>
            <w:tcBorders>
              <w:top w:val="nil"/>
              <w:left w:val="single" w:sz="4" w:space="0" w:color="000000" w:themeColor="text1"/>
              <w:bottom w:val="nil"/>
              <w:right w:val="nil"/>
            </w:tcBorders>
            <w:shd w:val="clear" w:color="auto" w:fill="FFFFFF" w:themeFill="background1"/>
            <w:vAlign w:val="center"/>
            <w:hideMark/>
          </w:tcPr>
          <w:p w14:paraId="325695BD" w14:textId="77777777" w:rsidR="000155EA" w:rsidRPr="00CA35F4" w:rsidRDefault="000155EA" w:rsidP="007374FB">
            <w:pPr>
              <w:spacing w:line="240" w:lineRule="auto"/>
              <w:jc w:val="left"/>
              <w:rPr>
                <w:rFonts w:asciiTheme="minorHAnsi" w:hAnsiTheme="minorHAnsi"/>
                <w:sz w:val="18"/>
                <w:szCs w:val="16"/>
                <w:lang w:val="en-US"/>
              </w:rPr>
            </w:pPr>
          </w:p>
        </w:tc>
        <w:tc>
          <w:tcPr>
            <w:tcW w:w="2082" w:type="pct"/>
            <w:shd w:val="clear" w:color="auto" w:fill="FFFFFF" w:themeFill="background1"/>
            <w:hideMark/>
          </w:tcPr>
          <w:p w14:paraId="3EBB54D8" w14:textId="77777777" w:rsidR="000155EA" w:rsidRPr="00CA35F4" w:rsidRDefault="000155EA" w:rsidP="007374FB">
            <w:pPr>
              <w:spacing w:line="240" w:lineRule="auto"/>
              <w:ind w:right="170"/>
              <w:jc w:val="left"/>
              <w:rPr>
                <w:rFonts w:asciiTheme="minorHAnsi" w:hAnsiTheme="minorHAnsi"/>
                <w:sz w:val="18"/>
                <w:szCs w:val="16"/>
                <w:lang w:val="en-US"/>
              </w:rPr>
            </w:pPr>
            <w:r w:rsidRPr="00CA35F4">
              <w:rPr>
                <w:rFonts w:asciiTheme="minorHAnsi" w:hAnsiTheme="minorHAnsi"/>
                <w:sz w:val="18"/>
                <w:szCs w:val="16"/>
                <w:lang w:val="en-US"/>
              </w:rPr>
              <w:t>It is recognized that in Waldeyer's ring or extranodal sites with high physiologic uptake or with activation within spleen or marrow (eg, with chemotherapy or myeloid colony-stimulating factors), uptake may be greater than normal mediastinum and/or liver. In this circumstance, complete metabolic response may be inferred if uptake at sites of initial involvement is no greater than surrounding normal tissue even if the tissue has high physiologic uptake</w:t>
            </w:r>
          </w:p>
        </w:tc>
        <w:tc>
          <w:tcPr>
            <w:tcW w:w="2015" w:type="pct"/>
            <w:tcBorders>
              <w:top w:val="nil"/>
              <w:left w:val="nil"/>
              <w:bottom w:val="nil"/>
              <w:right w:val="single" w:sz="4" w:space="0" w:color="000000" w:themeColor="text1"/>
            </w:tcBorders>
            <w:shd w:val="clear" w:color="auto" w:fill="FFFFFF" w:themeFill="background1"/>
            <w:hideMark/>
          </w:tcPr>
          <w:p w14:paraId="33B2AC80" w14:textId="77777777" w:rsidR="000155EA" w:rsidRPr="00CA35F4" w:rsidRDefault="000155EA" w:rsidP="007374FB">
            <w:pPr>
              <w:spacing w:line="240" w:lineRule="auto"/>
              <w:jc w:val="left"/>
              <w:rPr>
                <w:rFonts w:asciiTheme="minorHAnsi" w:hAnsiTheme="minorHAnsi"/>
                <w:sz w:val="18"/>
                <w:szCs w:val="16"/>
                <w:lang w:val="en-US"/>
              </w:rPr>
            </w:pPr>
            <w:r w:rsidRPr="00CA35F4">
              <w:rPr>
                <w:rFonts w:asciiTheme="minorHAnsi" w:hAnsiTheme="minorHAnsi"/>
                <w:sz w:val="18"/>
                <w:szCs w:val="16"/>
                <w:lang w:val="en-US"/>
              </w:rPr>
              <w:t>No extralymphatic sites of disease</w:t>
            </w:r>
          </w:p>
        </w:tc>
      </w:tr>
      <w:tr w:rsidR="000155EA" w14:paraId="5C8728E2" w14:textId="77777777" w:rsidTr="006C03F2">
        <w:trPr>
          <w:tblCellSpacing w:w="0" w:type="dxa"/>
        </w:trPr>
        <w:tc>
          <w:tcPr>
            <w:tcW w:w="903" w:type="pct"/>
            <w:tcBorders>
              <w:top w:val="nil"/>
              <w:left w:val="single" w:sz="4" w:space="0" w:color="000000" w:themeColor="text1"/>
              <w:bottom w:val="nil"/>
              <w:right w:val="nil"/>
            </w:tcBorders>
            <w:shd w:val="clear" w:color="auto" w:fill="FFFFFF" w:themeFill="background1"/>
            <w:hideMark/>
          </w:tcPr>
          <w:p w14:paraId="081872FA" w14:textId="77777777" w:rsidR="000155EA" w:rsidRPr="00CA35F4" w:rsidRDefault="000155EA" w:rsidP="007374FB">
            <w:pPr>
              <w:spacing w:line="240" w:lineRule="auto"/>
              <w:ind w:left="142" w:right="221"/>
              <w:jc w:val="left"/>
              <w:rPr>
                <w:rFonts w:asciiTheme="minorHAnsi" w:hAnsiTheme="minorHAnsi"/>
                <w:sz w:val="18"/>
                <w:szCs w:val="16"/>
                <w:lang w:val="de-DE"/>
              </w:rPr>
            </w:pPr>
            <w:r w:rsidRPr="00CA35F4">
              <w:rPr>
                <w:rFonts w:asciiTheme="minorHAnsi" w:hAnsiTheme="minorHAnsi"/>
                <w:sz w:val="18"/>
                <w:szCs w:val="16"/>
                <w:lang w:val="de-DE"/>
              </w:rPr>
              <w:t>Nonmeasured lesion</w:t>
            </w:r>
          </w:p>
        </w:tc>
        <w:tc>
          <w:tcPr>
            <w:tcW w:w="2082" w:type="pct"/>
            <w:shd w:val="clear" w:color="auto" w:fill="FFFFFF" w:themeFill="background1"/>
            <w:hideMark/>
          </w:tcPr>
          <w:p w14:paraId="2CFF865C" w14:textId="77777777" w:rsidR="000155EA" w:rsidRPr="00CA35F4" w:rsidRDefault="000155EA" w:rsidP="007374FB">
            <w:pPr>
              <w:spacing w:line="240" w:lineRule="auto"/>
              <w:ind w:right="170"/>
              <w:jc w:val="left"/>
              <w:rPr>
                <w:rFonts w:asciiTheme="minorHAnsi" w:hAnsiTheme="minorHAnsi"/>
                <w:sz w:val="18"/>
                <w:szCs w:val="16"/>
                <w:lang w:val="de-DE"/>
              </w:rPr>
            </w:pPr>
            <w:r w:rsidRPr="00CA35F4">
              <w:rPr>
                <w:rFonts w:asciiTheme="minorHAnsi" w:hAnsiTheme="minorHAnsi"/>
                <w:sz w:val="18"/>
                <w:szCs w:val="16"/>
                <w:lang w:val="de-DE"/>
              </w:rPr>
              <w:t>Not applicable</w:t>
            </w:r>
          </w:p>
        </w:tc>
        <w:tc>
          <w:tcPr>
            <w:tcW w:w="2015" w:type="pct"/>
            <w:tcBorders>
              <w:top w:val="nil"/>
              <w:left w:val="nil"/>
              <w:bottom w:val="nil"/>
              <w:right w:val="single" w:sz="4" w:space="0" w:color="000000" w:themeColor="text1"/>
            </w:tcBorders>
            <w:shd w:val="clear" w:color="auto" w:fill="FFFFFF" w:themeFill="background1"/>
            <w:hideMark/>
          </w:tcPr>
          <w:p w14:paraId="61D25156" w14:textId="77777777" w:rsidR="000155EA" w:rsidRPr="00CA35F4" w:rsidRDefault="000155EA" w:rsidP="007374FB">
            <w:pPr>
              <w:spacing w:line="240" w:lineRule="auto"/>
              <w:jc w:val="left"/>
              <w:rPr>
                <w:rFonts w:asciiTheme="minorHAnsi" w:hAnsiTheme="minorHAnsi"/>
                <w:sz w:val="18"/>
                <w:szCs w:val="16"/>
                <w:lang w:val="de-DE"/>
              </w:rPr>
            </w:pPr>
            <w:r w:rsidRPr="00CA35F4">
              <w:rPr>
                <w:rFonts w:asciiTheme="minorHAnsi" w:hAnsiTheme="minorHAnsi"/>
                <w:sz w:val="18"/>
                <w:szCs w:val="16"/>
                <w:lang w:val="de-DE"/>
              </w:rPr>
              <w:t>Absent</w:t>
            </w:r>
          </w:p>
        </w:tc>
      </w:tr>
      <w:tr w:rsidR="000155EA" w14:paraId="67AEA6F0" w14:textId="77777777" w:rsidTr="006C03F2">
        <w:trPr>
          <w:tblCellSpacing w:w="0" w:type="dxa"/>
        </w:trPr>
        <w:tc>
          <w:tcPr>
            <w:tcW w:w="903" w:type="pct"/>
            <w:tcBorders>
              <w:top w:val="nil"/>
              <w:left w:val="single" w:sz="4" w:space="0" w:color="000000" w:themeColor="text1"/>
              <w:bottom w:val="nil"/>
              <w:right w:val="nil"/>
            </w:tcBorders>
            <w:shd w:val="clear" w:color="auto" w:fill="FFFFFF" w:themeFill="background1"/>
            <w:hideMark/>
          </w:tcPr>
          <w:p w14:paraId="48383B5F" w14:textId="77777777" w:rsidR="000155EA" w:rsidRPr="00CA35F4" w:rsidRDefault="000155EA" w:rsidP="007374FB">
            <w:pPr>
              <w:spacing w:line="240" w:lineRule="auto"/>
              <w:ind w:left="142" w:right="221"/>
              <w:jc w:val="left"/>
              <w:rPr>
                <w:rFonts w:asciiTheme="minorHAnsi" w:hAnsiTheme="minorHAnsi"/>
                <w:sz w:val="18"/>
                <w:szCs w:val="16"/>
                <w:lang w:val="de-DE"/>
              </w:rPr>
            </w:pPr>
            <w:r w:rsidRPr="00CA35F4">
              <w:rPr>
                <w:rFonts w:asciiTheme="minorHAnsi" w:hAnsiTheme="minorHAnsi"/>
                <w:sz w:val="18"/>
                <w:szCs w:val="16"/>
                <w:lang w:val="de-DE"/>
              </w:rPr>
              <w:t>Organ enlargement</w:t>
            </w:r>
          </w:p>
        </w:tc>
        <w:tc>
          <w:tcPr>
            <w:tcW w:w="2082" w:type="pct"/>
            <w:shd w:val="clear" w:color="auto" w:fill="FFFFFF" w:themeFill="background1"/>
            <w:hideMark/>
          </w:tcPr>
          <w:p w14:paraId="304A7A1D" w14:textId="77777777" w:rsidR="000155EA" w:rsidRPr="00CA35F4" w:rsidRDefault="000155EA" w:rsidP="007374FB">
            <w:pPr>
              <w:spacing w:line="240" w:lineRule="auto"/>
              <w:ind w:right="170"/>
              <w:jc w:val="left"/>
              <w:rPr>
                <w:rFonts w:asciiTheme="minorHAnsi" w:hAnsiTheme="minorHAnsi"/>
                <w:sz w:val="18"/>
                <w:szCs w:val="16"/>
                <w:lang w:val="de-DE"/>
              </w:rPr>
            </w:pPr>
            <w:r w:rsidRPr="00CA35F4">
              <w:rPr>
                <w:rFonts w:asciiTheme="minorHAnsi" w:hAnsiTheme="minorHAnsi"/>
                <w:sz w:val="18"/>
                <w:szCs w:val="16"/>
                <w:lang w:val="de-DE"/>
              </w:rPr>
              <w:t>Not applicable</w:t>
            </w:r>
          </w:p>
        </w:tc>
        <w:tc>
          <w:tcPr>
            <w:tcW w:w="2015" w:type="pct"/>
            <w:tcBorders>
              <w:top w:val="nil"/>
              <w:left w:val="nil"/>
              <w:bottom w:val="nil"/>
              <w:right w:val="single" w:sz="4" w:space="0" w:color="000000" w:themeColor="text1"/>
            </w:tcBorders>
            <w:shd w:val="clear" w:color="auto" w:fill="FFFFFF" w:themeFill="background1"/>
            <w:hideMark/>
          </w:tcPr>
          <w:p w14:paraId="343B72C4" w14:textId="77777777" w:rsidR="000155EA" w:rsidRPr="00CA35F4" w:rsidRDefault="000155EA" w:rsidP="007374FB">
            <w:pPr>
              <w:spacing w:line="240" w:lineRule="auto"/>
              <w:jc w:val="left"/>
              <w:rPr>
                <w:rFonts w:asciiTheme="minorHAnsi" w:hAnsiTheme="minorHAnsi"/>
                <w:sz w:val="18"/>
                <w:szCs w:val="16"/>
                <w:lang w:val="de-DE"/>
              </w:rPr>
            </w:pPr>
            <w:r w:rsidRPr="00CA35F4">
              <w:rPr>
                <w:rFonts w:asciiTheme="minorHAnsi" w:hAnsiTheme="minorHAnsi"/>
                <w:sz w:val="18"/>
                <w:szCs w:val="16"/>
                <w:lang w:val="de-DE"/>
              </w:rPr>
              <w:t>Regress to normal</w:t>
            </w:r>
          </w:p>
        </w:tc>
      </w:tr>
      <w:tr w:rsidR="000155EA" w14:paraId="510C96DE" w14:textId="77777777" w:rsidTr="006C03F2">
        <w:trPr>
          <w:tblCellSpacing w:w="0" w:type="dxa"/>
        </w:trPr>
        <w:tc>
          <w:tcPr>
            <w:tcW w:w="903" w:type="pct"/>
            <w:tcBorders>
              <w:top w:val="nil"/>
              <w:left w:val="single" w:sz="4" w:space="0" w:color="000000" w:themeColor="text1"/>
              <w:bottom w:val="nil"/>
              <w:right w:val="nil"/>
            </w:tcBorders>
            <w:shd w:val="clear" w:color="auto" w:fill="FFFFFF" w:themeFill="background1"/>
            <w:hideMark/>
          </w:tcPr>
          <w:p w14:paraId="324727F2" w14:textId="77777777" w:rsidR="000155EA" w:rsidRPr="00CA35F4" w:rsidRDefault="000155EA" w:rsidP="007374FB">
            <w:pPr>
              <w:spacing w:line="240" w:lineRule="auto"/>
              <w:ind w:left="142" w:right="221"/>
              <w:jc w:val="left"/>
              <w:rPr>
                <w:rFonts w:asciiTheme="minorHAnsi" w:hAnsiTheme="minorHAnsi"/>
                <w:sz w:val="18"/>
                <w:szCs w:val="16"/>
                <w:lang w:val="de-DE"/>
              </w:rPr>
            </w:pPr>
            <w:r w:rsidRPr="00CA35F4">
              <w:rPr>
                <w:rFonts w:asciiTheme="minorHAnsi" w:hAnsiTheme="minorHAnsi"/>
                <w:sz w:val="18"/>
                <w:szCs w:val="16"/>
                <w:lang w:val="de-DE"/>
              </w:rPr>
              <w:t>New lesions</w:t>
            </w:r>
          </w:p>
        </w:tc>
        <w:tc>
          <w:tcPr>
            <w:tcW w:w="2082" w:type="pct"/>
            <w:shd w:val="clear" w:color="auto" w:fill="FFFFFF" w:themeFill="background1"/>
            <w:hideMark/>
          </w:tcPr>
          <w:p w14:paraId="6ED431D3" w14:textId="77777777" w:rsidR="000155EA" w:rsidRPr="00CA35F4" w:rsidRDefault="000155EA" w:rsidP="007374FB">
            <w:pPr>
              <w:spacing w:line="240" w:lineRule="auto"/>
              <w:ind w:right="170"/>
              <w:jc w:val="left"/>
              <w:rPr>
                <w:rFonts w:asciiTheme="minorHAnsi" w:hAnsiTheme="minorHAnsi"/>
                <w:sz w:val="18"/>
                <w:szCs w:val="16"/>
                <w:lang w:val="de-DE"/>
              </w:rPr>
            </w:pPr>
            <w:r w:rsidRPr="00CA35F4">
              <w:rPr>
                <w:rFonts w:asciiTheme="minorHAnsi" w:hAnsiTheme="minorHAnsi"/>
                <w:sz w:val="18"/>
                <w:szCs w:val="16"/>
                <w:lang w:val="de-DE"/>
              </w:rPr>
              <w:t>None</w:t>
            </w:r>
          </w:p>
        </w:tc>
        <w:tc>
          <w:tcPr>
            <w:tcW w:w="2015" w:type="pct"/>
            <w:tcBorders>
              <w:top w:val="nil"/>
              <w:left w:val="nil"/>
              <w:bottom w:val="nil"/>
              <w:right w:val="single" w:sz="4" w:space="0" w:color="000000" w:themeColor="text1"/>
            </w:tcBorders>
            <w:shd w:val="clear" w:color="auto" w:fill="FFFFFF" w:themeFill="background1"/>
            <w:hideMark/>
          </w:tcPr>
          <w:p w14:paraId="5D884D5B" w14:textId="77777777" w:rsidR="000155EA" w:rsidRPr="00CA35F4" w:rsidRDefault="000155EA" w:rsidP="007374FB">
            <w:pPr>
              <w:spacing w:line="240" w:lineRule="auto"/>
              <w:jc w:val="left"/>
              <w:rPr>
                <w:rFonts w:asciiTheme="minorHAnsi" w:hAnsiTheme="minorHAnsi"/>
                <w:sz w:val="18"/>
                <w:szCs w:val="16"/>
                <w:lang w:val="de-DE"/>
              </w:rPr>
            </w:pPr>
            <w:r w:rsidRPr="00CA35F4">
              <w:rPr>
                <w:rFonts w:asciiTheme="minorHAnsi" w:hAnsiTheme="minorHAnsi"/>
                <w:sz w:val="18"/>
                <w:szCs w:val="16"/>
                <w:lang w:val="de-DE"/>
              </w:rPr>
              <w:t>None</w:t>
            </w:r>
          </w:p>
        </w:tc>
      </w:tr>
      <w:tr w:rsidR="000155EA" w:rsidRPr="00E57A6B" w14:paraId="732523B2" w14:textId="77777777" w:rsidTr="006C03F2">
        <w:trPr>
          <w:tblCellSpacing w:w="0" w:type="dxa"/>
        </w:trPr>
        <w:tc>
          <w:tcPr>
            <w:tcW w:w="903" w:type="pct"/>
            <w:tcBorders>
              <w:top w:val="nil"/>
              <w:left w:val="single" w:sz="4" w:space="0" w:color="000000" w:themeColor="text1"/>
              <w:bottom w:val="nil"/>
              <w:right w:val="nil"/>
            </w:tcBorders>
            <w:shd w:val="clear" w:color="auto" w:fill="FFFFFF" w:themeFill="background1"/>
            <w:hideMark/>
          </w:tcPr>
          <w:p w14:paraId="6B049152" w14:textId="77777777" w:rsidR="000155EA" w:rsidRPr="00CA35F4" w:rsidRDefault="000155EA" w:rsidP="007374FB">
            <w:pPr>
              <w:spacing w:line="240" w:lineRule="auto"/>
              <w:ind w:left="142" w:right="221"/>
              <w:jc w:val="left"/>
              <w:rPr>
                <w:rFonts w:asciiTheme="minorHAnsi" w:hAnsiTheme="minorHAnsi"/>
                <w:sz w:val="18"/>
                <w:szCs w:val="16"/>
                <w:lang w:val="de-DE"/>
              </w:rPr>
            </w:pPr>
            <w:r w:rsidRPr="00CA35F4">
              <w:rPr>
                <w:rFonts w:asciiTheme="minorHAnsi" w:hAnsiTheme="minorHAnsi"/>
                <w:sz w:val="18"/>
                <w:szCs w:val="16"/>
                <w:lang w:val="de-DE"/>
              </w:rPr>
              <w:t>Bone marrow</w:t>
            </w:r>
          </w:p>
        </w:tc>
        <w:tc>
          <w:tcPr>
            <w:tcW w:w="2082" w:type="pct"/>
            <w:shd w:val="clear" w:color="auto" w:fill="FFFFFF" w:themeFill="background1"/>
            <w:hideMark/>
          </w:tcPr>
          <w:p w14:paraId="2947EC5A" w14:textId="77777777" w:rsidR="000155EA" w:rsidRPr="00CA35F4" w:rsidRDefault="000155EA" w:rsidP="007374FB">
            <w:pPr>
              <w:spacing w:line="240" w:lineRule="auto"/>
              <w:ind w:right="170"/>
              <w:jc w:val="left"/>
              <w:rPr>
                <w:rFonts w:asciiTheme="minorHAnsi" w:hAnsiTheme="minorHAnsi"/>
                <w:sz w:val="18"/>
                <w:szCs w:val="16"/>
                <w:lang w:val="en-US"/>
              </w:rPr>
            </w:pPr>
            <w:r w:rsidRPr="00CA35F4">
              <w:rPr>
                <w:rFonts w:asciiTheme="minorHAnsi" w:hAnsiTheme="minorHAnsi"/>
                <w:sz w:val="18"/>
                <w:szCs w:val="16"/>
                <w:lang w:val="en-US"/>
              </w:rPr>
              <w:t>No evidence of FDG-avid disease in marrow</w:t>
            </w:r>
          </w:p>
        </w:tc>
        <w:tc>
          <w:tcPr>
            <w:tcW w:w="2015" w:type="pct"/>
            <w:tcBorders>
              <w:top w:val="nil"/>
              <w:left w:val="nil"/>
              <w:bottom w:val="nil"/>
              <w:right w:val="single" w:sz="4" w:space="0" w:color="000000" w:themeColor="text1"/>
            </w:tcBorders>
            <w:shd w:val="clear" w:color="auto" w:fill="FFFFFF" w:themeFill="background1"/>
            <w:hideMark/>
          </w:tcPr>
          <w:p w14:paraId="47431262" w14:textId="77777777" w:rsidR="000155EA" w:rsidRPr="00CA35F4" w:rsidRDefault="000155EA" w:rsidP="007374FB">
            <w:pPr>
              <w:spacing w:line="240" w:lineRule="auto"/>
              <w:jc w:val="left"/>
              <w:rPr>
                <w:rFonts w:asciiTheme="minorHAnsi" w:hAnsiTheme="minorHAnsi"/>
                <w:sz w:val="18"/>
                <w:szCs w:val="16"/>
                <w:lang w:val="en-US"/>
              </w:rPr>
            </w:pPr>
            <w:r w:rsidRPr="00CA35F4">
              <w:rPr>
                <w:rFonts w:asciiTheme="minorHAnsi" w:hAnsiTheme="minorHAnsi"/>
                <w:sz w:val="18"/>
                <w:szCs w:val="16"/>
                <w:lang w:val="en-US"/>
              </w:rPr>
              <w:t>Normal by morphology; if indeterminate, IHC negative</w:t>
            </w:r>
          </w:p>
        </w:tc>
      </w:tr>
      <w:tr w:rsidR="000155EA" w:rsidRPr="00E57A6B" w14:paraId="57AB7DC9" w14:textId="77777777" w:rsidTr="006C03F2">
        <w:trPr>
          <w:trHeight w:val="313"/>
          <w:tblCellSpacing w:w="0" w:type="dxa"/>
        </w:trPr>
        <w:tc>
          <w:tcPr>
            <w:tcW w:w="903" w:type="pct"/>
            <w:tcBorders>
              <w:top w:val="nil"/>
              <w:left w:val="single" w:sz="4" w:space="0" w:color="000000" w:themeColor="text1"/>
              <w:bottom w:val="nil"/>
              <w:right w:val="nil"/>
            </w:tcBorders>
            <w:shd w:val="clear" w:color="auto" w:fill="D9D9D9" w:themeFill="background1" w:themeFillShade="D9"/>
            <w:vAlign w:val="center"/>
            <w:hideMark/>
          </w:tcPr>
          <w:p w14:paraId="72D76BA8" w14:textId="77777777" w:rsidR="000155EA" w:rsidRPr="00CA35F4" w:rsidRDefault="00130F7C" w:rsidP="007374FB">
            <w:pPr>
              <w:spacing w:line="240" w:lineRule="auto"/>
              <w:jc w:val="left"/>
              <w:rPr>
                <w:rFonts w:asciiTheme="minorHAnsi" w:hAnsiTheme="minorHAnsi"/>
                <w:b/>
                <w:sz w:val="18"/>
                <w:szCs w:val="16"/>
                <w:lang w:val="en-US"/>
              </w:rPr>
            </w:pPr>
            <w:r>
              <w:rPr>
                <w:rFonts w:asciiTheme="minorHAnsi" w:hAnsiTheme="minorHAnsi"/>
                <w:b/>
                <w:sz w:val="18"/>
                <w:szCs w:val="16"/>
                <w:lang w:val="en-US"/>
              </w:rPr>
              <w:t xml:space="preserve">  </w:t>
            </w:r>
            <w:r w:rsidR="000155EA" w:rsidRPr="00CA35F4">
              <w:rPr>
                <w:rFonts w:asciiTheme="minorHAnsi" w:hAnsiTheme="minorHAnsi"/>
                <w:b/>
                <w:sz w:val="18"/>
                <w:szCs w:val="16"/>
                <w:lang w:val="en-US"/>
              </w:rPr>
              <w:t>Partial</w:t>
            </w:r>
            <w:r w:rsidR="000155EA">
              <w:rPr>
                <w:rFonts w:asciiTheme="minorHAnsi" w:hAnsiTheme="minorHAnsi"/>
                <w:b/>
                <w:sz w:val="18"/>
                <w:szCs w:val="16"/>
                <w:lang w:val="en-US"/>
              </w:rPr>
              <w:t xml:space="preserve"> Remission</w:t>
            </w:r>
          </w:p>
        </w:tc>
        <w:tc>
          <w:tcPr>
            <w:tcW w:w="2082" w:type="pct"/>
            <w:shd w:val="clear" w:color="auto" w:fill="D9D9D9" w:themeFill="background1" w:themeFillShade="D9"/>
            <w:vAlign w:val="center"/>
            <w:hideMark/>
          </w:tcPr>
          <w:p w14:paraId="4D49FFF2" w14:textId="77777777" w:rsidR="000155EA" w:rsidRPr="00CA35F4" w:rsidRDefault="000155EA" w:rsidP="007374FB">
            <w:pPr>
              <w:spacing w:line="240" w:lineRule="auto"/>
              <w:jc w:val="left"/>
              <w:rPr>
                <w:rFonts w:asciiTheme="minorHAnsi" w:hAnsiTheme="minorHAnsi"/>
                <w:b/>
                <w:sz w:val="18"/>
                <w:szCs w:val="16"/>
                <w:lang w:val="en-US"/>
              </w:rPr>
            </w:pPr>
            <w:r w:rsidRPr="00CA35F4">
              <w:rPr>
                <w:rFonts w:asciiTheme="minorHAnsi" w:hAnsiTheme="minorHAnsi"/>
                <w:b/>
                <w:sz w:val="18"/>
                <w:szCs w:val="16"/>
                <w:lang w:val="en-US"/>
              </w:rPr>
              <w:t>Partial metabolic response</w:t>
            </w:r>
          </w:p>
        </w:tc>
        <w:tc>
          <w:tcPr>
            <w:tcW w:w="2015" w:type="pct"/>
            <w:tcBorders>
              <w:top w:val="nil"/>
              <w:left w:val="nil"/>
              <w:bottom w:val="nil"/>
              <w:right w:val="single" w:sz="4" w:space="0" w:color="000000" w:themeColor="text1"/>
            </w:tcBorders>
            <w:shd w:val="clear" w:color="auto" w:fill="D9D9D9" w:themeFill="background1" w:themeFillShade="D9"/>
            <w:vAlign w:val="center"/>
            <w:hideMark/>
          </w:tcPr>
          <w:p w14:paraId="2AECC0C1" w14:textId="77777777" w:rsidR="000155EA" w:rsidRPr="00CA35F4" w:rsidRDefault="000155EA" w:rsidP="007374FB">
            <w:pPr>
              <w:spacing w:line="240" w:lineRule="auto"/>
              <w:jc w:val="left"/>
              <w:rPr>
                <w:rFonts w:asciiTheme="minorHAnsi" w:hAnsiTheme="minorHAnsi"/>
                <w:b/>
                <w:sz w:val="18"/>
                <w:szCs w:val="16"/>
                <w:lang w:val="en-US"/>
              </w:rPr>
            </w:pPr>
            <w:r w:rsidRPr="00CA35F4">
              <w:rPr>
                <w:rFonts w:asciiTheme="minorHAnsi" w:hAnsiTheme="minorHAnsi"/>
                <w:b/>
                <w:sz w:val="18"/>
                <w:szCs w:val="16"/>
                <w:lang w:val="en-US"/>
              </w:rPr>
              <w:t>Partial remission (all of the following)</w:t>
            </w:r>
          </w:p>
        </w:tc>
      </w:tr>
      <w:tr w:rsidR="000155EA" w:rsidRPr="00E57A6B" w14:paraId="7C4623AD" w14:textId="77777777" w:rsidTr="006C03F2">
        <w:trPr>
          <w:tblCellSpacing w:w="0" w:type="dxa"/>
        </w:trPr>
        <w:tc>
          <w:tcPr>
            <w:tcW w:w="903" w:type="pct"/>
            <w:tcBorders>
              <w:top w:val="nil"/>
              <w:left w:val="single" w:sz="4" w:space="0" w:color="000000" w:themeColor="text1"/>
              <w:bottom w:val="nil"/>
              <w:right w:val="nil"/>
            </w:tcBorders>
            <w:hideMark/>
          </w:tcPr>
          <w:p w14:paraId="69056168" w14:textId="77777777" w:rsidR="000155EA" w:rsidRPr="00CA35F4" w:rsidRDefault="000155EA" w:rsidP="007374FB">
            <w:pPr>
              <w:spacing w:line="240" w:lineRule="auto"/>
              <w:ind w:left="142"/>
              <w:jc w:val="left"/>
              <w:rPr>
                <w:rFonts w:asciiTheme="minorHAnsi" w:hAnsiTheme="minorHAnsi"/>
                <w:sz w:val="18"/>
                <w:szCs w:val="16"/>
                <w:lang w:val="en-US"/>
              </w:rPr>
            </w:pPr>
            <w:r w:rsidRPr="00CA35F4">
              <w:rPr>
                <w:rFonts w:asciiTheme="minorHAnsi" w:hAnsiTheme="minorHAnsi"/>
                <w:sz w:val="18"/>
                <w:szCs w:val="16"/>
                <w:lang w:val="en-US"/>
              </w:rPr>
              <w:t>Lymph nodes and extralymphatic sites</w:t>
            </w:r>
          </w:p>
        </w:tc>
        <w:tc>
          <w:tcPr>
            <w:tcW w:w="2082" w:type="pct"/>
            <w:hideMark/>
          </w:tcPr>
          <w:p w14:paraId="0E76C75F" w14:textId="0672617D" w:rsidR="000155EA" w:rsidRPr="00CA35F4" w:rsidRDefault="000155EA" w:rsidP="00C71FA8">
            <w:pPr>
              <w:spacing w:line="240" w:lineRule="auto"/>
              <w:ind w:right="170"/>
              <w:jc w:val="left"/>
              <w:rPr>
                <w:rFonts w:asciiTheme="minorHAnsi" w:hAnsiTheme="minorHAnsi"/>
                <w:sz w:val="18"/>
                <w:szCs w:val="16"/>
                <w:lang w:val="en-US"/>
              </w:rPr>
            </w:pPr>
            <w:r w:rsidRPr="00CA35F4">
              <w:rPr>
                <w:rFonts w:asciiTheme="minorHAnsi" w:hAnsiTheme="minorHAnsi"/>
                <w:sz w:val="18"/>
                <w:szCs w:val="16"/>
                <w:lang w:val="en-US"/>
              </w:rPr>
              <w:t>Score 4 or 5</w:t>
            </w:r>
            <w:r w:rsidRPr="008711D9">
              <w:rPr>
                <w:rFonts w:asciiTheme="minorHAnsi" w:hAnsiTheme="minorHAnsi"/>
                <w:sz w:val="18"/>
                <w:szCs w:val="16"/>
                <w:lang w:val="en-US"/>
              </w:rPr>
              <w:t xml:space="preserve"> </w:t>
            </w:r>
            <w:r w:rsidRPr="008711D9">
              <w:rPr>
                <w:rFonts w:asciiTheme="minorHAnsi" w:hAnsiTheme="minorHAnsi"/>
                <w:color w:val="FF0000"/>
                <w:sz w:val="18"/>
                <w:szCs w:val="16"/>
                <w:lang w:val="en-US"/>
              </w:rPr>
              <w:t>(</w:t>
            </w:r>
            <w:r>
              <w:rPr>
                <w:rFonts w:asciiTheme="minorHAnsi" w:hAnsiTheme="minorHAnsi"/>
                <w:color w:val="FF0000"/>
                <w:sz w:val="18"/>
                <w:szCs w:val="16"/>
                <w:lang w:val="en-US"/>
              </w:rPr>
              <w:t>2</w:t>
            </w:r>
            <w:r w:rsidRPr="008711D9">
              <w:rPr>
                <w:rFonts w:asciiTheme="minorHAnsi" w:hAnsiTheme="minorHAnsi"/>
                <w:color w:val="FF0000"/>
                <w:sz w:val="18"/>
                <w:szCs w:val="16"/>
                <w:lang w:val="en-US"/>
              </w:rPr>
              <w:t xml:space="preserve">) </w:t>
            </w:r>
            <w:r w:rsidRPr="00CA35F4">
              <w:rPr>
                <w:rFonts w:asciiTheme="minorHAnsi" w:hAnsiTheme="minorHAnsi"/>
                <w:sz w:val="18"/>
                <w:szCs w:val="16"/>
                <w:lang w:val="en-US"/>
              </w:rPr>
              <w:t>with reduced uptake compared with baseline and residual mass(es) of any size</w:t>
            </w:r>
          </w:p>
        </w:tc>
        <w:tc>
          <w:tcPr>
            <w:tcW w:w="2015" w:type="pct"/>
            <w:tcBorders>
              <w:top w:val="nil"/>
              <w:left w:val="nil"/>
              <w:bottom w:val="nil"/>
              <w:right w:val="single" w:sz="4" w:space="0" w:color="000000" w:themeColor="text1"/>
            </w:tcBorders>
            <w:hideMark/>
          </w:tcPr>
          <w:p w14:paraId="7DCB5343" w14:textId="77777777" w:rsidR="000155EA" w:rsidRPr="00CA35F4" w:rsidRDefault="000155EA" w:rsidP="007374FB">
            <w:pPr>
              <w:spacing w:line="240" w:lineRule="auto"/>
              <w:jc w:val="left"/>
              <w:rPr>
                <w:rFonts w:asciiTheme="minorHAnsi" w:hAnsiTheme="minorHAnsi"/>
                <w:sz w:val="18"/>
                <w:szCs w:val="16"/>
                <w:lang w:val="en-US"/>
              </w:rPr>
            </w:pPr>
            <w:r w:rsidRPr="00CA35F4">
              <w:rPr>
                <w:rFonts w:asciiTheme="minorHAnsi" w:hAnsiTheme="minorHAnsi"/>
                <w:sz w:val="18"/>
                <w:szCs w:val="16"/>
                <w:lang w:val="en-US"/>
              </w:rPr>
              <w:t>≥ 50% decrease in SPD of up to 6 target measurable nodes and extranodal sites</w:t>
            </w:r>
          </w:p>
        </w:tc>
      </w:tr>
      <w:tr w:rsidR="000155EA" w:rsidRPr="00E57A6B" w14:paraId="7D151535" w14:textId="77777777" w:rsidTr="006C03F2">
        <w:trPr>
          <w:tblCellSpacing w:w="0" w:type="dxa"/>
        </w:trPr>
        <w:tc>
          <w:tcPr>
            <w:tcW w:w="903" w:type="pct"/>
            <w:tcBorders>
              <w:top w:val="nil"/>
              <w:left w:val="single" w:sz="4" w:space="0" w:color="000000" w:themeColor="text1"/>
              <w:bottom w:val="nil"/>
              <w:right w:val="nil"/>
            </w:tcBorders>
            <w:hideMark/>
          </w:tcPr>
          <w:p w14:paraId="29D3AB3F" w14:textId="77777777" w:rsidR="000155EA" w:rsidRPr="00CA35F4" w:rsidRDefault="000155EA" w:rsidP="007374FB">
            <w:pPr>
              <w:jc w:val="left"/>
              <w:rPr>
                <w:rFonts w:asciiTheme="minorHAnsi" w:hAnsiTheme="minorHAnsi"/>
                <w:sz w:val="18"/>
                <w:szCs w:val="16"/>
                <w:lang w:val="en-US"/>
              </w:rPr>
            </w:pPr>
          </w:p>
        </w:tc>
        <w:tc>
          <w:tcPr>
            <w:tcW w:w="2082" w:type="pct"/>
            <w:hideMark/>
          </w:tcPr>
          <w:p w14:paraId="385D4C0E" w14:textId="77777777" w:rsidR="000155EA" w:rsidRPr="00CA35F4" w:rsidRDefault="000155EA" w:rsidP="007374FB">
            <w:pPr>
              <w:spacing w:line="240" w:lineRule="auto"/>
              <w:ind w:right="170"/>
              <w:jc w:val="left"/>
              <w:rPr>
                <w:rFonts w:asciiTheme="minorHAnsi" w:hAnsiTheme="minorHAnsi"/>
                <w:sz w:val="18"/>
                <w:szCs w:val="16"/>
                <w:lang w:val="en-US"/>
              </w:rPr>
            </w:pPr>
            <w:r w:rsidRPr="00CA35F4">
              <w:rPr>
                <w:rFonts w:asciiTheme="minorHAnsi" w:hAnsiTheme="minorHAnsi"/>
                <w:sz w:val="18"/>
                <w:szCs w:val="16"/>
                <w:lang w:val="en-US"/>
              </w:rPr>
              <w:t>At interim, these findings suggest responding disease</w:t>
            </w:r>
          </w:p>
        </w:tc>
        <w:tc>
          <w:tcPr>
            <w:tcW w:w="2015" w:type="pct"/>
            <w:tcBorders>
              <w:top w:val="nil"/>
              <w:left w:val="nil"/>
              <w:bottom w:val="nil"/>
              <w:right w:val="single" w:sz="4" w:space="0" w:color="000000" w:themeColor="text1"/>
            </w:tcBorders>
            <w:hideMark/>
          </w:tcPr>
          <w:p w14:paraId="6E3B8974" w14:textId="77777777" w:rsidR="000155EA" w:rsidRPr="00CA35F4" w:rsidRDefault="000155EA" w:rsidP="007374FB">
            <w:pPr>
              <w:spacing w:line="240" w:lineRule="auto"/>
              <w:jc w:val="left"/>
              <w:rPr>
                <w:rFonts w:asciiTheme="minorHAnsi" w:hAnsiTheme="minorHAnsi"/>
                <w:sz w:val="18"/>
                <w:szCs w:val="16"/>
                <w:lang w:val="en-US"/>
              </w:rPr>
            </w:pPr>
            <w:r w:rsidRPr="00CA35F4">
              <w:rPr>
                <w:rFonts w:asciiTheme="minorHAnsi" w:hAnsiTheme="minorHAnsi"/>
                <w:sz w:val="18"/>
                <w:szCs w:val="16"/>
                <w:lang w:val="en-US"/>
              </w:rPr>
              <w:t>When a lesion is too small to measure on CT, assign 5 mm × 5 mm as the default value</w:t>
            </w:r>
          </w:p>
        </w:tc>
      </w:tr>
      <w:tr w:rsidR="000155EA" w:rsidRPr="00E57A6B" w14:paraId="45F4F857" w14:textId="77777777" w:rsidTr="006C03F2">
        <w:trPr>
          <w:tblCellSpacing w:w="0" w:type="dxa"/>
        </w:trPr>
        <w:tc>
          <w:tcPr>
            <w:tcW w:w="903" w:type="pct"/>
            <w:tcBorders>
              <w:top w:val="nil"/>
              <w:left w:val="single" w:sz="4" w:space="0" w:color="000000" w:themeColor="text1"/>
              <w:bottom w:val="nil"/>
              <w:right w:val="nil"/>
            </w:tcBorders>
            <w:hideMark/>
          </w:tcPr>
          <w:p w14:paraId="2CDB8C04" w14:textId="77777777" w:rsidR="000155EA" w:rsidRPr="00CA35F4" w:rsidRDefault="000155EA" w:rsidP="007374FB">
            <w:pPr>
              <w:jc w:val="left"/>
              <w:rPr>
                <w:rFonts w:asciiTheme="minorHAnsi" w:hAnsiTheme="minorHAnsi"/>
                <w:sz w:val="18"/>
                <w:szCs w:val="16"/>
                <w:lang w:val="en-US"/>
              </w:rPr>
            </w:pPr>
          </w:p>
        </w:tc>
        <w:tc>
          <w:tcPr>
            <w:tcW w:w="2082" w:type="pct"/>
            <w:hideMark/>
          </w:tcPr>
          <w:p w14:paraId="7D972F5F" w14:textId="77777777" w:rsidR="000155EA" w:rsidRPr="00CA35F4" w:rsidRDefault="000155EA" w:rsidP="007374FB">
            <w:pPr>
              <w:spacing w:line="240" w:lineRule="auto"/>
              <w:ind w:right="170"/>
              <w:jc w:val="left"/>
              <w:rPr>
                <w:rFonts w:asciiTheme="minorHAnsi" w:hAnsiTheme="minorHAnsi"/>
                <w:sz w:val="18"/>
                <w:szCs w:val="16"/>
                <w:lang w:val="en-US"/>
              </w:rPr>
            </w:pPr>
            <w:r w:rsidRPr="00CA35F4">
              <w:rPr>
                <w:rFonts w:asciiTheme="minorHAnsi" w:hAnsiTheme="minorHAnsi"/>
                <w:sz w:val="18"/>
                <w:szCs w:val="16"/>
                <w:lang w:val="en-US"/>
              </w:rPr>
              <w:t>At end of treatment, these findings indicate residual disease</w:t>
            </w:r>
          </w:p>
        </w:tc>
        <w:tc>
          <w:tcPr>
            <w:tcW w:w="2015" w:type="pct"/>
            <w:tcBorders>
              <w:top w:val="nil"/>
              <w:left w:val="nil"/>
              <w:bottom w:val="nil"/>
              <w:right w:val="single" w:sz="4" w:space="0" w:color="000000" w:themeColor="text1"/>
            </w:tcBorders>
            <w:hideMark/>
          </w:tcPr>
          <w:p w14:paraId="2C013903" w14:textId="77777777" w:rsidR="000155EA" w:rsidRPr="00CA35F4" w:rsidRDefault="000155EA" w:rsidP="007374FB">
            <w:pPr>
              <w:spacing w:line="240" w:lineRule="auto"/>
              <w:jc w:val="left"/>
              <w:rPr>
                <w:rFonts w:asciiTheme="minorHAnsi" w:hAnsiTheme="minorHAnsi"/>
                <w:sz w:val="18"/>
                <w:szCs w:val="16"/>
                <w:lang w:val="en-US"/>
              </w:rPr>
            </w:pPr>
            <w:r w:rsidRPr="00CA35F4">
              <w:rPr>
                <w:rFonts w:asciiTheme="minorHAnsi" w:hAnsiTheme="minorHAnsi"/>
                <w:sz w:val="18"/>
                <w:szCs w:val="16"/>
                <w:lang w:val="en-US"/>
              </w:rPr>
              <w:t>When no longer visible, 0 × 0 mm</w:t>
            </w:r>
          </w:p>
        </w:tc>
      </w:tr>
      <w:tr w:rsidR="000155EA" w:rsidRPr="00E57A6B" w14:paraId="0575F4C6" w14:textId="77777777" w:rsidTr="006C03F2">
        <w:trPr>
          <w:tblCellSpacing w:w="0" w:type="dxa"/>
        </w:trPr>
        <w:tc>
          <w:tcPr>
            <w:tcW w:w="903" w:type="pct"/>
            <w:tcBorders>
              <w:top w:val="nil"/>
              <w:left w:val="single" w:sz="4" w:space="0" w:color="000000" w:themeColor="text1"/>
              <w:bottom w:val="nil"/>
              <w:right w:val="nil"/>
            </w:tcBorders>
            <w:hideMark/>
          </w:tcPr>
          <w:p w14:paraId="61E7E9AF" w14:textId="77777777" w:rsidR="000155EA" w:rsidRPr="00CA35F4" w:rsidRDefault="000155EA" w:rsidP="007374FB">
            <w:pPr>
              <w:jc w:val="left"/>
              <w:rPr>
                <w:rFonts w:asciiTheme="minorHAnsi" w:hAnsiTheme="minorHAnsi"/>
                <w:sz w:val="18"/>
                <w:szCs w:val="16"/>
                <w:lang w:val="en-US"/>
              </w:rPr>
            </w:pPr>
          </w:p>
        </w:tc>
        <w:tc>
          <w:tcPr>
            <w:tcW w:w="2082" w:type="pct"/>
            <w:hideMark/>
          </w:tcPr>
          <w:p w14:paraId="18FCD4BD" w14:textId="77777777" w:rsidR="000155EA" w:rsidRPr="004501B1" w:rsidRDefault="000155EA" w:rsidP="007374FB">
            <w:pPr>
              <w:spacing w:line="240" w:lineRule="auto"/>
              <w:jc w:val="left"/>
              <w:rPr>
                <w:rFonts w:ascii="Times New Roman" w:hAnsi="Times New Roman"/>
                <w:sz w:val="18"/>
                <w:lang w:val="en-GB" w:eastAsia="de-AT"/>
              </w:rPr>
            </w:pPr>
          </w:p>
        </w:tc>
        <w:tc>
          <w:tcPr>
            <w:tcW w:w="2015" w:type="pct"/>
            <w:tcBorders>
              <w:top w:val="nil"/>
              <w:left w:val="nil"/>
              <w:bottom w:val="nil"/>
              <w:right w:val="single" w:sz="4" w:space="0" w:color="000000" w:themeColor="text1"/>
            </w:tcBorders>
            <w:hideMark/>
          </w:tcPr>
          <w:p w14:paraId="367A1B4C" w14:textId="77777777" w:rsidR="000155EA" w:rsidRPr="00CA35F4" w:rsidRDefault="000155EA" w:rsidP="007374FB">
            <w:pPr>
              <w:spacing w:line="240" w:lineRule="auto"/>
              <w:jc w:val="left"/>
              <w:rPr>
                <w:rFonts w:asciiTheme="minorHAnsi" w:hAnsiTheme="minorHAnsi"/>
                <w:sz w:val="18"/>
                <w:szCs w:val="16"/>
                <w:lang w:val="en-US"/>
              </w:rPr>
            </w:pPr>
            <w:r w:rsidRPr="00CA35F4">
              <w:rPr>
                <w:rFonts w:asciiTheme="minorHAnsi" w:hAnsiTheme="minorHAnsi"/>
                <w:sz w:val="18"/>
                <w:szCs w:val="16"/>
                <w:lang w:val="en-US"/>
              </w:rPr>
              <w:t>For a node &gt; 5 mm × 5 mm, but smaller than normal, use actual measurement for calculation</w:t>
            </w:r>
          </w:p>
        </w:tc>
      </w:tr>
      <w:tr w:rsidR="000155EA" w:rsidRPr="00E57A6B" w14:paraId="760CE4FB" w14:textId="77777777" w:rsidTr="006C03F2">
        <w:trPr>
          <w:tblCellSpacing w:w="0" w:type="dxa"/>
        </w:trPr>
        <w:tc>
          <w:tcPr>
            <w:tcW w:w="903" w:type="pct"/>
            <w:tcBorders>
              <w:top w:val="nil"/>
              <w:left w:val="single" w:sz="4" w:space="0" w:color="000000" w:themeColor="text1"/>
              <w:bottom w:val="nil"/>
              <w:right w:val="nil"/>
            </w:tcBorders>
            <w:hideMark/>
          </w:tcPr>
          <w:p w14:paraId="193C1252" w14:textId="77777777" w:rsidR="000155EA" w:rsidRPr="00CA35F4" w:rsidRDefault="000155EA" w:rsidP="007374FB">
            <w:pPr>
              <w:spacing w:line="240" w:lineRule="auto"/>
              <w:ind w:left="142"/>
              <w:jc w:val="left"/>
              <w:rPr>
                <w:rFonts w:asciiTheme="minorHAnsi" w:hAnsiTheme="minorHAnsi"/>
                <w:sz w:val="18"/>
                <w:szCs w:val="16"/>
                <w:lang w:val="de-DE"/>
              </w:rPr>
            </w:pPr>
            <w:r w:rsidRPr="00CA35F4">
              <w:rPr>
                <w:rFonts w:asciiTheme="minorHAnsi" w:hAnsiTheme="minorHAnsi"/>
                <w:sz w:val="18"/>
                <w:szCs w:val="16"/>
                <w:lang w:val="de-DE"/>
              </w:rPr>
              <w:t>Nonmeasured lesions</w:t>
            </w:r>
          </w:p>
        </w:tc>
        <w:tc>
          <w:tcPr>
            <w:tcW w:w="2082" w:type="pct"/>
            <w:hideMark/>
          </w:tcPr>
          <w:p w14:paraId="309784B8" w14:textId="77777777" w:rsidR="000155EA" w:rsidRPr="00CA35F4" w:rsidRDefault="000155EA" w:rsidP="007374FB">
            <w:pPr>
              <w:spacing w:line="240" w:lineRule="auto"/>
              <w:ind w:right="170"/>
              <w:jc w:val="left"/>
              <w:rPr>
                <w:rFonts w:asciiTheme="minorHAnsi" w:hAnsiTheme="minorHAnsi"/>
                <w:sz w:val="18"/>
                <w:szCs w:val="16"/>
                <w:lang w:val="de-DE"/>
              </w:rPr>
            </w:pPr>
            <w:r w:rsidRPr="00CA35F4">
              <w:rPr>
                <w:rFonts w:asciiTheme="minorHAnsi" w:hAnsiTheme="minorHAnsi"/>
                <w:sz w:val="18"/>
                <w:szCs w:val="16"/>
                <w:lang w:val="de-DE"/>
              </w:rPr>
              <w:t>Not applicable</w:t>
            </w:r>
          </w:p>
        </w:tc>
        <w:tc>
          <w:tcPr>
            <w:tcW w:w="2015" w:type="pct"/>
            <w:tcBorders>
              <w:top w:val="nil"/>
              <w:left w:val="nil"/>
              <w:bottom w:val="nil"/>
              <w:right w:val="single" w:sz="4" w:space="0" w:color="000000" w:themeColor="text1"/>
            </w:tcBorders>
            <w:hideMark/>
          </w:tcPr>
          <w:p w14:paraId="3FCB51C6" w14:textId="77777777" w:rsidR="000155EA" w:rsidRPr="00CA35F4" w:rsidRDefault="000155EA" w:rsidP="007374FB">
            <w:pPr>
              <w:spacing w:line="240" w:lineRule="auto"/>
              <w:jc w:val="left"/>
              <w:rPr>
                <w:rFonts w:asciiTheme="minorHAnsi" w:hAnsiTheme="minorHAnsi"/>
                <w:sz w:val="18"/>
                <w:szCs w:val="16"/>
                <w:lang w:val="en-US"/>
              </w:rPr>
            </w:pPr>
            <w:r w:rsidRPr="00CA35F4">
              <w:rPr>
                <w:rFonts w:asciiTheme="minorHAnsi" w:hAnsiTheme="minorHAnsi"/>
                <w:sz w:val="18"/>
                <w:szCs w:val="16"/>
                <w:lang w:val="en-US"/>
              </w:rPr>
              <w:t>Absent/normal, regressed, but no increase</w:t>
            </w:r>
          </w:p>
        </w:tc>
      </w:tr>
      <w:tr w:rsidR="000155EA" w:rsidRPr="00E57A6B" w14:paraId="02A5CC6C" w14:textId="77777777" w:rsidTr="006C03F2">
        <w:trPr>
          <w:tblCellSpacing w:w="0" w:type="dxa"/>
        </w:trPr>
        <w:tc>
          <w:tcPr>
            <w:tcW w:w="903" w:type="pct"/>
            <w:tcBorders>
              <w:top w:val="nil"/>
              <w:left w:val="single" w:sz="4" w:space="0" w:color="000000" w:themeColor="text1"/>
              <w:bottom w:val="nil"/>
              <w:right w:val="nil"/>
            </w:tcBorders>
            <w:hideMark/>
          </w:tcPr>
          <w:p w14:paraId="67B95908" w14:textId="77777777" w:rsidR="000155EA" w:rsidRPr="00CA35F4" w:rsidRDefault="000155EA" w:rsidP="007374FB">
            <w:pPr>
              <w:spacing w:line="240" w:lineRule="auto"/>
              <w:ind w:left="142"/>
              <w:jc w:val="left"/>
              <w:rPr>
                <w:rFonts w:asciiTheme="minorHAnsi" w:hAnsiTheme="minorHAnsi"/>
                <w:sz w:val="18"/>
                <w:szCs w:val="16"/>
                <w:lang w:val="de-DE"/>
              </w:rPr>
            </w:pPr>
            <w:r w:rsidRPr="00CA35F4">
              <w:rPr>
                <w:rFonts w:asciiTheme="minorHAnsi" w:hAnsiTheme="minorHAnsi"/>
                <w:sz w:val="18"/>
                <w:szCs w:val="16"/>
                <w:lang w:val="de-DE"/>
              </w:rPr>
              <w:t>Organ enlargement</w:t>
            </w:r>
          </w:p>
        </w:tc>
        <w:tc>
          <w:tcPr>
            <w:tcW w:w="2082" w:type="pct"/>
            <w:hideMark/>
          </w:tcPr>
          <w:p w14:paraId="4C997ED1" w14:textId="77777777" w:rsidR="000155EA" w:rsidRPr="00CA35F4" w:rsidRDefault="000155EA" w:rsidP="007374FB">
            <w:pPr>
              <w:spacing w:line="240" w:lineRule="auto"/>
              <w:ind w:right="170"/>
              <w:jc w:val="left"/>
              <w:rPr>
                <w:rFonts w:asciiTheme="minorHAnsi" w:hAnsiTheme="minorHAnsi"/>
                <w:sz w:val="18"/>
                <w:szCs w:val="16"/>
                <w:lang w:val="de-DE"/>
              </w:rPr>
            </w:pPr>
            <w:r w:rsidRPr="00CA35F4">
              <w:rPr>
                <w:rFonts w:asciiTheme="minorHAnsi" w:hAnsiTheme="minorHAnsi"/>
                <w:sz w:val="18"/>
                <w:szCs w:val="16"/>
                <w:lang w:val="de-DE"/>
              </w:rPr>
              <w:t>Not applicable</w:t>
            </w:r>
          </w:p>
        </w:tc>
        <w:tc>
          <w:tcPr>
            <w:tcW w:w="2015" w:type="pct"/>
            <w:tcBorders>
              <w:top w:val="nil"/>
              <w:left w:val="nil"/>
              <w:bottom w:val="nil"/>
              <w:right w:val="single" w:sz="4" w:space="0" w:color="000000" w:themeColor="text1"/>
            </w:tcBorders>
            <w:hideMark/>
          </w:tcPr>
          <w:p w14:paraId="37A2FBE2" w14:textId="77777777" w:rsidR="000155EA" w:rsidRPr="00CA35F4" w:rsidRDefault="000155EA" w:rsidP="007374FB">
            <w:pPr>
              <w:spacing w:line="240" w:lineRule="auto"/>
              <w:jc w:val="left"/>
              <w:rPr>
                <w:rFonts w:asciiTheme="minorHAnsi" w:hAnsiTheme="minorHAnsi"/>
                <w:sz w:val="18"/>
                <w:szCs w:val="16"/>
                <w:lang w:val="en-US"/>
              </w:rPr>
            </w:pPr>
            <w:r w:rsidRPr="00CA35F4">
              <w:rPr>
                <w:rFonts w:asciiTheme="minorHAnsi" w:hAnsiTheme="minorHAnsi"/>
                <w:sz w:val="18"/>
                <w:szCs w:val="16"/>
                <w:lang w:val="en-US"/>
              </w:rPr>
              <w:t>Spleen must have regressed by &gt; 50% in length beyond normal</w:t>
            </w:r>
          </w:p>
        </w:tc>
      </w:tr>
      <w:tr w:rsidR="000155EA" w14:paraId="51597833" w14:textId="77777777" w:rsidTr="006C03F2">
        <w:trPr>
          <w:tblCellSpacing w:w="0" w:type="dxa"/>
        </w:trPr>
        <w:tc>
          <w:tcPr>
            <w:tcW w:w="903" w:type="pct"/>
            <w:tcBorders>
              <w:top w:val="nil"/>
              <w:left w:val="single" w:sz="4" w:space="0" w:color="000000" w:themeColor="text1"/>
              <w:bottom w:val="nil"/>
              <w:right w:val="nil"/>
            </w:tcBorders>
            <w:hideMark/>
          </w:tcPr>
          <w:p w14:paraId="2D9FEB01" w14:textId="77777777" w:rsidR="000155EA" w:rsidRPr="00CA35F4" w:rsidRDefault="000155EA" w:rsidP="007374FB">
            <w:pPr>
              <w:spacing w:line="240" w:lineRule="auto"/>
              <w:ind w:left="142"/>
              <w:jc w:val="left"/>
              <w:rPr>
                <w:rFonts w:asciiTheme="minorHAnsi" w:hAnsiTheme="minorHAnsi"/>
                <w:sz w:val="18"/>
                <w:szCs w:val="16"/>
                <w:lang w:val="de-DE"/>
              </w:rPr>
            </w:pPr>
            <w:r w:rsidRPr="00CA35F4">
              <w:rPr>
                <w:rFonts w:asciiTheme="minorHAnsi" w:hAnsiTheme="minorHAnsi"/>
                <w:sz w:val="18"/>
                <w:szCs w:val="16"/>
                <w:lang w:val="de-DE"/>
              </w:rPr>
              <w:t>New lesions</w:t>
            </w:r>
          </w:p>
        </w:tc>
        <w:tc>
          <w:tcPr>
            <w:tcW w:w="2082" w:type="pct"/>
            <w:hideMark/>
          </w:tcPr>
          <w:p w14:paraId="6B075FCD" w14:textId="77777777" w:rsidR="000155EA" w:rsidRPr="00CA35F4" w:rsidRDefault="000155EA" w:rsidP="007374FB">
            <w:pPr>
              <w:spacing w:line="240" w:lineRule="auto"/>
              <w:ind w:right="170"/>
              <w:jc w:val="left"/>
              <w:rPr>
                <w:rFonts w:asciiTheme="minorHAnsi" w:hAnsiTheme="minorHAnsi"/>
                <w:sz w:val="18"/>
                <w:szCs w:val="16"/>
                <w:lang w:val="de-DE"/>
              </w:rPr>
            </w:pPr>
            <w:r w:rsidRPr="00CA35F4">
              <w:rPr>
                <w:rFonts w:asciiTheme="minorHAnsi" w:hAnsiTheme="minorHAnsi"/>
                <w:sz w:val="18"/>
                <w:szCs w:val="16"/>
                <w:lang w:val="de-DE"/>
              </w:rPr>
              <w:t>None</w:t>
            </w:r>
          </w:p>
        </w:tc>
        <w:tc>
          <w:tcPr>
            <w:tcW w:w="2015" w:type="pct"/>
            <w:tcBorders>
              <w:top w:val="nil"/>
              <w:left w:val="nil"/>
              <w:bottom w:val="nil"/>
              <w:right w:val="single" w:sz="4" w:space="0" w:color="000000" w:themeColor="text1"/>
            </w:tcBorders>
            <w:hideMark/>
          </w:tcPr>
          <w:p w14:paraId="14F33589" w14:textId="77777777" w:rsidR="000155EA" w:rsidRPr="00CA35F4" w:rsidRDefault="000155EA" w:rsidP="007374FB">
            <w:pPr>
              <w:spacing w:line="240" w:lineRule="auto"/>
              <w:jc w:val="left"/>
              <w:rPr>
                <w:rFonts w:asciiTheme="minorHAnsi" w:hAnsiTheme="minorHAnsi"/>
                <w:sz w:val="18"/>
                <w:szCs w:val="16"/>
                <w:lang w:val="de-DE"/>
              </w:rPr>
            </w:pPr>
            <w:r w:rsidRPr="00CA35F4">
              <w:rPr>
                <w:rFonts w:asciiTheme="minorHAnsi" w:hAnsiTheme="minorHAnsi"/>
                <w:sz w:val="18"/>
                <w:szCs w:val="16"/>
                <w:lang w:val="de-DE"/>
              </w:rPr>
              <w:t>None</w:t>
            </w:r>
          </w:p>
        </w:tc>
      </w:tr>
      <w:tr w:rsidR="000155EA" w14:paraId="34D58927" w14:textId="77777777" w:rsidTr="006C03F2">
        <w:trPr>
          <w:tblCellSpacing w:w="0" w:type="dxa"/>
        </w:trPr>
        <w:tc>
          <w:tcPr>
            <w:tcW w:w="903" w:type="pct"/>
            <w:tcBorders>
              <w:top w:val="nil"/>
              <w:left w:val="single" w:sz="4" w:space="0" w:color="000000" w:themeColor="text1"/>
              <w:bottom w:val="nil"/>
              <w:right w:val="nil"/>
            </w:tcBorders>
            <w:hideMark/>
          </w:tcPr>
          <w:p w14:paraId="7065158A" w14:textId="77777777" w:rsidR="000155EA" w:rsidRPr="00CA35F4" w:rsidRDefault="000155EA" w:rsidP="007374FB">
            <w:pPr>
              <w:spacing w:line="240" w:lineRule="auto"/>
              <w:ind w:left="142"/>
              <w:jc w:val="left"/>
              <w:rPr>
                <w:rFonts w:asciiTheme="minorHAnsi" w:hAnsiTheme="minorHAnsi"/>
                <w:sz w:val="18"/>
                <w:szCs w:val="16"/>
                <w:lang w:val="de-DE"/>
              </w:rPr>
            </w:pPr>
            <w:r w:rsidRPr="00CA35F4">
              <w:rPr>
                <w:rFonts w:asciiTheme="minorHAnsi" w:hAnsiTheme="minorHAnsi"/>
                <w:sz w:val="18"/>
                <w:szCs w:val="16"/>
                <w:lang w:val="de-DE"/>
              </w:rPr>
              <w:t>Bone marrow</w:t>
            </w:r>
          </w:p>
        </w:tc>
        <w:tc>
          <w:tcPr>
            <w:tcW w:w="2082" w:type="pct"/>
            <w:hideMark/>
          </w:tcPr>
          <w:p w14:paraId="70F8473D" w14:textId="77777777" w:rsidR="000155EA" w:rsidRPr="00CA35F4" w:rsidRDefault="000155EA" w:rsidP="007374FB">
            <w:pPr>
              <w:spacing w:line="240" w:lineRule="auto"/>
              <w:ind w:right="170"/>
              <w:jc w:val="left"/>
              <w:rPr>
                <w:rFonts w:asciiTheme="minorHAnsi" w:hAnsiTheme="minorHAnsi"/>
                <w:sz w:val="18"/>
                <w:szCs w:val="16"/>
                <w:lang w:val="en-US"/>
              </w:rPr>
            </w:pPr>
            <w:r w:rsidRPr="00CA35F4">
              <w:rPr>
                <w:rFonts w:asciiTheme="minorHAnsi" w:hAnsiTheme="minorHAnsi"/>
                <w:sz w:val="18"/>
                <w:szCs w:val="16"/>
                <w:lang w:val="en-US"/>
              </w:rPr>
              <w:t>Residual uptake higher than uptake in normal marrow but reduced compared with baseline (diffuse uptake compatible with reactive changes from chemotherapy allowed). If there are persistent focal changes in the marrow in the context of a nodal response, consideration should be given to further evaluation with MRI or biopsy or an interval scan</w:t>
            </w:r>
          </w:p>
        </w:tc>
        <w:tc>
          <w:tcPr>
            <w:tcW w:w="2015" w:type="pct"/>
            <w:tcBorders>
              <w:top w:val="nil"/>
              <w:left w:val="nil"/>
              <w:bottom w:val="nil"/>
              <w:right w:val="single" w:sz="4" w:space="0" w:color="000000" w:themeColor="text1"/>
            </w:tcBorders>
            <w:hideMark/>
          </w:tcPr>
          <w:p w14:paraId="7FD1F5F4" w14:textId="77777777" w:rsidR="000155EA" w:rsidRPr="00CA35F4" w:rsidRDefault="000155EA" w:rsidP="007374FB">
            <w:pPr>
              <w:spacing w:line="240" w:lineRule="auto"/>
              <w:jc w:val="left"/>
              <w:rPr>
                <w:rFonts w:asciiTheme="minorHAnsi" w:hAnsiTheme="minorHAnsi"/>
                <w:sz w:val="18"/>
                <w:szCs w:val="16"/>
                <w:lang w:val="de-DE"/>
              </w:rPr>
            </w:pPr>
            <w:r w:rsidRPr="00CA35F4">
              <w:rPr>
                <w:rFonts w:asciiTheme="minorHAnsi" w:hAnsiTheme="minorHAnsi"/>
                <w:sz w:val="18"/>
                <w:szCs w:val="16"/>
                <w:lang w:val="de-DE"/>
              </w:rPr>
              <w:t>Not applicable</w:t>
            </w:r>
          </w:p>
        </w:tc>
      </w:tr>
    </w:tbl>
    <w:p w14:paraId="7EFB6C37" w14:textId="77777777" w:rsidR="006C03F2" w:rsidRPr="006C03F2" w:rsidRDefault="006C03F2" w:rsidP="006C03F2">
      <w:pPr>
        <w:jc w:val="left"/>
        <w:rPr>
          <w:sz w:val="24"/>
        </w:rPr>
      </w:pPr>
      <w:r w:rsidRPr="004501B1">
        <w:rPr>
          <w:rFonts w:asciiTheme="minorHAnsi" w:hAnsiTheme="minorHAnsi"/>
          <w:b/>
          <w:i/>
          <w:sz w:val="20"/>
          <w:szCs w:val="18"/>
        </w:rPr>
        <w:t xml:space="preserve">Fortsetzung der Tabelle und </w:t>
      </w:r>
      <w:r w:rsidRPr="004501B1">
        <w:rPr>
          <w:rFonts w:asciiTheme="minorHAnsi" w:hAnsiTheme="minorHAnsi"/>
          <w:b/>
          <w:i/>
          <w:color w:val="FF0000"/>
          <w:sz w:val="20"/>
          <w:szCs w:val="18"/>
        </w:rPr>
        <w:t xml:space="preserve">Legende </w:t>
      </w:r>
      <w:r w:rsidRPr="004501B1">
        <w:rPr>
          <w:rFonts w:asciiTheme="minorHAnsi" w:hAnsiTheme="minorHAnsi"/>
          <w:b/>
          <w:i/>
          <w:sz w:val="20"/>
          <w:szCs w:val="18"/>
        </w:rPr>
        <w:t>zur Tabelle auf der nächsten Seite</w:t>
      </w:r>
      <w:r w:rsidRPr="006C03F2">
        <w:rPr>
          <w:sz w:val="24"/>
        </w:rPr>
        <w:t xml:space="preserve"> </w:t>
      </w:r>
      <w:r w:rsidRPr="006C03F2">
        <w:rPr>
          <w:sz w:val="24"/>
        </w:rPr>
        <w:br w:type="page"/>
      </w:r>
    </w:p>
    <w:tbl>
      <w:tblPr>
        <w:tblW w:w="5440" w:type="pct"/>
        <w:tblCellSpacing w:w="0" w:type="dxa"/>
        <w:tblInd w:w="-426" w:type="dxa"/>
        <w:tblCellMar>
          <w:left w:w="0" w:type="dxa"/>
          <w:right w:w="0" w:type="dxa"/>
        </w:tblCellMar>
        <w:tblLook w:val="04A0" w:firstRow="1" w:lastRow="0" w:firstColumn="1" w:lastColumn="0" w:noHBand="0" w:noVBand="1"/>
      </w:tblPr>
      <w:tblGrid>
        <w:gridCol w:w="1842"/>
        <w:gridCol w:w="4250"/>
        <w:gridCol w:w="4105"/>
      </w:tblGrid>
      <w:tr w:rsidR="006C03F2" w:rsidRPr="00CA35F4" w14:paraId="2BD5F421" w14:textId="77777777" w:rsidTr="006C03F2">
        <w:trPr>
          <w:trHeight w:val="505"/>
          <w:tblCellSpacing w:w="0" w:type="dxa"/>
        </w:trPr>
        <w:tc>
          <w:tcPr>
            <w:tcW w:w="903" w:type="pct"/>
            <w:tcBorders>
              <w:top w:val="nil"/>
              <w:left w:val="single" w:sz="4" w:space="0" w:color="000000" w:themeColor="text1"/>
              <w:bottom w:val="nil"/>
              <w:right w:val="nil"/>
            </w:tcBorders>
            <w:shd w:val="clear" w:color="auto" w:fill="595959" w:themeFill="text1" w:themeFillTint="A6"/>
            <w:vAlign w:val="center"/>
          </w:tcPr>
          <w:p w14:paraId="0E736C06" w14:textId="77777777" w:rsidR="006C03F2" w:rsidRDefault="006C03F2" w:rsidP="006C03F2">
            <w:pPr>
              <w:spacing w:line="240" w:lineRule="auto"/>
              <w:jc w:val="left"/>
              <w:rPr>
                <w:rFonts w:asciiTheme="minorHAnsi" w:hAnsiTheme="minorHAnsi"/>
                <w:b/>
                <w:sz w:val="18"/>
                <w:szCs w:val="16"/>
                <w:lang w:val="en-US"/>
              </w:rPr>
            </w:pPr>
            <w:r w:rsidRPr="00CA35F4">
              <w:rPr>
                <w:rFonts w:asciiTheme="minorHAnsi" w:hAnsiTheme="minorHAnsi"/>
                <w:b/>
                <w:bCs/>
                <w:color w:val="FFFFFF" w:themeColor="background1"/>
                <w:szCs w:val="16"/>
                <w:lang w:val="en-US"/>
              </w:rPr>
              <w:lastRenderedPageBreak/>
              <w:t>Response and Site</w:t>
            </w:r>
          </w:p>
        </w:tc>
        <w:tc>
          <w:tcPr>
            <w:tcW w:w="2084" w:type="pct"/>
            <w:shd w:val="clear" w:color="auto" w:fill="595959" w:themeFill="text1" w:themeFillTint="A6"/>
            <w:vAlign w:val="center"/>
          </w:tcPr>
          <w:p w14:paraId="7D03E756" w14:textId="77777777" w:rsidR="006C03F2" w:rsidRPr="00CA35F4" w:rsidRDefault="006C03F2" w:rsidP="006C03F2">
            <w:pPr>
              <w:spacing w:line="240" w:lineRule="auto"/>
              <w:jc w:val="left"/>
              <w:rPr>
                <w:rFonts w:asciiTheme="minorHAnsi" w:hAnsiTheme="minorHAnsi"/>
                <w:b/>
                <w:sz w:val="18"/>
                <w:szCs w:val="16"/>
                <w:lang w:val="en-US"/>
              </w:rPr>
            </w:pPr>
            <w:r w:rsidRPr="00CA35F4">
              <w:rPr>
                <w:rFonts w:asciiTheme="minorHAnsi" w:hAnsiTheme="minorHAnsi"/>
                <w:b/>
                <w:bCs/>
                <w:color w:val="FFFFFF" w:themeColor="background1"/>
                <w:szCs w:val="16"/>
                <w:lang w:val="en-US"/>
              </w:rPr>
              <w:t>PET-CT–Based Response</w:t>
            </w:r>
          </w:p>
        </w:tc>
        <w:tc>
          <w:tcPr>
            <w:tcW w:w="2013" w:type="pct"/>
            <w:tcBorders>
              <w:top w:val="nil"/>
              <w:left w:val="nil"/>
              <w:bottom w:val="nil"/>
              <w:right w:val="single" w:sz="4" w:space="0" w:color="000000" w:themeColor="text1"/>
            </w:tcBorders>
            <w:shd w:val="clear" w:color="auto" w:fill="595959" w:themeFill="text1" w:themeFillTint="A6"/>
            <w:vAlign w:val="center"/>
          </w:tcPr>
          <w:p w14:paraId="19CEC12F" w14:textId="77777777" w:rsidR="006C03F2" w:rsidRPr="00CA35F4" w:rsidRDefault="006C03F2" w:rsidP="006C03F2">
            <w:pPr>
              <w:spacing w:line="240" w:lineRule="auto"/>
              <w:jc w:val="left"/>
              <w:rPr>
                <w:rFonts w:asciiTheme="minorHAnsi" w:hAnsiTheme="minorHAnsi"/>
                <w:b/>
                <w:sz w:val="18"/>
                <w:szCs w:val="16"/>
                <w:lang w:val="en-US"/>
              </w:rPr>
            </w:pPr>
            <w:r w:rsidRPr="00CA35F4">
              <w:rPr>
                <w:rFonts w:asciiTheme="minorHAnsi" w:hAnsiTheme="minorHAnsi"/>
                <w:b/>
                <w:bCs/>
                <w:color w:val="FFFFFF" w:themeColor="background1"/>
                <w:szCs w:val="16"/>
                <w:lang w:val="en-US"/>
              </w:rPr>
              <w:t>CT-Based Response</w:t>
            </w:r>
          </w:p>
        </w:tc>
      </w:tr>
      <w:tr w:rsidR="006C03F2" w:rsidRPr="00CA35F4" w14:paraId="637638D7" w14:textId="77777777" w:rsidTr="006C03F2">
        <w:trPr>
          <w:trHeight w:val="505"/>
          <w:tblCellSpacing w:w="0" w:type="dxa"/>
        </w:trPr>
        <w:tc>
          <w:tcPr>
            <w:tcW w:w="903" w:type="pct"/>
            <w:tcBorders>
              <w:top w:val="nil"/>
              <w:left w:val="single" w:sz="4" w:space="0" w:color="000000" w:themeColor="text1"/>
              <w:bottom w:val="nil"/>
              <w:right w:val="nil"/>
            </w:tcBorders>
            <w:shd w:val="clear" w:color="auto" w:fill="D9D9D9" w:themeFill="background1" w:themeFillShade="D9"/>
            <w:vAlign w:val="center"/>
            <w:hideMark/>
          </w:tcPr>
          <w:p w14:paraId="4A03577A" w14:textId="77777777" w:rsidR="006C03F2" w:rsidRPr="00CA35F4" w:rsidRDefault="006C03F2" w:rsidP="006C03F2">
            <w:pPr>
              <w:spacing w:line="240" w:lineRule="auto"/>
              <w:jc w:val="left"/>
              <w:rPr>
                <w:rFonts w:asciiTheme="minorHAnsi" w:hAnsiTheme="minorHAnsi"/>
                <w:b/>
                <w:sz w:val="18"/>
                <w:szCs w:val="16"/>
                <w:lang w:val="en-US"/>
              </w:rPr>
            </w:pPr>
            <w:r>
              <w:rPr>
                <w:rFonts w:asciiTheme="minorHAnsi" w:hAnsiTheme="minorHAnsi"/>
                <w:b/>
                <w:sz w:val="18"/>
                <w:szCs w:val="16"/>
                <w:lang w:val="en-US"/>
              </w:rPr>
              <w:t xml:space="preserve">  S</w:t>
            </w:r>
            <w:r w:rsidRPr="00CA35F4">
              <w:rPr>
                <w:rFonts w:asciiTheme="minorHAnsi" w:hAnsiTheme="minorHAnsi"/>
                <w:b/>
                <w:sz w:val="18"/>
                <w:szCs w:val="16"/>
                <w:lang w:val="en-US"/>
              </w:rPr>
              <w:t>table disease</w:t>
            </w:r>
          </w:p>
        </w:tc>
        <w:tc>
          <w:tcPr>
            <w:tcW w:w="2084" w:type="pct"/>
            <w:shd w:val="clear" w:color="auto" w:fill="D9D9D9" w:themeFill="background1" w:themeFillShade="D9"/>
            <w:vAlign w:val="center"/>
            <w:hideMark/>
          </w:tcPr>
          <w:p w14:paraId="7D3FB3B7" w14:textId="77777777" w:rsidR="006C03F2" w:rsidRPr="00CA35F4" w:rsidRDefault="006C03F2" w:rsidP="006C03F2">
            <w:pPr>
              <w:spacing w:line="240" w:lineRule="auto"/>
              <w:jc w:val="left"/>
              <w:rPr>
                <w:rFonts w:asciiTheme="minorHAnsi" w:hAnsiTheme="minorHAnsi"/>
                <w:b/>
                <w:sz w:val="18"/>
                <w:szCs w:val="16"/>
                <w:lang w:val="en-US"/>
              </w:rPr>
            </w:pPr>
            <w:r w:rsidRPr="00CA35F4">
              <w:rPr>
                <w:rFonts w:asciiTheme="minorHAnsi" w:hAnsiTheme="minorHAnsi"/>
                <w:b/>
                <w:sz w:val="18"/>
                <w:szCs w:val="16"/>
                <w:lang w:val="en-US"/>
              </w:rPr>
              <w:t>No metabolic response</w:t>
            </w:r>
          </w:p>
        </w:tc>
        <w:tc>
          <w:tcPr>
            <w:tcW w:w="2013" w:type="pct"/>
            <w:tcBorders>
              <w:top w:val="nil"/>
              <w:left w:val="nil"/>
              <w:bottom w:val="nil"/>
              <w:right w:val="single" w:sz="4" w:space="0" w:color="000000" w:themeColor="text1"/>
            </w:tcBorders>
            <w:shd w:val="clear" w:color="auto" w:fill="D9D9D9" w:themeFill="background1" w:themeFillShade="D9"/>
            <w:vAlign w:val="center"/>
            <w:hideMark/>
          </w:tcPr>
          <w:p w14:paraId="0FDE6FDD" w14:textId="77777777" w:rsidR="006C03F2" w:rsidRPr="00CA35F4" w:rsidRDefault="006C03F2" w:rsidP="006C03F2">
            <w:pPr>
              <w:spacing w:line="240" w:lineRule="auto"/>
              <w:jc w:val="left"/>
              <w:rPr>
                <w:rFonts w:asciiTheme="minorHAnsi" w:hAnsiTheme="minorHAnsi"/>
                <w:b/>
                <w:sz w:val="18"/>
                <w:szCs w:val="16"/>
                <w:lang w:val="en-US"/>
              </w:rPr>
            </w:pPr>
            <w:r w:rsidRPr="00CA35F4">
              <w:rPr>
                <w:rFonts w:asciiTheme="minorHAnsi" w:hAnsiTheme="minorHAnsi"/>
                <w:b/>
                <w:sz w:val="18"/>
                <w:szCs w:val="16"/>
                <w:lang w:val="en-US"/>
              </w:rPr>
              <w:t>Stable disease</w:t>
            </w:r>
          </w:p>
        </w:tc>
      </w:tr>
      <w:tr w:rsidR="006C03F2" w:rsidRPr="00E57A6B" w14:paraId="0ED43DCB" w14:textId="77777777" w:rsidTr="006C03F2">
        <w:trPr>
          <w:tblCellSpacing w:w="0" w:type="dxa"/>
        </w:trPr>
        <w:tc>
          <w:tcPr>
            <w:tcW w:w="903" w:type="pct"/>
            <w:tcBorders>
              <w:top w:val="nil"/>
              <w:left w:val="single" w:sz="4" w:space="0" w:color="000000" w:themeColor="text1"/>
              <w:bottom w:val="nil"/>
              <w:right w:val="nil"/>
            </w:tcBorders>
            <w:shd w:val="clear" w:color="auto" w:fill="FFFFFF" w:themeFill="background1"/>
            <w:hideMark/>
          </w:tcPr>
          <w:p w14:paraId="496F7BDA" w14:textId="77777777" w:rsidR="006C03F2" w:rsidRPr="00CA35F4" w:rsidRDefault="006C03F2" w:rsidP="006C03F2">
            <w:pPr>
              <w:spacing w:line="240" w:lineRule="auto"/>
              <w:ind w:left="142"/>
              <w:jc w:val="left"/>
              <w:rPr>
                <w:rFonts w:asciiTheme="minorHAnsi" w:hAnsiTheme="minorHAnsi"/>
                <w:sz w:val="18"/>
                <w:szCs w:val="16"/>
                <w:lang w:val="en-US"/>
              </w:rPr>
            </w:pPr>
            <w:r w:rsidRPr="00CA35F4">
              <w:rPr>
                <w:rFonts w:asciiTheme="minorHAnsi" w:hAnsiTheme="minorHAnsi"/>
                <w:sz w:val="18"/>
                <w:szCs w:val="16"/>
                <w:lang w:val="en-US"/>
              </w:rPr>
              <w:t>Target nodes/nodal masses, extranodal lesions</w:t>
            </w:r>
          </w:p>
        </w:tc>
        <w:tc>
          <w:tcPr>
            <w:tcW w:w="2084" w:type="pct"/>
            <w:shd w:val="clear" w:color="auto" w:fill="FFFFFF" w:themeFill="background1"/>
            <w:hideMark/>
          </w:tcPr>
          <w:p w14:paraId="54EF3BAD" w14:textId="77777777" w:rsidR="006C03F2" w:rsidRPr="00CA35F4" w:rsidRDefault="006C03F2" w:rsidP="006C03F2">
            <w:pPr>
              <w:spacing w:line="240" w:lineRule="auto"/>
              <w:ind w:right="170"/>
              <w:jc w:val="left"/>
              <w:rPr>
                <w:rFonts w:asciiTheme="minorHAnsi" w:hAnsiTheme="minorHAnsi"/>
                <w:sz w:val="18"/>
                <w:szCs w:val="16"/>
                <w:lang w:val="en-US"/>
              </w:rPr>
            </w:pPr>
            <w:r w:rsidRPr="00CA35F4">
              <w:rPr>
                <w:rFonts w:asciiTheme="minorHAnsi" w:hAnsiTheme="minorHAnsi"/>
                <w:sz w:val="18"/>
                <w:szCs w:val="16"/>
                <w:lang w:val="en-US"/>
              </w:rPr>
              <w:t xml:space="preserve">Score 4 or 5 </w:t>
            </w:r>
            <w:r w:rsidRPr="003561E7">
              <w:rPr>
                <w:rFonts w:asciiTheme="minorHAnsi" w:hAnsiTheme="minorHAnsi"/>
                <w:color w:val="FF0000"/>
                <w:sz w:val="18"/>
                <w:szCs w:val="16"/>
                <w:lang w:val="en-US"/>
              </w:rPr>
              <w:t xml:space="preserve">(2) </w:t>
            </w:r>
            <w:r w:rsidRPr="00CA35F4">
              <w:rPr>
                <w:rFonts w:asciiTheme="minorHAnsi" w:hAnsiTheme="minorHAnsi"/>
                <w:sz w:val="18"/>
                <w:szCs w:val="16"/>
                <w:lang w:val="en-US"/>
              </w:rPr>
              <w:t>with no significant change in FDG uptake from baseline at interim or end of treatment</w:t>
            </w:r>
          </w:p>
        </w:tc>
        <w:tc>
          <w:tcPr>
            <w:tcW w:w="2013" w:type="pct"/>
            <w:tcBorders>
              <w:top w:val="nil"/>
              <w:left w:val="nil"/>
              <w:bottom w:val="nil"/>
              <w:right w:val="single" w:sz="4" w:space="0" w:color="000000" w:themeColor="text1"/>
            </w:tcBorders>
            <w:shd w:val="clear" w:color="auto" w:fill="FFFFFF" w:themeFill="background1"/>
            <w:hideMark/>
          </w:tcPr>
          <w:p w14:paraId="78D141BF" w14:textId="77777777" w:rsidR="006C03F2" w:rsidRPr="00CA35F4" w:rsidRDefault="006C03F2" w:rsidP="006C03F2">
            <w:pPr>
              <w:spacing w:line="240" w:lineRule="auto"/>
              <w:jc w:val="left"/>
              <w:rPr>
                <w:rFonts w:asciiTheme="minorHAnsi" w:hAnsiTheme="minorHAnsi"/>
                <w:sz w:val="18"/>
                <w:szCs w:val="16"/>
                <w:lang w:val="en-US"/>
              </w:rPr>
            </w:pPr>
            <w:r w:rsidRPr="00CA35F4">
              <w:rPr>
                <w:rFonts w:asciiTheme="minorHAnsi" w:hAnsiTheme="minorHAnsi"/>
                <w:sz w:val="18"/>
                <w:szCs w:val="16"/>
                <w:lang w:val="en-US"/>
              </w:rPr>
              <w:t>&lt; 50% decrease from baseline in SPD of up to 6 dominant, measurable nodes and extranodal sites; no criteria for progressive disease are met</w:t>
            </w:r>
          </w:p>
        </w:tc>
      </w:tr>
      <w:tr w:rsidR="006C03F2" w:rsidRPr="00E57A6B" w14:paraId="13BA0CD4" w14:textId="77777777" w:rsidTr="006C03F2">
        <w:trPr>
          <w:tblCellSpacing w:w="0" w:type="dxa"/>
        </w:trPr>
        <w:tc>
          <w:tcPr>
            <w:tcW w:w="903" w:type="pct"/>
            <w:tcBorders>
              <w:top w:val="nil"/>
              <w:left w:val="single" w:sz="4" w:space="0" w:color="000000" w:themeColor="text1"/>
              <w:bottom w:val="nil"/>
              <w:right w:val="nil"/>
            </w:tcBorders>
            <w:shd w:val="clear" w:color="auto" w:fill="FFFFFF" w:themeFill="background1"/>
            <w:hideMark/>
          </w:tcPr>
          <w:p w14:paraId="7F533C88" w14:textId="77777777" w:rsidR="006C03F2" w:rsidRPr="00CA35F4" w:rsidRDefault="006C03F2" w:rsidP="006C03F2">
            <w:pPr>
              <w:spacing w:line="240" w:lineRule="auto"/>
              <w:ind w:left="142"/>
              <w:jc w:val="left"/>
              <w:rPr>
                <w:rFonts w:asciiTheme="minorHAnsi" w:hAnsiTheme="minorHAnsi"/>
                <w:sz w:val="18"/>
                <w:szCs w:val="16"/>
                <w:lang w:val="de-DE"/>
              </w:rPr>
            </w:pPr>
            <w:r w:rsidRPr="00CA35F4">
              <w:rPr>
                <w:rFonts w:asciiTheme="minorHAnsi" w:hAnsiTheme="minorHAnsi"/>
                <w:sz w:val="18"/>
                <w:szCs w:val="16"/>
                <w:lang w:val="de-DE"/>
              </w:rPr>
              <w:t>Nonmeasured lesions</w:t>
            </w:r>
          </w:p>
        </w:tc>
        <w:tc>
          <w:tcPr>
            <w:tcW w:w="2084" w:type="pct"/>
            <w:shd w:val="clear" w:color="auto" w:fill="FFFFFF" w:themeFill="background1"/>
            <w:hideMark/>
          </w:tcPr>
          <w:p w14:paraId="3746188E" w14:textId="77777777" w:rsidR="006C03F2" w:rsidRPr="00CA35F4" w:rsidRDefault="006C03F2" w:rsidP="006C03F2">
            <w:pPr>
              <w:spacing w:line="240" w:lineRule="auto"/>
              <w:ind w:right="170"/>
              <w:jc w:val="left"/>
              <w:rPr>
                <w:rFonts w:asciiTheme="minorHAnsi" w:hAnsiTheme="minorHAnsi"/>
                <w:sz w:val="18"/>
                <w:szCs w:val="16"/>
                <w:lang w:val="de-DE"/>
              </w:rPr>
            </w:pPr>
            <w:r w:rsidRPr="00CA35F4">
              <w:rPr>
                <w:rFonts w:asciiTheme="minorHAnsi" w:hAnsiTheme="minorHAnsi"/>
                <w:sz w:val="18"/>
                <w:szCs w:val="16"/>
                <w:lang w:val="de-DE"/>
              </w:rPr>
              <w:t>Not applicable</w:t>
            </w:r>
          </w:p>
        </w:tc>
        <w:tc>
          <w:tcPr>
            <w:tcW w:w="2013" w:type="pct"/>
            <w:tcBorders>
              <w:top w:val="nil"/>
              <w:left w:val="nil"/>
              <w:bottom w:val="nil"/>
              <w:right w:val="single" w:sz="4" w:space="0" w:color="000000" w:themeColor="text1"/>
            </w:tcBorders>
            <w:shd w:val="clear" w:color="auto" w:fill="FFFFFF" w:themeFill="background1"/>
            <w:hideMark/>
          </w:tcPr>
          <w:p w14:paraId="1728CFD6" w14:textId="77777777" w:rsidR="006C03F2" w:rsidRPr="00CA35F4" w:rsidRDefault="006C03F2" w:rsidP="006C03F2">
            <w:pPr>
              <w:spacing w:line="240" w:lineRule="auto"/>
              <w:jc w:val="left"/>
              <w:rPr>
                <w:rFonts w:asciiTheme="minorHAnsi" w:hAnsiTheme="minorHAnsi"/>
                <w:sz w:val="18"/>
                <w:szCs w:val="16"/>
                <w:lang w:val="en-US"/>
              </w:rPr>
            </w:pPr>
            <w:r w:rsidRPr="00CA35F4">
              <w:rPr>
                <w:rFonts w:asciiTheme="minorHAnsi" w:hAnsiTheme="minorHAnsi"/>
                <w:sz w:val="18"/>
                <w:szCs w:val="16"/>
                <w:lang w:val="en-US"/>
              </w:rPr>
              <w:t>No increase consistent with progression</w:t>
            </w:r>
          </w:p>
        </w:tc>
      </w:tr>
      <w:tr w:rsidR="006C03F2" w:rsidRPr="00E57A6B" w14:paraId="0FCDD6E5" w14:textId="77777777" w:rsidTr="006C03F2">
        <w:trPr>
          <w:tblCellSpacing w:w="0" w:type="dxa"/>
        </w:trPr>
        <w:tc>
          <w:tcPr>
            <w:tcW w:w="903" w:type="pct"/>
            <w:tcBorders>
              <w:top w:val="nil"/>
              <w:left w:val="single" w:sz="4" w:space="0" w:color="000000" w:themeColor="text1"/>
              <w:bottom w:val="nil"/>
              <w:right w:val="nil"/>
            </w:tcBorders>
            <w:shd w:val="clear" w:color="auto" w:fill="FFFFFF" w:themeFill="background1"/>
            <w:hideMark/>
          </w:tcPr>
          <w:p w14:paraId="638ACA73" w14:textId="77777777" w:rsidR="006C03F2" w:rsidRPr="00CA35F4" w:rsidRDefault="006C03F2" w:rsidP="006C03F2">
            <w:pPr>
              <w:spacing w:line="240" w:lineRule="auto"/>
              <w:ind w:left="142"/>
              <w:jc w:val="left"/>
              <w:rPr>
                <w:rFonts w:asciiTheme="minorHAnsi" w:hAnsiTheme="minorHAnsi"/>
                <w:sz w:val="18"/>
                <w:szCs w:val="16"/>
                <w:lang w:val="de-DE"/>
              </w:rPr>
            </w:pPr>
            <w:r w:rsidRPr="00CA35F4">
              <w:rPr>
                <w:rFonts w:asciiTheme="minorHAnsi" w:hAnsiTheme="minorHAnsi"/>
                <w:sz w:val="18"/>
                <w:szCs w:val="16"/>
                <w:lang w:val="de-DE"/>
              </w:rPr>
              <w:t>Organ enlargement</w:t>
            </w:r>
          </w:p>
        </w:tc>
        <w:tc>
          <w:tcPr>
            <w:tcW w:w="2084" w:type="pct"/>
            <w:shd w:val="clear" w:color="auto" w:fill="FFFFFF" w:themeFill="background1"/>
            <w:hideMark/>
          </w:tcPr>
          <w:p w14:paraId="5E8588C6" w14:textId="77777777" w:rsidR="006C03F2" w:rsidRPr="00CA35F4" w:rsidRDefault="006C03F2" w:rsidP="006C03F2">
            <w:pPr>
              <w:spacing w:line="240" w:lineRule="auto"/>
              <w:ind w:right="170"/>
              <w:jc w:val="left"/>
              <w:rPr>
                <w:rFonts w:asciiTheme="minorHAnsi" w:hAnsiTheme="minorHAnsi"/>
                <w:sz w:val="18"/>
                <w:szCs w:val="16"/>
                <w:lang w:val="de-DE"/>
              </w:rPr>
            </w:pPr>
            <w:r w:rsidRPr="00CA35F4">
              <w:rPr>
                <w:rFonts w:asciiTheme="minorHAnsi" w:hAnsiTheme="minorHAnsi"/>
                <w:sz w:val="18"/>
                <w:szCs w:val="16"/>
                <w:lang w:val="de-DE"/>
              </w:rPr>
              <w:t>Not applicable</w:t>
            </w:r>
          </w:p>
        </w:tc>
        <w:tc>
          <w:tcPr>
            <w:tcW w:w="2013" w:type="pct"/>
            <w:tcBorders>
              <w:top w:val="nil"/>
              <w:left w:val="nil"/>
              <w:bottom w:val="nil"/>
              <w:right w:val="single" w:sz="4" w:space="0" w:color="000000" w:themeColor="text1"/>
            </w:tcBorders>
            <w:shd w:val="clear" w:color="auto" w:fill="FFFFFF" w:themeFill="background1"/>
            <w:hideMark/>
          </w:tcPr>
          <w:p w14:paraId="43DCFC74" w14:textId="77777777" w:rsidR="006C03F2" w:rsidRPr="00CA35F4" w:rsidRDefault="006C03F2" w:rsidP="006C03F2">
            <w:pPr>
              <w:spacing w:line="240" w:lineRule="auto"/>
              <w:jc w:val="left"/>
              <w:rPr>
                <w:rFonts w:asciiTheme="minorHAnsi" w:hAnsiTheme="minorHAnsi"/>
                <w:sz w:val="18"/>
                <w:szCs w:val="16"/>
                <w:lang w:val="en-US"/>
              </w:rPr>
            </w:pPr>
            <w:r w:rsidRPr="00CA35F4">
              <w:rPr>
                <w:rFonts w:asciiTheme="minorHAnsi" w:hAnsiTheme="minorHAnsi"/>
                <w:sz w:val="18"/>
                <w:szCs w:val="16"/>
                <w:lang w:val="en-US"/>
              </w:rPr>
              <w:t>No increase consistent with progression</w:t>
            </w:r>
          </w:p>
        </w:tc>
      </w:tr>
      <w:tr w:rsidR="006C03F2" w14:paraId="7EB1FA1E" w14:textId="77777777" w:rsidTr="006C03F2">
        <w:trPr>
          <w:tblCellSpacing w:w="0" w:type="dxa"/>
        </w:trPr>
        <w:tc>
          <w:tcPr>
            <w:tcW w:w="903" w:type="pct"/>
            <w:tcBorders>
              <w:top w:val="nil"/>
              <w:left w:val="single" w:sz="4" w:space="0" w:color="000000" w:themeColor="text1"/>
              <w:bottom w:val="nil"/>
              <w:right w:val="nil"/>
            </w:tcBorders>
            <w:shd w:val="clear" w:color="auto" w:fill="FFFFFF" w:themeFill="background1"/>
            <w:hideMark/>
          </w:tcPr>
          <w:p w14:paraId="66B9C01E" w14:textId="77777777" w:rsidR="006C03F2" w:rsidRPr="00CA35F4" w:rsidRDefault="006C03F2" w:rsidP="006C03F2">
            <w:pPr>
              <w:spacing w:line="240" w:lineRule="auto"/>
              <w:ind w:left="142"/>
              <w:jc w:val="left"/>
              <w:rPr>
                <w:rFonts w:asciiTheme="minorHAnsi" w:hAnsiTheme="minorHAnsi"/>
                <w:sz w:val="18"/>
                <w:szCs w:val="16"/>
                <w:lang w:val="de-DE"/>
              </w:rPr>
            </w:pPr>
            <w:r w:rsidRPr="00CA35F4">
              <w:rPr>
                <w:rFonts w:asciiTheme="minorHAnsi" w:hAnsiTheme="minorHAnsi"/>
                <w:sz w:val="18"/>
                <w:szCs w:val="16"/>
                <w:lang w:val="de-DE"/>
              </w:rPr>
              <w:t>New lesions</w:t>
            </w:r>
          </w:p>
        </w:tc>
        <w:tc>
          <w:tcPr>
            <w:tcW w:w="2084" w:type="pct"/>
            <w:shd w:val="clear" w:color="auto" w:fill="FFFFFF" w:themeFill="background1"/>
            <w:hideMark/>
          </w:tcPr>
          <w:p w14:paraId="7F0C3030" w14:textId="77777777" w:rsidR="006C03F2" w:rsidRPr="00CA35F4" w:rsidRDefault="006C03F2" w:rsidP="006C03F2">
            <w:pPr>
              <w:spacing w:line="240" w:lineRule="auto"/>
              <w:ind w:right="170"/>
              <w:jc w:val="left"/>
              <w:rPr>
                <w:rFonts w:asciiTheme="minorHAnsi" w:hAnsiTheme="minorHAnsi"/>
                <w:sz w:val="18"/>
                <w:szCs w:val="16"/>
                <w:lang w:val="de-DE"/>
              </w:rPr>
            </w:pPr>
            <w:r w:rsidRPr="00CA35F4">
              <w:rPr>
                <w:rFonts w:asciiTheme="minorHAnsi" w:hAnsiTheme="minorHAnsi"/>
                <w:sz w:val="18"/>
                <w:szCs w:val="16"/>
                <w:lang w:val="de-DE"/>
              </w:rPr>
              <w:t>None</w:t>
            </w:r>
          </w:p>
        </w:tc>
        <w:tc>
          <w:tcPr>
            <w:tcW w:w="2013" w:type="pct"/>
            <w:tcBorders>
              <w:top w:val="nil"/>
              <w:left w:val="nil"/>
              <w:bottom w:val="nil"/>
              <w:right w:val="single" w:sz="4" w:space="0" w:color="000000" w:themeColor="text1"/>
            </w:tcBorders>
            <w:shd w:val="clear" w:color="auto" w:fill="FFFFFF" w:themeFill="background1"/>
            <w:hideMark/>
          </w:tcPr>
          <w:p w14:paraId="11A193DB" w14:textId="77777777" w:rsidR="006C03F2" w:rsidRPr="00CA35F4" w:rsidRDefault="006C03F2" w:rsidP="006C03F2">
            <w:pPr>
              <w:spacing w:line="240" w:lineRule="auto"/>
              <w:jc w:val="left"/>
              <w:rPr>
                <w:rFonts w:asciiTheme="minorHAnsi" w:hAnsiTheme="minorHAnsi"/>
                <w:sz w:val="18"/>
                <w:szCs w:val="16"/>
                <w:lang w:val="de-DE"/>
              </w:rPr>
            </w:pPr>
            <w:r w:rsidRPr="00CA35F4">
              <w:rPr>
                <w:rFonts w:asciiTheme="minorHAnsi" w:hAnsiTheme="minorHAnsi"/>
                <w:sz w:val="18"/>
                <w:szCs w:val="16"/>
                <w:lang w:val="de-DE"/>
              </w:rPr>
              <w:t>None</w:t>
            </w:r>
          </w:p>
        </w:tc>
      </w:tr>
      <w:tr w:rsidR="006C03F2" w14:paraId="3DD89E59" w14:textId="77777777" w:rsidTr="006C03F2">
        <w:trPr>
          <w:tblCellSpacing w:w="0" w:type="dxa"/>
        </w:trPr>
        <w:tc>
          <w:tcPr>
            <w:tcW w:w="903" w:type="pct"/>
            <w:tcBorders>
              <w:top w:val="nil"/>
              <w:left w:val="single" w:sz="4" w:space="0" w:color="000000" w:themeColor="text1"/>
              <w:bottom w:val="nil"/>
              <w:right w:val="nil"/>
            </w:tcBorders>
            <w:shd w:val="clear" w:color="auto" w:fill="FFFFFF" w:themeFill="background1"/>
            <w:hideMark/>
          </w:tcPr>
          <w:p w14:paraId="0CD54EA2" w14:textId="77777777" w:rsidR="006C03F2" w:rsidRPr="00CA35F4" w:rsidRDefault="006C03F2" w:rsidP="006C03F2">
            <w:pPr>
              <w:spacing w:line="240" w:lineRule="auto"/>
              <w:ind w:left="142"/>
              <w:jc w:val="left"/>
              <w:rPr>
                <w:rFonts w:asciiTheme="minorHAnsi" w:hAnsiTheme="minorHAnsi"/>
                <w:sz w:val="18"/>
                <w:szCs w:val="16"/>
                <w:lang w:val="de-DE"/>
              </w:rPr>
            </w:pPr>
            <w:r w:rsidRPr="00CA35F4">
              <w:rPr>
                <w:rFonts w:asciiTheme="minorHAnsi" w:hAnsiTheme="minorHAnsi"/>
                <w:sz w:val="18"/>
                <w:szCs w:val="16"/>
                <w:lang w:val="de-DE"/>
              </w:rPr>
              <w:t>Bone marrow</w:t>
            </w:r>
          </w:p>
        </w:tc>
        <w:tc>
          <w:tcPr>
            <w:tcW w:w="2084" w:type="pct"/>
            <w:shd w:val="clear" w:color="auto" w:fill="FFFFFF" w:themeFill="background1"/>
            <w:hideMark/>
          </w:tcPr>
          <w:p w14:paraId="6E364888" w14:textId="77777777" w:rsidR="006C03F2" w:rsidRPr="00CA35F4" w:rsidRDefault="006C03F2" w:rsidP="006C03F2">
            <w:pPr>
              <w:spacing w:line="240" w:lineRule="auto"/>
              <w:ind w:right="170"/>
              <w:jc w:val="left"/>
              <w:rPr>
                <w:rFonts w:asciiTheme="minorHAnsi" w:hAnsiTheme="minorHAnsi"/>
                <w:sz w:val="18"/>
                <w:szCs w:val="16"/>
                <w:lang w:val="de-DE"/>
              </w:rPr>
            </w:pPr>
            <w:r w:rsidRPr="00CA35F4">
              <w:rPr>
                <w:rFonts w:asciiTheme="minorHAnsi" w:hAnsiTheme="minorHAnsi"/>
                <w:sz w:val="18"/>
                <w:szCs w:val="16"/>
                <w:lang w:val="de-DE"/>
              </w:rPr>
              <w:t>No change from baseline</w:t>
            </w:r>
          </w:p>
        </w:tc>
        <w:tc>
          <w:tcPr>
            <w:tcW w:w="2013" w:type="pct"/>
            <w:tcBorders>
              <w:top w:val="nil"/>
              <w:left w:val="nil"/>
              <w:bottom w:val="nil"/>
              <w:right w:val="single" w:sz="4" w:space="0" w:color="000000" w:themeColor="text1"/>
            </w:tcBorders>
            <w:shd w:val="clear" w:color="auto" w:fill="FFFFFF" w:themeFill="background1"/>
            <w:hideMark/>
          </w:tcPr>
          <w:p w14:paraId="338985A3" w14:textId="77777777" w:rsidR="006C03F2" w:rsidRPr="00CA35F4" w:rsidRDefault="006C03F2" w:rsidP="006C03F2">
            <w:pPr>
              <w:spacing w:line="240" w:lineRule="auto"/>
              <w:jc w:val="left"/>
              <w:rPr>
                <w:rFonts w:asciiTheme="minorHAnsi" w:hAnsiTheme="minorHAnsi"/>
                <w:sz w:val="18"/>
                <w:szCs w:val="16"/>
                <w:lang w:val="de-DE"/>
              </w:rPr>
            </w:pPr>
            <w:r w:rsidRPr="00CA35F4">
              <w:rPr>
                <w:rFonts w:asciiTheme="minorHAnsi" w:hAnsiTheme="minorHAnsi"/>
                <w:sz w:val="18"/>
                <w:szCs w:val="16"/>
                <w:lang w:val="de-DE"/>
              </w:rPr>
              <w:t>Not applicable</w:t>
            </w:r>
          </w:p>
        </w:tc>
      </w:tr>
      <w:tr w:rsidR="000155EA" w:rsidRPr="00E57A6B" w14:paraId="48DCBF1F" w14:textId="77777777" w:rsidTr="006C03F2">
        <w:trPr>
          <w:tblCellSpacing w:w="0" w:type="dxa"/>
        </w:trPr>
        <w:tc>
          <w:tcPr>
            <w:tcW w:w="903" w:type="pct"/>
            <w:tcBorders>
              <w:top w:val="nil"/>
              <w:left w:val="single" w:sz="4" w:space="0" w:color="000000" w:themeColor="text1"/>
              <w:bottom w:val="nil"/>
              <w:right w:val="nil"/>
            </w:tcBorders>
            <w:shd w:val="clear" w:color="auto" w:fill="D9D9D9" w:themeFill="background1" w:themeFillShade="D9"/>
            <w:vAlign w:val="center"/>
            <w:hideMark/>
          </w:tcPr>
          <w:p w14:paraId="3A3F97E5" w14:textId="77777777" w:rsidR="000155EA" w:rsidRPr="00CA35F4" w:rsidRDefault="00130F7C" w:rsidP="007374FB">
            <w:pPr>
              <w:spacing w:line="240" w:lineRule="auto"/>
              <w:jc w:val="left"/>
              <w:rPr>
                <w:rFonts w:asciiTheme="minorHAnsi" w:hAnsiTheme="minorHAnsi"/>
                <w:b/>
                <w:sz w:val="18"/>
                <w:szCs w:val="16"/>
                <w:lang w:val="de-DE"/>
              </w:rPr>
            </w:pPr>
            <w:r>
              <w:rPr>
                <w:rFonts w:asciiTheme="minorHAnsi" w:hAnsiTheme="minorHAnsi"/>
                <w:b/>
                <w:sz w:val="18"/>
                <w:szCs w:val="16"/>
                <w:lang w:val="de-DE"/>
              </w:rPr>
              <w:t xml:space="preserve">  </w:t>
            </w:r>
            <w:r w:rsidR="000155EA" w:rsidRPr="00CA35F4">
              <w:rPr>
                <w:rFonts w:asciiTheme="minorHAnsi" w:hAnsiTheme="minorHAnsi"/>
                <w:b/>
                <w:sz w:val="18"/>
                <w:szCs w:val="16"/>
                <w:lang w:val="de-DE"/>
              </w:rPr>
              <w:t>Progressive disease</w:t>
            </w:r>
          </w:p>
        </w:tc>
        <w:tc>
          <w:tcPr>
            <w:tcW w:w="2084" w:type="pct"/>
            <w:shd w:val="clear" w:color="auto" w:fill="D9D9D9" w:themeFill="background1" w:themeFillShade="D9"/>
            <w:vAlign w:val="center"/>
            <w:hideMark/>
          </w:tcPr>
          <w:p w14:paraId="34B304AF" w14:textId="77777777" w:rsidR="000155EA" w:rsidRPr="00CA35F4" w:rsidRDefault="000155EA" w:rsidP="007374FB">
            <w:pPr>
              <w:spacing w:line="240" w:lineRule="auto"/>
              <w:ind w:right="170"/>
              <w:jc w:val="left"/>
              <w:rPr>
                <w:rFonts w:asciiTheme="minorHAnsi" w:hAnsiTheme="minorHAnsi"/>
                <w:b/>
                <w:sz w:val="18"/>
                <w:szCs w:val="16"/>
                <w:lang w:val="de-DE"/>
              </w:rPr>
            </w:pPr>
            <w:r w:rsidRPr="00CA35F4">
              <w:rPr>
                <w:rFonts w:asciiTheme="minorHAnsi" w:hAnsiTheme="minorHAnsi"/>
                <w:b/>
                <w:sz w:val="18"/>
                <w:szCs w:val="16"/>
                <w:lang w:val="de-DE"/>
              </w:rPr>
              <w:t>Progressive metabolic disease</w:t>
            </w:r>
          </w:p>
        </w:tc>
        <w:tc>
          <w:tcPr>
            <w:tcW w:w="2013" w:type="pct"/>
            <w:tcBorders>
              <w:top w:val="nil"/>
              <w:left w:val="nil"/>
              <w:bottom w:val="nil"/>
              <w:right w:val="single" w:sz="4" w:space="0" w:color="000000" w:themeColor="text1"/>
            </w:tcBorders>
            <w:shd w:val="clear" w:color="auto" w:fill="D9D9D9" w:themeFill="background1" w:themeFillShade="D9"/>
            <w:vAlign w:val="center"/>
            <w:hideMark/>
          </w:tcPr>
          <w:p w14:paraId="52C774E8" w14:textId="77777777" w:rsidR="000155EA" w:rsidRPr="00CA35F4" w:rsidRDefault="000155EA" w:rsidP="007374FB">
            <w:pPr>
              <w:spacing w:line="240" w:lineRule="auto"/>
              <w:jc w:val="left"/>
              <w:rPr>
                <w:rFonts w:asciiTheme="minorHAnsi" w:hAnsiTheme="minorHAnsi"/>
                <w:b/>
                <w:sz w:val="18"/>
                <w:szCs w:val="16"/>
                <w:lang w:val="en-US"/>
              </w:rPr>
            </w:pPr>
            <w:r w:rsidRPr="00CA35F4">
              <w:rPr>
                <w:rFonts w:asciiTheme="minorHAnsi" w:hAnsiTheme="minorHAnsi"/>
                <w:b/>
                <w:sz w:val="18"/>
                <w:szCs w:val="16"/>
                <w:lang w:val="en-US"/>
              </w:rPr>
              <w:t>Progressive disease requires at least 1 of the following</w:t>
            </w:r>
          </w:p>
        </w:tc>
      </w:tr>
      <w:tr w:rsidR="000155EA" w14:paraId="20E79C40" w14:textId="77777777" w:rsidTr="006C03F2">
        <w:trPr>
          <w:tblCellSpacing w:w="0" w:type="dxa"/>
        </w:trPr>
        <w:tc>
          <w:tcPr>
            <w:tcW w:w="903" w:type="pct"/>
            <w:tcBorders>
              <w:top w:val="nil"/>
              <w:left w:val="single" w:sz="4" w:space="0" w:color="000000" w:themeColor="text1"/>
              <w:bottom w:val="nil"/>
              <w:right w:val="nil"/>
            </w:tcBorders>
            <w:hideMark/>
          </w:tcPr>
          <w:p w14:paraId="579CF61B" w14:textId="77777777" w:rsidR="000155EA" w:rsidRPr="00CA35F4" w:rsidRDefault="000155EA" w:rsidP="007374FB">
            <w:pPr>
              <w:spacing w:line="240" w:lineRule="auto"/>
              <w:ind w:left="142"/>
              <w:jc w:val="left"/>
              <w:rPr>
                <w:rFonts w:asciiTheme="minorHAnsi" w:hAnsiTheme="minorHAnsi"/>
                <w:sz w:val="18"/>
                <w:szCs w:val="16"/>
                <w:lang w:val="en-US"/>
              </w:rPr>
            </w:pPr>
            <w:r w:rsidRPr="00CA35F4">
              <w:rPr>
                <w:rFonts w:asciiTheme="minorHAnsi" w:hAnsiTheme="minorHAnsi"/>
                <w:sz w:val="18"/>
                <w:szCs w:val="16"/>
                <w:lang w:val="en-US"/>
              </w:rPr>
              <w:t>Individual target nodes/nodal masses</w:t>
            </w:r>
          </w:p>
        </w:tc>
        <w:tc>
          <w:tcPr>
            <w:tcW w:w="2084" w:type="pct"/>
            <w:hideMark/>
          </w:tcPr>
          <w:p w14:paraId="3B9A4E96" w14:textId="77777777" w:rsidR="000155EA" w:rsidRPr="00CA35F4" w:rsidRDefault="000155EA" w:rsidP="007374FB">
            <w:pPr>
              <w:spacing w:line="240" w:lineRule="auto"/>
              <w:ind w:right="170"/>
              <w:jc w:val="left"/>
              <w:rPr>
                <w:rFonts w:asciiTheme="minorHAnsi" w:hAnsiTheme="minorHAnsi"/>
                <w:sz w:val="18"/>
                <w:szCs w:val="16"/>
                <w:lang w:val="en-US"/>
              </w:rPr>
            </w:pPr>
            <w:r w:rsidRPr="00CA35F4">
              <w:rPr>
                <w:rFonts w:asciiTheme="minorHAnsi" w:hAnsiTheme="minorHAnsi"/>
                <w:sz w:val="18"/>
                <w:szCs w:val="16"/>
                <w:lang w:val="en-US"/>
              </w:rPr>
              <w:t xml:space="preserve">Score 4 or 5 </w:t>
            </w:r>
            <w:r w:rsidRPr="003561E7">
              <w:rPr>
                <w:rFonts w:asciiTheme="minorHAnsi" w:hAnsiTheme="minorHAnsi"/>
                <w:color w:val="FF0000"/>
                <w:sz w:val="18"/>
                <w:szCs w:val="16"/>
                <w:lang w:val="en-US"/>
              </w:rPr>
              <w:t xml:space="preserve">(2) </w:t>
            </w:r>
            <w:r w:rsidRPr="00CA35F4">
              <w:rPr>
                <w:rFonts w:asciiTheme="minorHAnsi" w:hAnsiTheme="minorHAnsi"/>
                <w:sz w:val="18"/>
                <w:szCs w:val="16"/>
                <w:lang w:val="en-US"/>
              </w:rPr>
              <w:t>with an increase in intensity of uptake from baseline and/or</w:t>
            </w:r>
          </w:p>
        </w:tc>
        <w:tc>
          <w:tcPr>
            <w:tcW w:w="2013" w:type="pct"/>
            <w:tcBorders>
              <w:top w:val="nil"/>
              <w:left w:val="nil"/>
              <w:bottom w:val="nil"/>
              <w:right w:val="single" w:sz="4" w:space="0" w:color="000000" w:themeColor="text1"/>
            </w:tcBorders>
            <w:hideMark/>
          </w:tcPr>
          <w:p w14:paraId="29C5B619" w14:textId="77777777" w:rsidR="000155EA" w:rsidRPr="00CA35F4" w:rsidRDefault="000155EA" w:rsidP="007374FB">
            <w:pPr>
              <w:spacing w:line="240" w:lineRule="auto"/>
              <w:jc w:val="left"/>
              <w:rPr>
                <w:rFonts w:asciiTheme="minorHAnsi" w:hAnsiTheme="minorHAnsi"/>
                <w:sz w:val="18"/>
                <w:szCs w:val="16"/>
                <w:lang w:val="de-DE"/>
              </w:rPr>
            </w:pPr>
            <w:r w:rsidRPr="00CA35F4">
              <w:rPr>
                <w:rFonts w:asciiTheme="minorHAnsi" w:hAnsiTheme="minorHAnsi"/>
                <w:sz w:val="18"/>
                <w:szCs w:val="16"/>
                <w:lang w:val="de-DE"/>
              </w:rPr>
              <w:t>PPD progression:</w:t>
            </w:r>
          </w:p>
        </w:tc>
      </w:tr>
      <w:tr w:rsidR="000155EA" w:rsidRPr="00E57A6B" w14:paraId="73F0F9F3" w14:textId="77777777" w:rsidTr="006C03F2">
        <w:trPr>
          <w:tblCellSpacing w:w="0" w:type="dxa"/>
        </w:trPr>
        <w:tc>
          <w:tcPr>
            <w:tcW w:w="903" w:type="pct"/>
            <w:tcBorders>
              <w:top w:val="nil"/>
              <w:left w:val="single" w:sz="4" w:space="0" w:color="000000" w:themeColor="text1"/>
              <w:bottom w:val="nil"/>
              <w:right w:val="nil"/>
            </w:tcBorders>
            <w:hideMark/>
          </w:tcPr>
          <w:p w14:paraId="7061FB72" w14:textId="77777777" w:rsidR="000155EA" w:rsidRPr="00CA35F4" w:rsidRDefault="000155EA" w:rsidP="007374FB">
            <w:pPr>
              <w:spacing w:line="240" w:lineRule="auto"/>
              <w:ind w:left="142"/>
              <w:jc w:val="left"/>
              <w:rPr>
                <w:rFonts w:asciiTheme="minorHAnsi" w:hAnsiTheme="minorHAnsi"/>
                <w:sz w:val="18"/>
                <w:szCs w:val="16"/>
                <w:lang w:val="de-DE"/>
              </w:rPr>
            </w:pPr>
            <w:r w:rsidRPr="00CA35F4">
              <w:rPr>
                <w:rFonts w:asciiTheme="minorHAnsi" w:hAnsiTheme="minorHAnsi"/>
                <w:sz w:val="18"/>
                <w:szCs w:val="16"/>
                <w:lang w:val="de-DE"/>
              </w:rPr>
              <w:t>Extranodal lesions</w:t>
            </w:r>
          </w:p>
        </w:tc>
        <w:tc>
          <w:tcPr>
            <w:tcW w:w="2084" w:type="pct"/>
            <w:hideMark/>
          </w:tcPr>
          <w:p w14:paraId="79F82717" w14:textId="77777777" w:rsidR="000155EA" w:rsidRPr="00CA35F4" w:rsidRDefault="000155EA" w:rsidP="007374FB">
            <w:pPr>
              <w:spacing w:line="240" w:lineRule="auto"/>
              <w:ind w:right="170"/>
              <w:jc w:val="left"/>
              <w:rPr>
                <w:rFonts w:asciiTheme="minorHAnsi" w:hAnsiTheme="minorHAnsi"/>
                <w:sz w:val="18"/>
                <w:szCs w:val="16"/>
                <w:lang w:val="en-US"/>
              </w:rPr>
            </w:pPr>
            <w:r w:rsidRPr="00CA35F4">
              <w:rPr>
                <w:rFonts w:asciiTheme="minorHAnsi" w:hAnsiTheme="minorHAnsi"/>
                <w:sz w:val="18"/>
                <w:szCs w:val="16"/>
                <w:lang w:val="en-US"/>
              </w:rPr>
              <w:t>New FDG-avid foci consistent with lymphoma at interim or end-of-treatment assessment</w:t>
            </w:r>
          </w:p>
        </w:tc>
        <w:tc>
          <w:tcPr>
            <w:tcW w:w="2013" w:type="pct"/>
            <w:tcBorders>
              <w:top w:val="nil"/>
              <w:left w:val="nil"/>
              <w:bottom w:val="nil"/>
              <w:right w:val="single" w:sz="4" w:space="0" w:color="000000" w:themeColor="text1"/>
            </w:tcBorders>
            <w:hideMark/>
          </w:tcPr>
          <w:p w14:paraId="4000A61A" w14:textId="77777777" w:rsidR="000155EA" w:rsidRPr="00CA35F4" w:rsidRDefault="000155EA" w:rsidP="007374FB">
            <w:pPr>
              <w:spacing w:line="240" w:lineRule="auto"/>
              <w:jc w:val="left"/>
              <w:rPr>
                <w:rFonts w:asciiTheme="minorHAnsi" w:hAnsiTheme="minorHAnsi"/>
                <w:sz w:val="18"/>
                <w:szCs w:val="16"/>
                <w:lang w:val="en-US"/>
              </w:rPr>
            </w:pPr>
            <w:r w:rsidRPr="00CA35F4">
              <w:rPr>
                <w:rFonts w:asciiTheme="minorHAnsi" w:hAnsiTheme="minorHAnsi"/>
                <w:sz w:val="18"/>
                <w:szCs w:val="16"/>
                <w:lang w:val="en-US"/>
              </w:rPr>
              <w:t>An individual node/lesion must be abnormal with:</w:t>
            </w:r>
            <w:r w:rsidRPr="00CA35F4">
              <w:rPr>
                <w:rFonts w:asciiTheme="minorHAnsi" w:hAnsiTheme="minorHAnsi"/>
                <w:sz w:val="18"/>
                <w:szCs w:val="16"/>
                <w:lang w:val="en-US"/>
              </w:rPr>
              <w:br/>
              <w:t>LDi &gt; 1.5 cm and</w:t>
            </w:r>
            <w:r w:rsidRPr="00CA35F4">
              <w:rPr>
                <w:rFonts w:asciiTheme="minorHAnsi" w:hAnsiTheme="minorHAnsi"/>
                <w:sz w:val="18"/>
                <w:szCs w:val="16"/>
                <w:lang w:val="en-US"/>
              </w:rPr>
              <w:br/>
              <w:t>Increase by ≥ 50% from PPD nadir and</w:t>
            </w:r>
            <w:r w:rsidRPr="00CA35F4">
              <w:rPr>
                <w:rFonts w:asciiTheme="minorHAnsi" w:hAnsiTheme="minorHAnsi"/>
                <w:sz w:val="18"/>
                <w:szCs w:val="16"/>
                <w:lang w:val="en-US"/>
              </w:rPr>
              <w:br/>
              <w:t>An increase in LDi or SDi from nadir</w:t>
            </w:r>
            <w:r w:rsidRPr="00CA35F4">
              <w:rPr>
                <w:rFonts w:asciiTheme="minorHAnsi" w:hAnsiTheme="minorHAnsi"/>
                <w:sz w:val="18"/>
                <w:szCs w:val="16"/>
                <w:lang w:val="en-US"/>
              </w:rPr>
              <w:br/>
              <w:t>0.5 cm for lesions ≤ 2 cm</w:t>
            </w:r>
            <w:r w:rsidRPr="00CA35F4">
              <w:rPr>
                <w:rFonts w:asciiTheme="minorHAnsi" w:hAnsiTheme="minorHAnsi"/>
                <w:sz w:val="18"/>
                <w:szCs w:val="16"/>
                <w:lang w:val="en-US"/>
              </w:rPr>
              <w:br/>
              <w:t>1.0 cm for lesions &gt; 2 cm</w:t>
            </w:r>
            <w:r w:rsidRPr="00CA35F4">
              <w:rPr>
                <w:rFonts w:asciiTheme="minorHAnsi" w:hAnsiTheme="minorHAnsi"/>
                <w:sz w:val="18"/>
                <w:szCs w:val="16"/>
                <w:lang w:val="en-US"/>
              </w:rPr>
              <w:br/>
              <w:t>In the setting of splenomegaly, the splenic length must increase by &gt; 50% of the extent of its prior increase beyond baseline (eg, a 15-cm spleen must increase to &gt; 16 cm). If no prior splenomegaly, must increase by at least 2 cm from baseline</w:t>
            </w:r>
            <w:r w:rsidRPr="00CA35F4">
              <w:rPr>
                <w:rFonts w:asciiTheme="minorHAnsi" w:hAnsiTheme="minorHAnsi"/>
                <w:sz w:val="18"/>
                <w:szCs w:val="16"/>
                <w:lang w:val="en-US"/>
              </w:rPr>
              <w:br/>
              <w:t>New or recurrent splenomegaly</w:t>
            </w:r>
          </w:p>
        </w:tc>
      </w:tr>
      <w:tr w:rsidR="000155EA" w:rsidRPr="00E57A6B" w14:paraId="3C0258F7" w14:textId="77777777" w:rsidTr="006C03F2">
        <w:trPr>
          <w:tblCellSpacing w:w="0" w:type="dxa"/>
        </w:trPr>
        <w:tc>
          <w:tcPr>
            <w:tcW w:w="903" w:type="pct"/>
            <w:tcBorders>
              <w:top w:val="nil"/>
              <w:left w:val="single" w:sz="4" w:space="0" w:color="000000" w:themeColor="text1"/>
              <w:bottom w:val="nil"/>
              <w:right w:val="nil"/>
            </w:tcBorders>
            <w:hideMark/>
          </w:tcPr>
          <w:p w14:paraId="7EB1DC8E" w14:textId="77777777" w:rsidR="000155EA" w:rsidRPr="00CA35F4" w:rsidRDefault="000155EA" w:rsidP="007374FB">
            <w:pPr>
              <w:spacing w:line="240" w:lineRule="auto"/>
              <w:ind w:left="142"/>
              <w:jc w:val="left"/>
              <w:rPr>
                <w:rFonts w:asciiTheme="minorHAnsi" w:hAnsiTheme="minorHAnsi"/>
                <w:sz w:val="18"/>
                <w:szCs w:val="16"/>
                <w:lang w:val="de-DE"/>
              </w:rPr>
            </w:pPr>
            <w:r w:rsidRPr="00CA35F4">
              <w:rPr>
                <w:rFonts w:asciiTheme="minorHAnsi" w:hAnsiTheme="minorHAnsi"/>
                <w:sz w:val="18"/>
                <w:szCs w:val="16"/>
                <w:lang w:val="de-DE"/>
              </w:rPr>
              <w:t>Nonmeasured lesions</w:t>
            </w:r>
          </w:p>
        </w:tc>
        <w:tc>
          <w:tcPr>
            <w:tcW w:w="2084" w:type="pct"/>
            <w:hideMark/>
          </w:tcPr>
          <w:p w14:paraId="08672867" w14:textId="77777777" w:rsidR="000155EA" w:rsidRPr="00CA35F4" w:rsidRDefault="000155EA" w:rsidP="007374FB">
            <w:pPr>
              <w:spacing w:line="240" w:lineRule="auto"/>
              <w:ind w:right="170"/>
              <w:jc w:val="left"/>
              <w:rPr>
                <w:rFonts w:asciiTheme="minorHAnsi" w:hAnsiTheme="minorHAnsi"/>
                <w:sz w:val="18"/>
                <w:szCs w:val="16"/>
                <w:lang w:val="de-DE"/>
              </w:rPr>
            </w:pPr>
            <w:r w:rsidRPr="00CA35F4">
              <w:rPr>
                <w:rFonts w:asciiTheme="minorHAnsi" w:hAnsiTheme="minorHAnsi"/>
                <w:sz w:val="18"/>
                <w:szCs w:val="16"/>
                <w:lang w:val="de-DE"/>
              </w:rPr>
              <w:t>None</w:t>
            </w:r>
          </w:p>
        </w:tc>
        <w:tc>
          <w:tcPr>
            <w:tcW w:w="2013" w:type="pct"/>
            <w:tcBorders>
              <w:top w:val="nil"/>
              <w:left w:val="nil"/>
              <w:bottom w:val="nil"/>
              <w:right w:val="single" w:sz="4" w:space="0" w:color="000000" w:themeColor="text1"/>
            </w:tcBorders>
            <w:hideMark/>
          </w:tcPr>
          <w:p w14:paraId="7885B1C9" w14:textId="77777777" w:rsidR="000155EA" w:rsidRPr="00CA35F4" w:rsidRDefault="000155EA" w:rsidP="007374FB">
            <w:pPr>
              <w:spacing w:line="240" w:lineRule="auto"/>
              <w:jc w:val="left"/>
              <w:rPr>
                <w:rFonts w:asciiTheme="minorHAnsi" w:hAnsiTheme="minorHAnsi"/>
                <w:sz w:val="18"/>
                <w:szCs w:val="16"/>
                <w:lang w:val="en-US"/>
              </w:rPr>
            </w:pPr>
            <w:r w:rsidRPr="00CA35F4">
              <w:rPr>
                <w:rFonts w:asciiTheme="minorHAnsi" w:hAnsiTheme="minorHAnsi"/>
                <w:sz w:val="18"/>
                <w:szCs w:val="16"/>
                <w:lang w:val="en-US"/>
              </w:rPr>
              <w:t>New or clear progression of preexisting nonmeasured lesions</w:t>
            </w:r>
          </w:p>
        </w:tc>
      </w:tr>
      <w:tr w:rsidR="000155EA" w:rsidRPr="00E57A6B" w14:paraId="729A02CE" w14:textId="77777777" w:rsidTr="006C03F2">
        <w:trPr>
          <w:tblCellSpacing w:w="0" w:type="dxa"/>
        </w:trPr>
        <w:tc>
          <w:tcPr>
            <w:tcW w:w="903" w:type="pct"/>
            <w:tcBorders>
              <w:top w:val="nil"/>
              <w:left w:val="single" w:sz="4" w:space="0" w:color="000000" w:themeColor="text1"/>
              <w:bottom w:val="nil"/>
              <w:right w:val="nil"/>
            </w:tcBorders>
            <w:hideMark/>
          </w:tcPr>
          <w:p w14:paraId="411BD9C4" w14:textId="77777777" w:rsidR="000155EA" w:rsidRPr="00CA35F4" w:rsidRDefault="000155EA" w:rsidP="007374FB">
            <w:pPr>
              <w:spacing w:line="240" w:lineRule="auto"/>
              <w:ind w:left="142"/>
              <w:jc w:val="left"/>
              <w:rPr>
                <w:rFonts w:asciiTheme="minorHAnsi" w:hAnsiTheme="minorHAnsi"/>
                <w:sz w:val="18"/>
                <w:szCs w:val="16"/>
                <w:lang w:val="de-DE"/>
              </w:rPr>
            </w:pPr>
            <w:r w:rsidRPr="00CA35F4">
              <w:rPr>
                <w:rFonts w:asciiTheme="minorHAnsi" w:hAnsiTheme="minorHAnsi"/>
                <w:sz w:val="18"/>
                <w:szCs w:val="16"/>
                <w:lang w:val="de-DE"/>
              </w:rPr>
              <w:t>New lesions</w:t>
            </w:r>
          </w:p>
        </w:tc>
        <w:tc>
          <w:tcPr>
            <w:tcW w:w="2084" w:type="pct"/>
            <w:hideMark/>
          </w:tcPr>
          <w:p w14:paraId="647E0C77" w14:textId="77777777" w:rsidR="000155EA" w:rsidRPr="00CA35F4" w:rsidRDefault="000155EA" w:rsidP="007374FB">
            <w:pPr>
              <w:spacing w:line="240" w:lineRule="auto"/>
              <w:ind w:right="170"/>
              <w:jc w:val="left"/>
              <w:rPr>
                <w:rFonts w:asciiTheme="minorHAnsi" w:hAnsiTheme="minorHAnsi"/>
                <w:sz w:val="18"/>
                <w:szCs w:val="16"/>
                <w:lang w:val="en-US"/>
              </w:rPr>
            </w:pPr>
            <w:r w:rsidRPr="00CA35F4">
              <w:rPr>
                <w:rFonts w:asciiTheme="minorHAnsi" w:hAnsiTheme="minorHAnsi"/>
                <w:sz w:val="18"/>
                <w:szCs w:val="16"/>
                <w:lang w:val="en-US"/>
              </w:rPr>
              <w:t>New FDG-avid foci consistent with lymphoma rather than another etiology (eg, infection, inflammation). If uncertain regarding etiology of new lesions, biopsy or interval scan may be consideredl</w:t>
            </w:r>
          </w:p>
        </w:tc>
        <w:tc>
          <w:tcPr>
            <w:tcW w:w="2013" w:type="pct"/>
            <w:tcBorders>
              <w:top w:val="nil"/>
              <w:left w:val="nil"/>
              <w:bottom w:val="nil"/>
              <w:right w:val="single" w:sz="4" w:space="0" w:color="000000" w:themeColor="text1"/>
            </w:tcBorders>
            <w:hideMark/>
          </w:tcPr>
          <w:p w14:paraId="52B13062" w14:textId="77777777" w:rsidR="000155EA" w:rsidRPr="00CA35F4" w:rsidRDefault="000155EA" w:rsidP="007374FB">
            <w:pPr>
              <w:spacing w:line="240" w:lineRule="auto"/>
              <w:jc w:val="left"/>
              <w:rPr>
                <w:rFonts w:asciiTheme="minorHAnsi" w:hAnsiTheme="minorHAnsi"/>
                <w:sz w:val="18"/>
                <w:szCs w:val="16"/>
                <w:lang w:val="en-US"/>
              </w:rPr>
            </w:pPr>
            <w:r w:rsidRPr="00CA35F4">
              <w:rPr>
                <w:rFonts w:asciiTheme="minorHAnsi" w:hAnsiTheme="minorHAnsi"/>
                <w:sz w:val="18"/>
                <w:szCs w:val="16"/>
                <w:lang w:val="en-US"/>
              </w:rPr>
              <w:t>Regrowth of previously resolved lesions</w:t>
            </w:r>
            <w:r w:rsidRPr="00CA35F4">
              <w:rPr>
                <w:rFonts w:asciiTheme="minorHAnsi" w:hAnsiTheme="minorHAnsi"/>
                <w:sz w:val="18"/>
                <w:szCs w:val="16"/>
                <w:lang w:val="en-US"/>
              </w:rPr>
              <w:br/>
              <w:t>A new node &gt; 1.5 cm in any axis</w:t>
            </w:r>
            <w:r w:rsidRPr="00CA35F4">
              <w:rPr>
                <w:rFonts w:asciiTheme="minorHAnsi" w:hAnsiTheme="minorHAnsi"/>
                <w:sz w:val="18"/>
                <w:szCs w:val="16"/>
                <w:lang w:val="en-US"/>
              </w:rPr>
              <w:br/>
              <w:t>A new extranodal site &gt; 1.0 cm in any axis; if &lt; 1.0 cm in any axis, its presence must be unequivocal and must be attributable to lymphoma</w:t>
            </w:r>
            <w:r w:rsidRPr="00CA35F4">
              <w:rPr>
                <w:rFonts w:asciiTheme="minorHAnsi" w:hAnsiTheme="minorHAnsi"/>
                <w:sz w:val="18"/>
                <w:szCs w:val="16"/>
                <w:lang w:val="en-US"/>
              </w:rPr>
              <w:br/>
              <w:t>Assessable disease of any size unequivocally attributable to lymphoma</w:t>
            </w:r>
          </w:p>
        </w:tc>
      </w:tr>
      <w:tr w:rsidR="000155EA" w14:paraId="4CD4FDF7" w14:textId="77777777" w:rsidTr="006C03F2">
        <w:trPr>
          <w:tblCellSpacing w:w="0" w:type="dxa"/>
        </w:trPr>
        <w:tc>
          <w:tcPr>
            <w:tcW w:w="903" w:type="pct"/>
            <w:tcBorders>
              <w:top w:val="nil"/>
              <w:left w:val="single" w:sz="4" w:space="0" w:color="000000" w:themeColor="text1"/>
              <w:bottom w:val="single" w:sz="4" w:space="0" w:color="000000" w:themeColor="text1"/>
              <w:right w:val="nil"/>
            </w:tcBorders>
            <w:hideMark/>
          </w:tcPr>
          <w:p w14:paraId="196A858F" w14:textId="77777777" w:rsidR="000155EA" w:rsidRPr="00CA35F4" w:rsidRDefault="000155EA" w:rsidP="007374FB">
            <w:pPr>
              <w:spacing w:line="240" w:lineRule="auto"/>
              <w:ind w:left="142"/>
              <w:jc w:val="left"/>
              <w:rPr>
                <w:rFonts w:asciiTheme="minorHAnsi" w:hAnsiTheme="minorHAnsi"/>
                <w:sz w:val="18"/>
                <w:szCs w:val="16"/>
                <w:lang w:val="de-DE"/>
              </w:rPr>
            </w:pPr>
            <w:r w:rsidRPr="00CA35F4">
              <w:rPr>
                <w:rFonts w:asciiTheme="minorHAnsi" w:hAnsiTheme="minorHAnsi"/>
                <w:sz w:val="18"/>
                <w:szCs w:val="16"/>
                <w:lang w:val="de-DE"/>
              </w:rPr>
              <w:t>Bone marrow</w:t>
            </w:r>
          </w:p>
        </w:tc>
        <w:tc>
          <w:tcPr>
            <w:tcW w:w="2084" w:type="pct"/>
            <w:tcBorders>
              <w:top w:val="nil"/>
              <w:left w:val="nil"/>
              <w:bottom w:val="single" w:sz="4" w:space="0" w:color="000000" w:themeColor="text1"/>
              <w:right w:val="nil"/>
            </w:tcBorders>
            <w:hideMark/>
          </w:tcPr>
          <w:p w14:paraId="26928802" w14:textId="77777777" w:rsidR="000155EA" w:rsidRPr="00CA35F4" w:rsidRDefault="000155EA" w:rsidP="007374FB">
            <w:pPr>
              <w:spacing w:line="240" w:lineRule="auto"/>
              <w:ind w:right="170"/>
              <w:jc w:val="left"/>
              <w:rPr>
                <w:rFonts w:asciiTheme="minorHAnsi" w:hAnsiTheme="minorHAnsi"/>
                <w:sz w:val="18"/>
                <w:szCs w:val="16"/>
                <w:lang w:val="en-US"/>
              </w:rPr>
            </w:pPr>
            <w:r w:rsidRPr="00CA35F4">
              <w:rPr>
                <w:rFonts w:asciiTheme="minorHAnsi" w:hAnsiTheme="minorHAnsi"/>
                <w:sz w:val="18"/>
                <w:szCs w:val="16"/>
                <w:lang w:val="en-US"/>
              </w:rPr>
              <w:t>New or recurrent FDG-avid foci</w:t>
            </w:r>
          </w:p>
        </w:tc>
        <w:tc>
          <w:tcPr>
            <w:tcW w:w="2013" w:type="pct"/>
            <w:tcBorders>
              <w:top w:val="nil"/>
              <w:left w:val="nil"/>
              <w:bottom w:val="single" w:sz="4" w:space="0" w:color="000000" w:themeColor="text1"/>
              <w:right w:val="single" w:sz="4" w:space="0" w:color="000000" w:themeColor="text1"/>
            </w:tcBorders>
            <w:hideMark/>
          </w:tcPr>
          <w:p w14:paraId="5E786C06" w14:textId="77777777" w:rsidR="000155EA" w:rsidRPr="00CA35F4" w:rsidRDefault="000155EA" w:rsidP="007374FB">
            <w:pPr>
              <w:spacing w:line="240" w:lineRule="auto"/>
              <w:jc w:val="left"/>
              <w:rPr>
                <w:rFonts w:asciiTheme="minorHAnsi" w:hAnsiTheme="minorHAnsi"/>
                <w:sz w:val="18"/>
                <w:szCs w:val="16"/>
                <w:lang w:val="de-DE"/>
              </w:rPr>
            </w:pPr>
            <w:r w:rsidRPr="00CA35F4">
              <w:rPr>
                <w:rFonts w:asciiTheme="minorHAnsi" w:hAnsiTheme="minorHAnsi"/>
                <w:sz w:val="18"/>
                <w:szCs w:val="16"/>
                <w:lang w:val="de-DE"/>
              </w:rPr>
              <w:t>New or recurrent involvement</w:t>
            </w:r>
          </w:p>
        </w:tc>
      </w:tr>
    </w:tbl>
    <w:p w14:paraId="221FDA21" w14:textId="77777777" w:rsidR="000155EA" w:rsidRDefault="000155EA" w:rsidP="007374FB">
      <w:pPr>
        <w:pStyle w:val="Textkrper-Einzug2"/>
        <w:spacing w:after="0" w:line="240" w:lineRule="auto"/>
        <w:ind w:left="0"/>
        <w:jc w:val="left"/>
        <w:rPr>
          <w:rFonts w:asciiTheme="minorHAnsi" w:hAnsiTheme="minorHAnsi" w:cstheme="minorHAnsi"/>
          <w:i/>
          <w:sz w:val="18"/>
          <w:szCs w:val="18"/>
          <w:lang w:val="en-US"/>
        </w:rPr>
      </w:pPr>
    </w:p>
    <w:p w14:paraId="3AFFDEF5" w14:textId="77777777" w:rsidR="000155EA" w:rsidRDefault="000155EA" w:rsidP="007374FB">
      <w:pPr>
        <w:pStyle w:val="Textkrper-Einzug2"/>
        <w:spacing w:after="0" w:line="240" w:lineRule="auto"/>
        <w:ind w:left="-426"/>
        <w:jc w:val="left"/>
        <w:rPr>
          <w:rFonts w:asciiTheme="minorHAnsi" w:hAnsiTheme="minorHAnsi" w:cstheme="minorHAnsi"/>
          <w:i/>
          <w:sz w:val="20"/>
          <w:lang w:val="en-US"/>
        </w:rPr>
      </w:pPr>
      <w:r w:rsidRPr="008711D9">
        <w:rPr>
          <w:rFonts w:asciiTheme="minorHAnsi" w:hAnsiTheme="minorHAnsi" w:cstheme="minorHAnsi"/>
          <w:b/>
          <w:i/>
          <w:sz w:val="20"/>
          <w:u w:val="single"/>
          <w:lang w:val="en-US"/>
        </w:rPr>
        <w:t>Abbreviations:</w:t>
      </w:r>
      <w:r w:rsidRPr="008711D9">
        <w:rPr>
          <w:rFonts w:asciiTheme="minorHAnsi" w:hAnsiTheme="minorHAnsi" w:cstheme="minorHAnsi"/>
          <w:i/>
          <w:sz w:val="20"/>
          <w:lang w:val="en-US"/>
        </w:rPr>
        <w:t xml:space="preserve"> </w:t>
      </w:r>
    </w:p>
    <w:p w14:paraId="051934F9" w14:textId="77777777" w:rsidR="000155EA" w:rsidRPr="003561E7" w:rsidRDefault="000155EA" w:rsidP="007374FB">
      <w:pPr>
        <w:pStyle w:val="Textkrper-Einzug2"/>
        <w:spacing w:after="0" w:line="240" w:lineRule="auto"/>
        <w:ind w:left="-426"/>
        <w:jc w:val="left"/>
        <w:rPr>
          <w:rFonts w:asciiTheme="minorHAnsi" w:hAnsiTheme="minorHAnsi" w:cstheme="minorHAnsi"/>
          <w:i/>
          <w:sz w:val="18"/>
          <w:lang w:val="en-US"/>
        </w:rPr>
      </w:pPr>
      <w:r w:rsidRPr="003561E7">
        <w:rPr>
          <w:rFonts w:asciiTheme="minorHAnsi" w:hAnsiTheme="minorHAnsi" w:cstheme="minorHAnsi"/>
          <w:b/>
          <w:i/>
          <w:sz w:val="18"/>
          <w:lang w:val="en-US"/>
        </w:rPr>
        <w:t>5PS</w:t>
      </w:r>
      <w:r>
        <w:rPr>
          <w:rFonts w:asciiTheme="minorHAnsi" w:hAnsiTheme="minorHAnsi" w:cstheme="minorHAnsi"/>
          <w:i/>
          <w:sz w:val="18"/>
          <w:lang w:val="en-US"/>
        </w:rPr>
        <w:tab/>
      </w:r>
      <w:r w:rsidRPr="003561E7">
        <w:rPr>
          <w:rFonts w:asciiTheme="minorHAnsi" w:hAnsiTheme="minorHAnsi" w:cstheme="minorHAnsi"/>
          <w:i/>
          <w:sz w:val="18"/>
          <w:lang w:val="en-US"/>
        </w:rPr>
        <w:t>5-point scale</w:t>
      </w:r>
      <w:r w:rsidRPr="003561E7">
        <w:rPr>
          <w:rFonts w:asciiTheme="minorHAnsi" w:hAnsiTheme="minorHAnsi" w:cstheme="minorHAnsi"/>
          <w:i/>
          <w:sz w:val="18"/>
          <w:lang w:val="en-US"/>
        </w:rPr>
        <w:tab/>
      </w:r>
      <w:r w:rsidRPr="003561E7">
        <w:rPr>
          <w:rFonts w:asciiTheme="minorHAnsi" w:hAnsiTheme="minorHAnsi" w:cstheme="minorHAnsi"/>
          <w:i/>
          <w:sz w:val="18"/>
          <w:lang w:val="en-US"/>
        </w:rPr>
        <w:tab/>
      </w:r>
      <w:r w:rsidRPr="003561E7">
        <w:rPr>
          <w:rFonts w:asciiTheme="minorHAnsi" w:hAnsiTheme="minorHAnsi" w:cstheme="minorHAnsi"/>
          <w:i/>
          <w:sz w:val="18"/>
          <w:lang w:val="en-US"/>
        </w:rPr>
        <w:tab/>
      </w:r>
      <w:r w:rsidRPr="003561E7">
        <w:rPr>
          <w:rFonts w:asciiTheme="minorHAnsi" w:hAnsiTheme="minorHAnsi" w:cstheme="minorHAnsi"/>
          <w:i/>
          <w:sz w:val="18"/>
          <w:lang w:val="en-US"/>
        </w:rPr>
        <w:tab/>
      </w:r>
      <w:r w:rsidRPr="003561E7">
        <w:rPr>
          <w:rFonts w:asciiTheme="minorHAnsi" w:hAnsiTheme="minorHAnsi" w:cstheme="minorHAnsi"/>
          <w:b/>
          <w:i/>
          <w:sz w:val="18"/>
          <w:lang w:val="en-US"/>
        </w:rPr>
        <w:t>CT</w:t>
      </w:r>
      <w:r>
        <w:rPr>
          <w:rFonts w:asciiTheme="minorHAnsi" w:hAnsiTheme="minorHAnsi" w:cstheme="minorHAnsi"/>
          <w:i/>
          <w:sz w:val="18"/>
          <w:lang w:val="en-US"/>
        </w:rPr>
        <w:tab/>
      </w:r>
      <w:r w:rsidRPr="003561E7">
        <w:rPr>
          <w:rFonts w:asciiTheme="minorHAnsi" w:hAnsiTheme="minorHAnsi" w:cstheme="minorHAnsi"/>
          <w:i/>
          <w:sz w:val="18"/>
          <w:lang w:val="en-US"/>
        </w:rPr>
        <w:t>computed tomography</w:t>
      </w:r>
      <w:r w:rsidRPr="003561E7">
        <w:rPr>
          <w:rFonts w:asciiTheme="minorHAnsi" w:hAnsiTheme="minorHAnsi" w:cstheme="minorHAnsi"/>
          <w:i/>
          <w:sz w:val="18"/>
          <w:lang w:val="en-US"/>
        </w:rPr>
        <w:tab/>
      </w:r>
      <w:r w:rsidRPr="003561E7">
        <w:rPr>
          <w:rFonts w:asciiTheme="minorHAnsi" w:hAnsiTheme="minorHAnsi" w:cstheme="minorHAnsi"/>
          <w:i/>
          <w:sz w:val="18"/>
          <w:lang w:val="en-US"/>
        </w:rPr>
        <w:tab/>
      </w:r>
    </w:p>
    <w:p w14:paraId="3311F160" w14:textId="77777777" w:rsidR="000155EA" w:rsidRPr="003561E7" w:rsidRDefault="000155EA" w:rsidP="007374FB">
      <w:pPr>
        <w:pStyle w:val="Textkrper-Einzug2"/>
        <w:spacing w:after="0" w:line="240" w:lineRule="auto"/>
        <w:ind w:left="-426"/>
        <w:jc w:val="left"/>
        <w:rPr>
          <w:rFonts w:asciiTheme="minorHAnsi" w:hAnsiTheme="minorHAnsi" w:cstheme="minorHAnsi"/>
          <w:i/>
          <w:sz w:val="18"/>
          <w:lang w:val="en-US"/>
        </w:rPr>
      </w:pPr>
      <w:r w:rsidRPr="003561E7">
        <w:rPr>
          <w:rFonts w:asciiTheme="minorHAnsi" w:hAnsiTheme="minorHAnsi" w:cstheme="minorHAnsi"/>
          <w:b/>
          <w:i/>
          <w:sz w:val="18"/>
          <w:lang w:val="en-US"/>
        </w:rPr>
        <w:t>FDG</w:t>
      </w:r>
      <w:r>
        <w:rPr>
          <w:rFonts w:asciiTheme="minorHAnsi" w:hAnsiTheme="minorHAnsi" w:cstheme="minorHAnsi"/>
          <w:i/>
          <w:sz w:val="18"/>
          <w:lang w:val="en-US"/>
        </w:rPr>
        <w:tab/>
      </w:r>
      <w:r w:rsidRPr="003561E7">
        <w:rPr>
          <w:rFonts w:asciiTheme="minorHAnsi" w:hAnsiTheme="minorHAnsi" w:cstheme="minorHAnsi"/>
          <w:i/>
          <w:sz w:val="18"/>
          <w:lang w:val="en-US"/>
        </w:rPr>
        <w:t>fluorodeoxyglucose</w:t>
      </w:r>
      <w:r w:rsidRPr="003561E7">
        <w:rPr>
          <w:rFonts w:asciiTheme="minorHAnsi" w:hAnsiTheme="minorHAnsi" w:cstheme="minorHAnsi"/>
          <w:i/>
          <w:sz w:val="18"/>
          <w:lang w:val="en-US"/>
        </w:rPr>
        <w:tab/>
      </w:r>
      <w:r w:rsidRPr="003561E7">
        <w:rPr>
          <w:rFonts w:asciiTheme="minorHAnsi" w:hAnsiTheme="minorHAnsi" w:cstheme="minorHAnsi"/>
          <w:i/>
          <w:sz w:val="18"/>
          <w:lang w:val="en-US"/>
        </w:rPr>
        <w:tab/>
      </w:r>
      <w:r w:rsidRPr="003561E7">
        <w:rPr>
          <w:rFonts w:asciiTheme="minorHAnsi" w:hAnsiTheme="minorHAnsi" w:cstheme="minorHAnsi"/>
          <w:i/>
          <w:sz w:val="18"/>
          <w:lang w:val="en-US"/>
        </w:rPr>
        <w:tab/>
      </w:r>
      <w:r>
        <w:rPr>
          <w:rFonts w:asciiTheme="minorHAnsi" w:hAnsiTheme="minorHAnsi" w:cstheme="minorHAnsi"/>
          <w:i/>
          <w:sz w:val="18"/>
          <w:lang w:val="en-US"/>
        </w:rPr>
        <w:tab/>
      </w:r>
      <w:r w:rsidRPr="003561E7">
        <w:rPr>
          <w:rFonts w:asciiTheme="minorHAnsi" w:hAnsiTheme="minorHAnsi" w:cstheme="minorHAnsi"/>
          <w:b/>
          <w:i/>
          <w:sz w:val="18"/>
          <w:lang w:val="en-US"/>
        </w:rPr>
        <w:t>IHC</w:t>
      </w:r>
      <w:r>
        <w:rPr>
          <w:rFonts w:asciiTheme="minorHAnsi" w:hAnsiTheme="minorHAnsi" w:cstheme="minorHAnsi"/>
          <w:i/>
          <w:sz w:val="18"/>
          <w:lang w:val="en-US"/>
        </w:rPr>
        <w:tab/>
      </w:r>
      <w:r w:rsidRPr="003561E7">
        <w:rPr>
          <w:rFonts w:asciiTheme="minorHAnsi" w:hAnsiTheme="minorHAnsi" w:cstheme="minorHAnsi"/>
          <w:i/>
          <w:sz w:val="18"/>
          <w:lang w:val="en-US"/>
        </w:rPr>
        <w:t>immunohistochemistry</w:t>
      </w:r>
    </w:p>
    <w:p w14:paraId="5265BD33" w14:textId="77777777" w:rsidR="000155EA" w:rsidRPr="003561E7" w:rsidRDefault="000155EA" w:rsidP="007374FB">
      <w:pPr>
        <w:pStyle w:val="Textkrper-Einzug2"/>
        <w:spacing w:after="0" w:line="240" w:lineRule="auto"/>
        <w:ind w:left="-426"/>
        <w:jc w:val="left"/>
        <w:rPr>
          <w:rFonts w:asciiTheme="minorHAnsi" w:hAnsiTheme="minorHAnsi" w:cstheme="minorHAnsi"/>
          <w:i/>
          <w:sz w:val="18"/>
          <w:lang w:val="en-US"/>
        </w:rPr>
      </w:pPr>
      <w:r w:rsidRPr="003561E7">
        <w:rPr>
          <w:rFonts w:asciiTheme="minorHAnsi" w:hAnsiTheme="minorHAnsi" w:cstheme="minorHAnsi"/>
          <w:b/>
          <w:i/>
          <w:sz w:val="18"/>
          <w:lang w:val="en-US"/>
        </w:rPr>
        <w:t>LDi</w:t>
      </w:r>
      <w:r>
        <w:rPr>
          <w:rFonts w:asciiTheme="minorHAnsi" w:hAnsiTheme="minorHAnsi" w:cstheme="minorHAnsi"/>
          <w:i/>
          <w:sz w:val="18"/>
          <w:lang w:val="en-US"/>
        </w:rPr>
        <w:tab/>
      </w:r>
      <w:r w:rsidRPr="003561E7">
        <w:rPr>
          <w:rFonts w:asciiTheme="minorHAnsi" w:hAnsiTheme="minorHAnsi" w:cstheme="minorHAnsi"/>
          <w:i/>
          <w:sz w:val="18"/>
          <w:lang w:val="en-US"/>
        </w:rPr>
        <w:t>longest transverse diameter of a lesion</w:t>
      </w:r>
      <w:r w:rsidRPr="003561E7">
        <w:rPr>
          <w:rFonts w:asciiTheme="minorHAnsi" w:hAnsiTheme="minorHAnsi" w:cstheme="minorHAnsi"/>
          <w:i/>
          <w:sz w:val="18"/>
          <w:lang w:val="en-US"/>
        </w:rPr>
        <w:tab/>
      </w:r>
      <w:r>
        <w:rPr>
          <w:rFonts w:asciiTheme="minorHAnsi" w:hAnsiTheme="minorHAnsi" w:cstheme="minorHAnsi"/>
          <w:i/>
          <w:sz w:val="18"/>
          <w:lang w:val="en-US"/>
        </w:rPr>
        <w:tab/>
      </w:r>
      <w:r w:rsidRPr="003561E7">
        <w:rPr>
          <w:rFonts w:asciiTheme="minorHAnsi" w:hAnsiTheme="minorHAnsi" w:cstheme="minorHAnsi"/>
          <w:b/>
          <w:i/>
          <w:sz w:val="18"/>
          <w:lang w:val="en-US"/>
        </w:rPr>
        <w:t>MRI</w:t>
      </w:r>
      <w:r>
        <w:rPr>
          <w:rFonts w:asciiTheme="minorHAnsi" w:hAnsiTheme="minorHAnsi" w:cstheme="minorHAnsi"/>
          <w:i/>
          <w:sz w:val="18"/>
          <w:lang w:val="en-US"/>
        </w:rPr>
        <w:tab/>
      </w:r>
      <w:r w:rsidRPr="003561E7">
        <w:rPr>
          <w:rFonts w:asciiTheme="minorHAnsi" w:hAnsiTheme="minorHAnsi" w:cstheme="minorHAnsi"/>
          <w:i/>
          <w:sz w:val="18"/>
          <w:lang w:val="en-US"/>
        </w:rPr>
        <w:t>magnetic resonance imaging</w:t>
      </w:r>
    </w:p>
    <w:p w14:paraId="241838C0" w14:textId="77777777" w:rsidR="000155EA" w:rsidRPr="003561E7" w:rsidRDefault="000155EA" w:rsidP="007374FB">
      <w:pPr>
        <w:pStyle w:val="Textkrper-Einzug2"/>
        <w:spacing w:after="0" w:line="240" w:lineRule="auto"/>
        <w:ind w:left="-426"/>
        <w:jc w:val="left"/>
        <w:rPr>
          <w:rFonts w:asciiTheme="minorHAnsi" w:hAnsiTheme="minorHAnsi" w:cstheme="minorHAnsi"/>
          <w:i/>
          <w:sz w:val="18"/>
          <w:lang w:val="en-US"/>
        </w:rPr>
      </w:pPr>
      <w:r w:rsidRPr="003561E7">
        <w:rPr>
          <w:rFonts w:asciiTheme="minorHAnsi" w:hAnsiTheme="minorHAnsi" w:cstheme="minorHAnsi"/>
          <w:b/>
          <w:i/>
          <w:sz w:val="18"/>
          <w:lang w:val="en-US"/>
        </w:rPr>
        <w:t>PET</w:t>
      </w:r>
      <w:r>
        <w:rPr>
          <w:rFonts w:asciiTheme="minorHAnsi" w:hAnsiTheme="minorHAnsi" w:cstheme="minorHAnsi"/>
          <w:i/>
          <w:sz w:val="18"/>
          <w:lang w:val="en-US"/>
        </w:rPr>
        <w:tab/>
      </w:r>
      <w:r w:rsidRPr="003561E7">
        <w:rPr>
          <w:rFonts w:asciiTheme="minorHAnsi" w:hAnsiTheme="minorHAnsi" w:cstheme="minorHAnsi"/>
          <w:i/>
          <w:sz w:val="18"/>
          <w:lang w:val="en-US"/>
        </w:rPr>
        <w:t>positron emission tomography</w:t>
      </w:r>
      <w:r w:rsidRPr="003561E7">
        <w:rPr>
          <w:rFonts w:asciiTheme="minorHAnsi" w:hAnsiTheme="minorHAnsi" w:cstheme="minorHAnsi"/>
          <w:i/>
          <w:sz w:val="18"/>
          <w:lang w:val="en-US"/>
        </w:rPr>
        <w:tab/>
      </w:r>
      <w:r w:rsidRPr="003561E7">
        <w:rPr>
          <w:rFonts w:asciiTheme="minorHAnsi" w:hAnsiTheme="minorHAnsi" w:cstheme="minorHAnsi"/>
          <w:i/>
          <w:sz w:val="18"/>
          <w:lang w:val="en-US"/>
        </w:rPr>
        <w:tab/>
      </w:r>
      <w:r w:rsidRPr="003561E7">
        <w:rPr>
          <w:rFonts w:asciiTheme="minorHAnsi" w:hAnsiTheme="minorHAnsi" w:cstheme="minorHAnsi"/>
          <w:b/>
          <w:i/>
          <w:sz w:val="18"/>
          <w:lang w:val="en-US"/>
        </w:rPr>
        <w:t>PPD</w:t>
      </w:r>
      <w:r>
        <w:rPr>
          <w:rFonts w:asciiTheme="minorHAnsi" w:hAnsiTheme="minorHAnsi" w:cstheme="minorHAnsi"/>
          <w:i/>
          <w:sz w:val="18"/>
          <w:lang w:val="en-US"/>
        </w:rPr>
        <w:tab/>
      </w:r>
      <w:r w:rsidRPr="003561E7">
        <w:rPr>
          <w:rFonts w:asciiTheme="minorHAnsi" w:hAnsiTheme="minorHAnsi" w:cstheme="minorHAnsi"/>
          <w:i/>
          <w:sz w:val="18"/>
          <w:lang w:val="en-US"/>
        </w:rPr>
        <w:t>cross product of the LDi and perpendicular diameter</w:t>
      </w:r>
    </w:p>
    <w:p w14:paraId="5045F4D1" w14:textId="77777777" w:rsidR="000155EA" w:rsidRPr="003561E7" w:rsidRDefault="000155EA" w:rsidP="007374FB">
      <w:pPr>
        <w:pStyle w:val="Textkrper-Einzug2"/>
        <w:spacing w:after="0" w:line="240" w:lineRule="auto"/>
        <w:ind w:left="-426"/>
        <w:jc w:val="left"/>
        <w:rPr>
          <w:rFonts w:asciiTheme="minorHAnsi" w:hAnsiTheme="minorHAnsi" w:cstheme="minorHAnsi"/>
          <w:i/>
          <w:sz w:val="18"/>
          <w:lang w:val="en-US"/>
        </w:rPr>
      </w:pPr>
      <w:r w:rsidRPr="003561E7">
        <w:rPr>
          <w:rFonts w:asciiTheme="minorHAnsi" w:hAnsiTheme="minorHAnsi" w:cstheme="minorHAnsi"/>
          <w:b/>
          <w:i/>
          <w:sz w:val="18"/>
          <w:lang w:val="en-US"/>
        </w:rPr>
        <w:t>SDi</w:t>
      </w:r>
      <w:r>
        <w:rPr>
          <w:rFonts w:asciiTheme="minorHAnsi" w:hAnsiTheme="minorHAnsi" w:cstheme="minorHAnsi"/>
          <w:i/>
          <w:sz w:val="18"/>
          <w:lang w:val="en-US"/>
        </w:rPr>
        <w:tab/>
      </w:r>
      <w:r w:rsidRPr="003561E7">
        <w:rPr>
          <w:rFonts w:asciiTheme="minorHAnsi" w:hAnsiTheme="minorHAnsi" w:cstheme="minorHAnsi"/>
          <w:i/>
          <w:sz w:val="18"/>
          <w:lang w:val="en-US"/>
        </w:rPr>
        <w:t>shortest axis perpendicular to the LDi</w:t>
      </w:r>
      <w:r w:rsidRPr="003561E7">
        <w:rPr>
          <w:rFonts w:asciiTheme="minorHAnsi" w:hAnsiTheme="minorHAnsi" w:cstheme="minorHAnsi"/>
          <w:i/>
          <w:sz w:val="18"/>
          <w:lang w:val="en-US"/>
        </w:rPr>
        <w:tab/>
      </w:r>
      <w:r>
        <w:rPr>
          <w:rFonts w:asciiTheme="minorHAnsi" w:hAnsiTheme="minorHAnsi" w:cstheme="minorHAnsi"/>
          <w:i/>
          <w:sz w:val="18"/>
          <w:lang w:val="en-US"/>
        </w:rPr>
        <w:tab/>
      </w:r>
      <w:r w:rsidRPr="003561E7">
        <w:rPr>
          <w:rFonts w:asciiTheme="minorHAnsi" w:hAnsiTheme="minorHAnsi" w:cstheme="minorHAnsi"/>
          <w:b/>
          <w:i/>
          <w:sz w:val="18"/>
          <w:lang w:val="en-US"/>
        </w:rPr>
        <w:t>SPD</w:t>
      </w:r>
      <w:r>
        <w:rPr>
          <w:rFonts w:asciiTheme="minorHAnsi" w:hAnsiTheme="minorHAnsi" w:cstheme="minorHAnsi"/>
          <w:i/>
          <w:sz w:val="18"/>
          <w:lang w:val="en-US"/>
        </w:rPr>
        <w:tab/>
      </w:r>
      <w:r w:rsidRPr="003561E7">
        <w:rPr>
          <w:rFonts w:asciiTheme="minorHAnsi" w:hAnsiTheme="minorHAnsi" w:cstheme="minorHAnsi"/>
          <w:i/>
          <w:sz w:val="18"/>
          <w:lang w:val="en-US"/>
        </w:rPr>
        <w:t>sum of the product of the perpendicular diameters for multiple lesions</w:t>
      </w:r>
    </w:p>
    <w:p w14:paraId="26CDD250" w14:textId="77777777" w:rsidR="000155EA" w:rsidRPr="008711D9" w:rsidRDefault="000155EA" w:rsidP="007374FB">
      <w:pPr>
        <w:pStyle w:val="Textkrper-Einzug2"/>
        <w:spacing w:after="0" w:line="240" w:lineRule="auto"/>
        <w:ind w:left="-426"/>
        <w:jc w:val="left"/>
        <w:rPr>
          <w:rFonts w:asciiTheme="minorHAnsi" w:hAnsiTheme="minorHAnsi" w:cstheme="minorHAnsi"/>
          <w:i/>
          <w:sz w:val="20"/>
          <w:lang w:val="en-US"/>
        </w:rPr>
      </w:pPr>
    </w:p>
    <w:p w14:paraId="410A1F7A" w14:textId="77777777" w:rsidR="006C03F2" w:rsidRDefault="000155EA" w:rsidP="005C6EE4">
      <w:pPr>
        <w:pStyle w:val="Textkrper-Einzug2"/>
        <w:numPr>
          <w:ilvl w:val="0"/>
          <w:numId w:val="7"/>
        </w:numPr>
        <w:spacing w:after="0" w:line="240" w:lineRule="auto"/>
        <w:ind w:left="-426" w:firstLine="0"/>
        <w:jc w:val="left"/>
        <w:rPr>
          <w:rFonts w:asciiTheme="minorHAnsi" w:hAnsiTheme="minorHAnsi" w:cstheme="minorHAnsi"/>
          <w:i/>
          <w:sz w:val="20"/>
          <w:lang w:val="en-US"/>
        </w:rPr>
      </w:pPr>
      <w:r w:rsidRPr="008711D9">
        <w:rPr>
          <w:rFonts w:asciiTheme="minorHAnsi" w:hAnsiTheme="minorHAnsi" w:cstheme="minorHAnsi"/>
          <w:i/>
          <w:sz w:val="20"/>
          <w:lang w:val="en-US"/>
        </w:rPr>
        <w:t>A score of 3 in many patients indicates a good prognosis with standard treatment, especially if at the time of an interim scan. However, in trials involving PET where de-escalation is investigated, it may be preferable to consider a score of 3 as inadequate response (to avoid undertreatment). Measured dominant lesions: Up to six of the largest dominant nodes, nodal masses, and extranodal lesions selected to be clearly measurable in two diameters. Nodes should preferably be from disparate regions of the body and should include, where applicable, mediastinal and retroperitoneal areas. Non-nodal lesions include those in solid organs (eg, liver, spleen, kidneys, lungs), GI involvement, cutaneous lesions, or those noted on palpation. Nonmeasured lesions: Any disease not selected as measured, dominant disease and truly assessable disease should be considered not measured. These sites include any nodes, nodal masses, and extranodal sites not selected as dominant or measurable or that do not meet the requirements for measurability but are still considered abnormal, as well as truly assessable disease, which is any site of suspected disease that would be difficult to follow quantitatively with measurement, including pleural effusions, ascites, bone lesions, leptomeningeal disease, abdominal masses, and other lesions that cannot be confirmed and followed by imaging. In Waldeyer's ring or in extranodal sites (eg, GI tract, liver, bone marrow), FDG uptake may be greater than in the mediastinum with complete metabolic response, but should be no higher than surrounding normal physiologic uptake (eg, with marrow activation as a result of chemotherapy or myeloid growth factors).</w:t>
      </w:r>
    </w:p>
    <w:p w14:paraId="3C66720C" w14:textId="77777777" w:rsidR="006C03F2" w:rsidRDefault="006C03F2" w:rsidP="006C03F2">
      <w:pPr>
        <w:pStyle w:val="Textkrper-Einzug2"/>
        <w:spacing w:after="0" w:line="240" w:lineRule="auto"/>
        <w:ind w:left="-426"/>
        <w:jc w:val="left"/>
        <w:rPr>
          <w:rFonts w:asciiTheme="minorHAnsi" w:hAnsiTheme="minorHAnsi" w:cstheme="minorHAnsi"/>
          <w:i/>
          <w:sz w:val="20"/>
          <w:lang w:val="en-US"/>
        </w:rPr>
      </w:pPr>
    </w:p>
    <w:p w14:paraId="41321153" w14:textId="77777777" w:rsidR="006C03F2" w:rsidRPr="004501B1" w:rsidRDefault="006C03F2" w:rsidP="006C03F2">
      <w:pPr>
        <w:pStyle w:val="Textkrper-Einzug2"/>
        <w:spacing w:after="0" w:line="240" w:lineRule="auto"/>
        <w:ind w:left="-426"/>
        <w:jc w:val="left"/>
        <w:rPr>
          <w:rFonts w:asciiTheme="minorHAnsi" w:hAnsiTheme="minorHAnsi" w:cstheme="minorHAnsi"/>
          <w:i/>
        </w:rPr>
      </w:pPr>
      <w:r w:rsidRPr="004501B1">
        <w:rPr>
          <w:rFonts w:asciiTheme="minorHAnsi" w:hAnsiTheme="minorHAnsi"/>
          <w:b/>
          <w:i/>
          <w:sz w:val="20"/>
          <w:szCs w:val="18"/>
        </w:rPr>
        <w:t xml:space="preserve">Fortsetzung der </w:t>
      </w:r>
      <w:r w:rsidRPr="004501B1">
        <w:rPr>
          <w:rFonts w:asciiTheme="minorHAnsi" w:hAnsiTheme="minorHAnsi"/>
          <w:b/>
          <w:i/>
          <w:color w:val="FF0000"/>
          <w:sz w:val="20"/>
          <w:szCs w:val="18"/>
        </w:rPr>
        <w:t xml:space="preserve">Legende </w:t>
      </w:r>
      <w:r w:rsidRPr="004501B1">
        <w:rPr>
          <w:rFonts w:asciiTheme="minorHAnsi" w:hAnsiTheme="minorHAnsi"/>
          <w:b/>
          <w:i/>
          <w:sz w:val="20"/>
          <w:szCs w:val="18"/>
        </w:rPr>
        <w:t>zur Tabelle auf der nächsten Seite</w:t>
      </w:r>
      <w:r w:rsidRPr="006C03F2">
        <w:rPr>
          <w:sz w:val="24"/>
        </w:rPr>
        <w:t xml:space="preserve"> </w:t>
      </w:r>
      <w:r w:rsidRPr="006C03F2">
        <w:rPr>
          <w:sz w:val="24"/>
        </w:rPr>
        <w:br w:type="page"/>
      </w:r>
    </w:p>
    <w:p w14:paraId="07462048" w14:textId="77777777" w:rsidR="000155EA" w:rsidRPr="004501B1" w:rsidRDefault="000155EA" w:rsidP="005C6EE4">
      <w:pPr>
        <w:pStyle w:val="Textkrper-Einzug2"/>
        <w:numPr>
          <w:ilvl w:val="0"/>
          <w:numId w:val="7"/>
        </w:numPr>
        <w:spacing w:after="0" w:line="240" w:lineRule="auto"/>
        <w:ind w:left="-426" w:firstLine="0"/>
        <w:jc w:val="left"/>
        <w:rPr>
          <w:rFonts w:asciiTheme="minorHAnsi" w:hAnsiTheme="minorHAnsi" w:cstheme="minorHAnsi"/>
          <w:b/>
          <w:i/>
          <w:sz w:val="20"/>
          <w:u w:val="single"/>
          <w:lang w:val="en-US"/>
        </w:rPr>
      </w:pPr>
      <w:r w:rsidRPr="004501B1">
        <w:rPr>
          <w:rFonts w:asciiTheme="minorHAnsi" w:hAnsiTheme="minorHAnsi" w:cstheme="minorHAnsi"/>
          <w:b/>
          <w:i/>
          <w:sz w:val="20"/>
          <w:u w:val="single"/>
          <w:lang w:val="en-US"/>
        </w:rPr>
        <w:lastRenderedPageBreak/>
        <w:t>PET 5 – Point Scale (Deauville Criteria)</w:t>
      </w:r>
    </w:p>
    <w:p w14:paraId="285117A4" w14:textId="77777777" w:rsidR="000155EA" w:rsidRPr="004501B1" w:rsidRDefault="000155EA" w:rsidP="005C6EE4">
      <w:pPr>
        <w:pStyle w:val="Textkrper-Einzug2"/>
        <w:numPr>
          <w:ilvl w:val="0"/>
          <w:numId w:val="8"/>
        </w:numPr>
        <w:spacing w:after="0" w:line="240" w:lineRule="auto"/>
        <w:ind w:left="0" w:firstLine="142"/>
        <w:jc w:val="left"/>
        <w:rPr>
          <w:rFonts w:asciiTheme="minorHAnsi" w:hAnsiTheme="minorHAnsi" w:cstheme="minorHAnsi"/>
          <w:i/>
          <w:sz w:val="20"/>
          <w:lang w:val="en-US"/>
        </w:rPr>
      </w:pPr>
      <w:r w:rsidRPr="004501B1">
        <w:rPr>
          <w:rFonts w:asciiTheme="minorHAnsi" w:hAnsiTheme="minorHAnsi" w:cstheme="minorHAnsi"/>
          <w:i/>
          <w:sz w:val="20"/>
          <w:lang w:val="en-US"/>
        </w:rPr>
        <w:t>no uptake above background</w:t>
      </w:r>
    </w:p>
    <w:p w14:paraId="4A04ABDF" w14:textId="77777777" w:rsidR="000155EA" w:rsidRPr="004501B1" w:rsidRDefault="000155EA" w:rsidP="005C6EE4">
      <w:pPr>
        <w:pStyle w:val="Textkrper-Einzug2"/>
        <w:numPr>
          <w:ilvl w:val="0"/>
          <w:numId w:val="8"/>
        </w:numPr>
        <w:spacing w:after="0" w:line="240" w:lineRule="auto"/>
        <w:ind w:left="0" w:firstLine="142"/>
        <w:jc w:val="left"/>
        <w:rPr>
          <w:rFonts w:asciiTheme="minorHAnsi" w:hAnsiTheme="minorHAnsi" w:cstheme="minorHAnsi"/>
          <w:i/>
          <w:sz w:val="20"/>
          <w:lang w:val="en-US"/>
        </w:rPr>
      </w:pPr>
      <w:r w:rsidRPr="004501B1">
        <w:rPr>
          <w:rFonts w:asciiTheme="minorHAnsi" w:hAnsiTheme="minorHAnsi" w:cstheme="minorHAnsi"/>
          <w:i/>
          <w:sz w:val="20"/>
          <w:lang w:val="en-US"/>
        </w:rPr>
        <w:t>uptake ≤ mediastinum</w:t>
      </w:r>
    </w:p>
    <w:p w14:paraId="304253D1" w14:textId="77777777" w:rsidR="000155EA" w:rsidRPr="004501B1" w:rsidRDefault="000155EA" w:rsidP="005C6EE4">
      <w:pPr>
        <w:pStyle w:val="Textkrper-Einzug2"/>
        <w:numPr>
          <w:ilvl w:val="0"/>
          <w:numId w:val="8"/>
        </w:numPr>
        <w:spacing w:after="0" w:line="240" w:lineRule="auto"/>
        <w:ind w:left="0" w:firstLine="142"/>
        <w:jc w:val="left"/>
        <w:rPr>
          <w:rFonts w:asciiTheme="minorHAnsi" w:hAnsiTheme="minorHAnsi" w:cstheme="minorHAnsi"/>
          <w:i/>
          <w:sz w:val="20"/>
          <w:lang w:val="en-US"/>
        </w:rPr>
      </w:pPr>
      <w:r w:rsidRPr="004501B1">
        <w:rPr>
          <w:rFonts w:asciiTheme="minorHAnsi" w:hAnsiTheme="minorHAnsi" w:cstheme="minorHAnsi"/>
          <w:i/>
          <w:sz w:val="20"/>
          <w:lang w:val="en-US"/>
        </w:rPr>
        <w:t>uptake &gt; mediastinum but ≤ liver</w:t>
      </w:r>
    </w:p>
    <w:p w14:paraId="7B964F8A" w14:textId="77777777" w:rsidR="000155EA" w:rsidRPr="004501B1" w:rsidRDefault="000155EA" w:rsidP="005C6EE4">
      <w:pPr>
        <w:pStyle w:val="Textkrper-Einzug2"/>
        <w:numPr>
          <w:ilvl w:val="0"/>
          <w:numId w:val="8"/>
        </w:numPr>
        <w:spacing w:after="0" w:line="240" w:lineRule="auto"/>
        <w:ind w:left="0" w:firstLine="142"/>
        <w:jc w:val="left"/>
        <w:rPr>
          <w:rFonts w:asciiTheme="minorHAnsi" w:hAnsiTheme="minorHAnsi" w:cstheme="minorHAnsi"/>
          <w:i/>
          <w:sz w:val="20"/>
          <w:lang w:val="en-US"/>
        </w:rPr>
      </w:pPr>
      <w:r w:rsidRPr="004501B1">
        <w:rPr>
          <w:rFonts w:asciiTheme="minorHAnsi" w:hAnsiTheme="minorHAnsi" w:cstheme="minorHAnsi"/>
          <w:i/>
          <w:sz w:val="20"/>
          <w:lang w:val="en-US"/>
        </w:rPr>
        <w:t>uptake moderately &gt; liver</w:t>
      </w:r>
    </w:p>
    <w:p w14:paraId="5076606F" w14:textId="77777777" w:rsidR="000155EA" w:rsidRPr="004501B1" w:rsidRDefault="000155EA" w:rsidP="005C6EE4">
      <w:pPr>
        <w:pStyle w:val="Textkrper-Einzug2"/>
        <w:numPr>
          <w:ilvl w:val="0"/>
          <w:numId w:val="8"/>
        </w:numPr>
        <w:spacing w:after="0" w:line="240" w:lineRule="auto"/>
        <w:ind w:left="0" w:firstLine="142"/>
        <w:jc w:val="left"/>
        <w:rPr>
          <w:rFonts w:asciiTheme="minorHAnsi" w:hAnsiTheme="minorHAnsi" w:cstheme="minorHAnsi"/>
          <w:i/>
          <w:sz w:val="20"/>
          <w:lang w:val="en-US"/>
        </w:rPr>
      </w:pPr>
      <w:r w:rsidRPr="004501B1">
        <w:rPr>
          <w:rFonts w:asciiTheme="minorHAnsi" w:hAnsiTheme="minorHAnsi" w:cstheme="minorHAnsi"/>
          <w:i/>
          <w:sz w:val="20"/>
          <w:lang w:val="en-US"/>
        </w:rPr>
        <w:t>uptake markedly higher than liver and/or new lesions</w:t>
      </w:r>
    </w:p>
    <w:p w14:paraId="685E738A" w14:textId="77777777" w:rsidR="000155EA" w:rsidRPr="004501B1" w:rsidRDefault="000155EA" w:rsidP="004501B1">
      <w:pPr>
        <w:pStyle w:val="Textkrper-Einzug2"/>
        <w:spacing w:after="0" w:line="240" w:lineRule="auto"/>
        <w:ind w:left="0" w:firstLine="142"/>
        <w:jc w:val="left"/>
        <w:rPr>
          <w:rFonts w:asciiTheme="minorHAnsi" w:hAnsiTheme="minorHAnsi" w:cstheme="minorHAnsi"/>
          <w:i/>
          <w:sz w:val="20"/>
          <w:lang w:val="en-US"/>
        </w:rPr>
      </w:pPr>
      <w:r w:rsidRPr="004501B1">
        <w:rPr>
          <w:rFonts w:asciiTheme="minorHAnsi" w:hAnsiTheme="minorHAnsi" w:cstheme="minorHAnsi"/>
          <w:i/>
          <w:sz w:val="20"/>
          <w:lang w:val="en-US"/>
        </w:rPr>
        <w:t>X</w:t>
      </w:r>
      <w:r w:rsidRPr="004501B1">
        <w:rPr>
          <w:rFonts w:asciiTheme="minorHAnsi" w:hAnsiTheme="minorHAnsi" w:cstheme="minorHAnsi"/>
          <w:i/>
          <w:sz w:val="20"/>
          <w:lang w:val="en-US"/>
        </w:rPr>
        <w:tab/>
        <w:t>new areas of uptake unlikely to be related to lymphoma</w:t>
      </w:r>
    </w:p>
    <w:p w14:paraId="0A836095" w14:textId="77777777" w:rsidR="006C03F2" w:rsidRDefault="006C03F2" w:rsidP="007374FB">
      <w:pPr>
        <w:pStyle w:val="Textkrper-Einzug2"/>
        <w:spacing w:after="0" w:line="240" w:lineRule="auto"/>
        <w:ind w:left="-66"/>
        <w:jc w:val="left"/>
        <w:rPr>
          <w:rFonts w:asciiTheme="minorHAnsi" w:hAnsiTheme="minorHAnsi" w:cstheme="minorHAnsi"/>
          <w:i/>
          <w:sz w:val="20"/>
          <w:lang w:val="en-US"/>
        </w:rPr>
      </w:pPr>
    </w:p>
    <w:p w14:paraId="6D1CF9BC" w14:textId="77777777" w:rsidR="006C03F2" w:rsidRDefault="006C03F2" w:rsidP="007374FB">
      <w:pPr>
        <w:pStyle w:val="Textkrper-Einzug2"/>
        <w:spacing w:after="0" w:line="240" w:lineRule="auto"/>
        <w:ind w:left="-66"/>
        <w:jc w:val="left"/>
        <w:rPr>
          <w:rFonts w:asciiTheme="minorHAnsi" w:hAnsiTheme="minorHAnsi" w:cstheme="minorHAnsi"/>
          <w:i/>
          <w:sz w:val="20"/>
          <w:lang w:val="en-US"/>
        </w:rPr>
      </w:pPr>
    </w:p>
    <w:p w14:paraId="0BA597B0" w14:textId="77777777" w:rsidR="006C03F2" w:rsidRDefault="006C03F2" w:rsidP="007374FB">
      <w:pPr>
        <w:pStyle w:val="Textkrper-Einzug2"/>
        <w:spacing w:after="0" w:line="240" w:lineRule="auto"/>
        <w:ind w:left="-66"/>
        <w:jc w:val="left"/>
        <w:rPr>
          <w:rFonts w:asciiTheme="minorHAnsi" w:hAnsiTheme="minorHAnsi" w:cstheme="minorHAnsi"/>
          <w:i/>
          <w:sz w:val="20"/>
          <w:lang w:val="en-US"/>
        </w:rPr>
      </w:pPr>
    </w:p>
    <w:p w14:paraId="6AB8EE1C" w14:textId="77777777" w:rsidR="000155EA" w:rsidRDefault="000155EA" w:rsidP="007374FB">
      <w:pPr>
        <w:pStyle w:val="berschrift2"/>
        <w:ind w:left="0" w:firstLine="0"/>
        <w:jc w:val="left"/>
      </w:pPr>
      <w:bookmarkStart w:id="43" w:name="_Toc29233653"/>
      <w:bookmarkStart w:id="44" w:name="_Toc61379705"/>
      <w:r>
        <w:t>5.2</w:t>
      </w:r>
      <w:r>
        <w:tab/>
      </w:r>
      <w:r w:rsidRPr="00D340E0">
        <w:rPr>
          <w:lang w:val="de-DE"/>
        </w:rPr>
        <w:t>Verlaufskontrolle</w:t>
      </w:r>
      <w:r>
        <w:t>n unter Therapie und nach Therapieabschluss</w:t>
      </w:r>
      <w:bookmarkEnd w:id="43"/>
      <w:bookmarkEnd w:id="44"/>
    </w:p>
    <w:p w14:paraId="5393AAB2" w14:textId="77777777" w:rsidR="009E6913" w:rsidRPr="00130F7C" w:rsidRDefault="000155EA" w:rsidP="007374FB">
      <w:pPr>
        <w:pStyle w:val="Textkrper-Einzug2"/>
        <w:spacing w:after="0" w:line="276" w:lineRule="auto"/>
        <w:ind w:left="0"/>
        <w:jc w:val="left"/>
        <w:rPr>
          <w:rFonts w:asciiTheme="minorHAnsi" w:hAnsiTheme="minorHAnsi" w:cstheme="minorHAnsi"/>
        </w:rPr>
      </w:pPr>
      <w:r w:rsidRPr="00E16BC3">
        <w:rPr>
          <w:rFonts w:asciiTheme="minorHAnsi" w:hAnsiTheme="minorHAnsi" w:cstheme="minorHAnsi"/>
        </w:rPr>
        <w:t xml:space="preserve">Restaging nach der Hälfte der Therapiezyklen </w:t>
      </w:r>
      <w:r w:rsidRPr="00130F7C">
        <w:rPr>
          <w:rFonts w:asciiTheme="minorHAnsi" w:hAnsiTheme="minorHAnsi" w:cstheme="minorHAnsi"/>
        </w:rPr>
        <w:t xml:space="preserve">und </w:t>
      </w:r>
      <w:r w:rsidR="00130F7C" w:rsidRPr="00130F7C">
        <w:rPr>
          <w:rFonts w:asciiTheme="minorHAnsi" w:hAnsiTheme="minorHAnsi" w:cstheme="minorHAnsi"/>
        </w:rPr>
        <w:t xml:space="preserve">frühestens </w:t>
      </w:r>
      <w:r w:rsidRPr="00130F7C">
        <w:rPr>
          <w:rFonts w:asciiTheme="minorHAnsi" w:hAnsiTheme="minorHAnsi" w:cstheme="minorHAnsi"/>
        </w:rPr>
        <w:t>6 Wochen nach</w:t>
      </w:r>
      <w:r w:rsidRPr="00E16BC3">
        <w:rPr>
          <w:rFonts w:asciiTheme="minorHAnsi" w:hAnsiTheme="minorHAnsi" w:cstheme="minorHAnsi"/>
        </w:rPr>
        <w:t xml:space="preserve"> Abschluss einer zytostatischen Therapie </w:t>
      </w:r>
      <w:r w:rsidR="00130F7C">
        <w:rPr>
          <w:rFonts w:asciiTheme="minorHAnsi" w:hAnsiTheme="minorHAnsi" w:cstheme="minorHAnsi"/>
          <w:szCs w:val="22"/>
        </w:rPr>
        <w:t>bzw. 12 Wochen nach Beendigung der Radiatio</w:t>
      </w:r>
      <w:r w:rsidR="00130F7C" w:rsidRPr="00E16BC3">
        <w:rPr>
          <w:rFonts w:asciiTheme="minorHAnsi" w:hAnsiTheme="minorHAnsi" w:cstheme="minorHAnsi"/>
        </w:rPr>
        <w:t xml:space="preserve"> </w:t>
      </w:r>
      <w:r w:rsidRPr="00E16BC3">
        <w:rPr>
          <w:rFonts w:asciiTheme="minorHAnsi" w:hAnsiTheme="minorHAnsi" w:cstheme="minorHAnsi"/>
        </w:rPr>
        <w:t xml:space="preserve">(bei klinischem Ansprechen nur die initial </w:t>
      </w:r>
      <w:r w:rsidR="00130F7C">
        <w:rPr>
          <w:rFonts w:asciiTheme="minorHAnsi" w:hAnsiTheme="minorHAnsi" w:cstheme="minorHAnsi"/>
        </w:rPr>
        <w:t>pathologischen Untersuchungen).</w:t>
      </w:r>
    </w:p>
    <w:p w14:paraId="63085889" w14:textId="77777777" w:rsidR="009E6913" w:rsidRPr="009E6913" w:rsidRDefault="009E6913" w:rsidP="007374FB">
      <w:pPr>
        <w:pStyle w:val="Textkrper-Einzug2"/>
        <w:spacing w:after="0" w:line="276" w:lineRule="auto"/>
        <w:ind w:left="0"/>
        <w:jc w:val="left"/>
        <w:rPr>
          <w:rFonts w:asciiTheme="minorHAnsi" w:hAnsiTheme="minorHAnsi" w:cstheme="minorHAnsi"/>
          <w:szCs w:val="22"/>
        </w:rPr>
      </w:pPr>
    </w:p>
    <w:p w14:paraId="523972DC" w14:textId="77777777" w:rsidR="005A6712" w:rsidRPr="00D70529" w:rsidRDefault="004A7236" w:rsidP="007374FB">
      <w:pPr>
        <w:pStyle w:val="Textkrper-Einzug2"/>
        <w:spacing w:after="0" w:line="276" w:lineRule="auto"/>
        <w:ind w:left="0"/>
        <w:jc w:val="left"/>
        <w:rPr>
          <w:rFonts w:asciiTheme="minorHAnsi" w:hAnsiTheme="minorHAnsi" w:cstheme="minorHAnsi"/>
          <w:szCs w:val="22"/>
          <w:u w:val="single"/>
        </w:rPr>
      </w:pPr>
      <w:r w:rsidRPr="00D70529">
        <w:rPr>
          <w:rFonts w:asciiTheme="minorHAnsi" w:hAnsiTheme="minorHAnsi" w:cstheme="minorHAnsi"/>
          <w:szCs w:val="22"/>
          <w:u w:val="single"/>
        </w:rPr>
        <w:t>D</w:t>
      </w:r>
      <w:r w:rsidR="005A6712" w:rsidRPr="00D70529">
        <w:rPr>
          <w:rFonts w:asciiTheme="minorHAnsi" w:hAnsiTheme="minorHAnsi" w:cstheme="minorHAnsi"/>
          <w:szCs w:val="22"/>
          <w:u w:val="single"/>
        </w:rPr>
        <w:t>ie ersten 2 Jahre vierteljährlich</w:t>
      </w:r>
    </w:p>
    <w:p w14:paraId="00F83BC4" w14:textId="77777777" w:rsidR="005A6712" w:rsidRPr="00D70529" w:rsidRDefault="009E6913" w:rsidP="007374FB">
      <w:pPr>
        <w:pStyle w:val="Textkrper-Einzug2"/>
        <w:numPr>
          <w:ilvl w:val="0"/>
          <w:numId w:val="3"/>
        </w:numPr>
        <w:spacing w:after="0" w:line="276" w:lineRule="auto"/>
        <w:ind w:left="426" w:hanging="426"/>
        <w:jc w:val="left"/>
        <w:rPr>
          <w:rFonts w:asciiTheme="minorHAnsi" w:hAnsiTheme="minorHAnsi" w:cstheme="minorHAnsi"/>
          <w:szCs w:val="22"/>
        </w:rPr>
      </w:pPr>
      <w:r w:rsidRPr="00D70529">
        <w:rPr>
          <w:rFonts w:asciiTheme="minorHAnsi" w:hAnsiTheme="minorHAnsi" w:cstheme="minorHAnsi"/>
          <w:szCs w:val="22"/>
        </w:rPr>
        <w:t xml:space="preserve">Anamnese und </w:t>
      </w:r>
      <w:r w:rsidR="005A6712" w:rsidRPr="00D70529">
        <w:rPr>
          <w:rFonts w:asciiTheme="minorHAnsi" w:hAnsiTheme="minorHAnsi" w:cstheme="minorHAnsi"/>
          <w:szCs w:val="22"/>
        </w:rPr>
        <w:t>klinische Untersuchung</w:t>
      </w:r>
    </w:p>
    <w:p w14:paraId="4E197983" w14:textId="77777777" w:rsidR="005A6712" w:rsidRPr="00D70529" w:rsidRDefault="005A6712" w:rsidP="007374FB">
      <w:pPr>
        <w:pStyle w:val="Textkrper-Einzug2"/>
        <w:numPr>
          <w:ilvl w:val="0"/>
          <w:numId w:val="3"/>
        </w:numPr>
        <w:spacing w:after="0" w:line="276" w:lineRule="auto"/>
        <w:ind w:left="426" w:hanging="426"/>
        <w:jc w:val="left"/>
        <w:rPr>
          <w:rFonts w:asciiTheme="minorHAnsi" w:hAnsiTheme="minorHAnsi" w:cstheme="minorHAnsi"/>
          <w:szCs w:val="22"/>
        </w:rPr>
      </w:pPr>
      <w:r w:rsidRPr="00D70529">
        <w:rPr>
          <w:rFonts w:asciiTheme="minorHAnsi" w:hAnsiTheme="minorHAnsi" w:cstheme="minorHAnsi"/>
          <w:szCs w:val="22"/>
        </w:rPr>
        <w:t>Labor (BB, Chemie inkl. LDH</w:t>
      </w:r>
      <w:r w:rsidR="00427F30" w:rsidRPr="00D70529">
        <w:rPr>
          <w:rFonts w:asciiTheme="minorHAnsi" w:hAnsiTheme="minorHAnsi" w:cstheme="minorHAnsi"/>
          <w:szCs w:val="22"/>
        </w:rPr>
        <w:t>, EBV-PCR</w:t>
      </w:r>
      <w:r w:rsidRPr="00D70529">
        <w:rPr>
          <w:rFonts w:asciiTheme="minorHAnsi" w:hAnsiTheme="minorHAnsi" w:cstheme="minorHAnsi"/>
          <w:szCs w:val="22"/>
        </w:rPr>
        <w:t>)</w:t>
      </w:r>
    </w:p>
    <w:p w14:paraId="42576FFB" w14:textId="77777777" w:rsidR="00CE11FC" w:rsidRPr="00D70529" w:rsidRDefault="00CE11FC" w:rsidP="007374FB">
      <w:pPr>
        <w:pStyle w:val="Textkrper-Einzug2"/>
        <w:spacing w:after="0" w:line="276" w:lineRule="auto"/>
        <w:ind w:left="0"/>
        <w:jc w:val="left"/>
        <w:rPr>
          <w:rFonts w:asciiTheme="minorHAnsi" w:hAnsiTheme="minorHAnsi" w:cstheme="minorHAnsi"/>
          <w:szCs w:val="22"/>
        </w:rPr>
      </w:pPr>
    </w:p>
    <w:p w14:paraId="2F6FC9E0" w14:textId="77777777" w:rsidR="008A6BBC" w:rsidRDefault="00CE11FC" w:rsidP="007374FB">
      <w:pPr>
        <w:pStyle w:val="Textkrper-Einzug2"/>
        <w:spacing w:after="0" w:line="276" w:lineRule="auto"/>
        <w:ind w:left="0"/>
        <w:jc w:val="left"/>
        <w:rPr>
          <w:rFonts w:asciiTheme="minorHAnsi" w:hAnsiTheme="minorHAnsi" w:cstheme="minorHAnsi"/>
          <w:szCs w:val="22"/>
        </w:rPr>
      </w:pPr>
      <w:r w:rsidRPr="00D70529">
        <w:rPr>
          <w:rFonts w:asciiTheme="minorHAnsi" w:hAnsiTheme="minorHAnsi" w:cstheme="minorHAnsi"/>
          <w:szCs w:val="22"/>
          <w:u w:val="single"/>
        </w:rPr>
        <w:t>Ab dem Jahr 2</w:t>
      </w:r>
      <w:r w:rsidRPr="00D70529">
        <w:rPr>
          <w:rFonts w:asciiTheme="minorHAnsi" w:hAnsiTheme="minorHAnsi" w:cstheme="minorHAnsi"/>
          <w:szCs w:val="22"/>
        </w:rPr>
        <w:t xml:space="preserve"> sind</w:t>
      </w:r>
      <w:r w:rsidR="005A6712" w:rsidRPr="00D70529">
        <w:rPr>
          <w:rFonts w:asciiTheme="minorHAnsi" w:hAnsiTheme="minorHAnsi" w:cstheme="minorHAnsi"/>
          <w:szCs w:val="22"/>
        </w:rPr>
        <w:t xml:space="preserve"> klinische Kontrolle </w:t>
      </w:r>
      <w:r w:rsidR="009E6913" w:rsidRPr="00D70529">
        <w:rPr>
          <w:rFonts w:asciiTheme="minorHAnsi" w:hAnsiTheme="minorHAnsi" w:cstheme="minorHAnsi"/>
          <w:szCs w:val="22"/>
        </w:rPr>
        <w:t xml:space="preserve">(Anamnese und klinische Untersuchung anhand des Nachsorgebogens) </w:t>
      </w:r>
      <w:r w:rsidR="005A6712" w:rsidRPr="00D70529">
        <w:rPr>
          <w:rFonts w:asciiTheme="minorHAnsi" w:hAnsiTheme="minorHAnsi" w:cstheme="minorHAnsi"/>
          <w:szCs w:val="22"/>
        </w:rPr>
        <w:t xml:space="preserve">alle 6 Monate für weitere </w:t>
      </w:r>
      <w:r w:rsidR="003040D1" w:rsidRPr="00D70529">
        <w:rPr>
          <w:rFonts w:asciiTheme="minorHAnsi" w:hAnsiTheme="minorHAnsi" w:cstheme="minorHAnsi"/>
          <w:szCs w:val="22"/>
        </w:rPr>
        <w:t>2</w:t>
      </w:r>
      <w:r w:rsidR="005A6712" w:rsidRPr="00D70529">
        <w:rPr>
          <w:rFonts w:asciiTheme="minorHAnsi" w:hAnsiTheme="minorHAnsi" w:cstheme="minorHAnsi"/>
          <w:szCs w:val="22"/>
        </w:rPr>
        <w:t xml:space="preserve"> Jahre, ab dem </w:t>
      </w:r>
      <w:r w:rsidR="003040D1" w:rsidRPr="00D70529">
        <w:rPr>
          <w:rFonts w:asciiTheme="minorHAnsi" w:hAnsiTheme="minorHAnsi" w:cstheme="minorHAnsi"/>
          <w:szCs w:val="22"/>
        </w:rPr>
        <w:t>5</w:t>
      </w:r>
      <w:r w:rsidR="005A6712" w:rsidRPr="00D70529">
        <w:rPr>
          <w:rFonts w:asciiTheme="minorHAnsi" w:hAnsiTheme="minorHAnsi" w:cstheme="minorHAnsi"/>
          <w:szCs w:val="22"/>
        </w:rPr>
        <w:t>. Jahr in jährlichen Abständen</w:t>
      </w:r>
      <w:r w:rsidR="003040D1" w:rsidRPr="00D70529">
        <w:rPr>
          <w:rFonts w:asciiTheme="minorHAnsi" w:hAnsiTheme="minorHAnsi" w:cstheme="minorHAnsi"/>
          <w:szCs w:val="22"/>
        </w:rPr>
        <w:t>.</w:t>
      </w:r>
    </w:p>
    <w:p w14:paraId="6EA05A1C" w14:textId="77777777" w:rsidR="008A6BBC" w:rsidRDefault="008A6BBC" w:rsidP="007374FB">
      <w:pPr>
        <w:pStyle w:val="Textkrper-Einzug2"/>
        <w:spacing w:line="276" w:lineRule="auto"/>
        <w:ind w:left="0"/>
        <w:jc w:val="left"/>
        <w:rPr>
          <w:rFonts w:asciiTheme="minorHAnsi" w:hAnsiTheme="minorHAnsi" w:cstheme="minorHAnsi"/>
          <w:szCs w:val="22"/>
        </w:rPr>
      </w:pPr>
    </w:p>
    <w:p w14:paraId="18ADC5CE" w14:textId="77777777" w:rsidR="008A6BBC" w:rsidRDefault="008A6BBC" w:rsidP="007374FB">
      <w:pPr>
        <w:pStyle w:val="Textkrper-Einzug2"/>
        <w:spacing w:line="276" w:lineRule="auto"/>
        <w:ind w:left="0"/>
        <w:jc w:val="left"/>
        <w:rPr>
          <w:rFonts w:asciiTheme="minorHAnsi" w:hAnsiTheme="minorHAnsi" w:cstheme="minorHAnsi"/>
          <w:szCs w:val="22"/>
        </w:rPr>
      </w:pPr>
    </w:p>
    <w:p w14:paraId="5D8A3D63" w14:textId="77777777" w:rsidR="003C35BB" w:rsidRDefault="003C35BB" w:rsidP="007374FB">
      <w:pPr>
        <w:pStyle w:val="Textkrper-Einzug2"/>
        <w:spacing w:line="276" w:lineRule="auto"/>
        <w:ind w:left="0"/>
        <w:jc w:val="left"/>
        <w:rPr>
          <w:rFonts w:asciiTheme="minorHAnsi" w:hAnsiTheme="minorHAnsi" w:cstheme="minorHAnsi"/>
          <w:szCs w:val="22"/>
        </w:rPr>
      </w:pPr>
    </w:p>
    <w:p w14:paraId="1B61D8BB" w14:textId="77777777" w:rsidR="00130F7C" w:rsidRDefault="00130F7C" w:rsidP="007374FB">
      <w:pPr>
        <w:pStyle w:val="Textkrper-Einzug2"/>
        <w:spacing w:line="276" w:lineRule="auto"/>
        <w:ind w:left="0"/>
        <w:jc w:val="left"/>
        <w:rPr>
          <w:rFonts w:asciiTheme="minorHAnsi" w:hAnsiTheme="minorHAnsi" w:cstheme="minorHAnsi"/>
          <w:szCs w:val="22"/>
        </w:rPr>
      </w:pPr>
      <w:r>
        <w:rPr>
          <w:rFonts w:asciiTheme="minorHAnsi" w:hAnsiTheme="minorHAnsi" w:cstheme="minorHAnsi"/>
          <w:szCs w:val="22"/>
        </w:rPr>
        <w:br/>
      </w:r>
    </w:p>
    <w:p w14:paraId="13C448A4" w14:textId="77777777" w:rsidR="00130F7C" w:rsidRDefault="00130F7C" w:rsidP="007374FB">
      <w:pPr>
        <w:spacing w:line="240" w:lineRule="auto"/>
        <w:jc w:val="left"/>
        <w:rPr>
          <w:rFonts w:asciiTheme="minorHAnsi" w:hAnsiTheme="minorHAnsi" w:cstheme="minorHAnsi"/>
          <w:szCs w:val="22"/>
        </w:rPr>
      </w:pPr>
      <w:r>
        <w:rPr>
          <w:rFonts w:asciiTheme="minorHAnsi" w:hAnsiTheme="minorHAnsi" w:cstheme="minorHAnsi"/>
          <w:szCs w:val="22"/>
        </w:rPr>
        <w:br w:type="page"/>
      </w:r>
    </w:p>
    <w:p w14:paraId="6C2372B9" w14:textId="77777777" w:rsidR="006D4DAC" w:rsidRPr="00E344D4" w:rsidRDefault="0038211D" w:rsidP="007374FB">
      <w:pPr>
        <w:pStyle w:val="berschrift1"/>
      </w:pPr>
      <w:bookmarkStart w:id="45" w:name="_Toc367183621"/>
      <w:bookmarkStart w:id="46" w:name="_Toc367183859"/>
      <w:bookmarkStart w:id="47" w:name="_Toc61379706"/>
      <w:r>
        <w:lastRenderedPageBreak/>
        <w:t>6</w:t>
      </w:r>
      <w:r w:rsidR="006D4DAC" w:rsidRPr="00E344D4">
        <w:tab/>
        <w:t>Literatur/Quellenangaben</w:t>
      </w:r>
      <w:bookmarkEnd w:id="45"/>
      <w:bookmarkEnd w:id="46"/>
      <w:bookmarkEnd w:id="47"/>
    </w:p>
    <w:p w14:paraId="26F5176C" w14:textId="77777777" w:rsidR="00DC75F2" w:rsidRPr="006047CA" w:rsidRDefault="00DC75F2" w:rsidP="007374FB">
      <w:pPr>
        <w:pStyle w:val="Textkrper-Einzug2"/>
        <w:spacing w:line="276" w:lineRule="auto"/>
        <w:ind w:left="0"/>
        <w:jc w:val="left"/>
        <w:rPr>
          <w:rStyle w:val="Buchtitel"/>
          <w:szCs w:val="22"/>
          <w:lang w:val="en-US"/>
        </w:rPr>
      </w:pPr>
      <w:r w:rsidRPr="004501B1">
        <w:rPr>
          <w:rFonts w:asciiTheme="minorHAnsi" w:hAnsiTheme="minorHAnsi" w:cstheme="minorHAnsi"/>
          <w:szCs w:val="22"/>
        </w:rPr>
        <w:t xml:space="preserve">Grundlage der Empfehlungen der vorliegenden Leitlinie sind die zum Zeitpunkt der Freigabe aktuell gültigen internationalen Empfehlungen von Onkopedia, ESMO und NCCN sowie Übersichtsarbeiten, u.a. aus UpToDate. Die nachfolgenden Quellenangaben zur Leitlinie stellen nur eine Auswahl der Literaturquellen dar, die für die Erkrankung bedeutsam sind. </w:t>
      </w:r>
      <w:r w:rsidRPr="006047CA">
        <w:rPr>
          <w:rFonts w:asciiTheme="minorHAnsi" w:hAnsiTheme="minorHAnsi" w:cstheme="minorHAnsi"/>
          <w:szCs w:val="22"/>
          <w:lang w:val="en-US"/>
        </w:rPr>
        <w:t>Weitere Literaturquellen sind den internat</w:t>
      </w:r>
      <w:r>
        <w:rPr>
          <w:rFonts w:asciiTheme="minorHAnsi" w:hAnsiTheme="minorHAnsi" w:cstheme="minorHAnsi"/>
          <w:szCs w:val="22"/>
          <w:lang w:val="en-US"/>
        </w:rPr>
        <w:t>ionalen Leitlinien zu entnehmen.</w:t>
      </w:r>
    </w:p>
    <w:p w14:paraId="23905996" w14:textId="77777777" w:rsidR="0052572C" w:rsidRDefault="0052572C" w:rsidP="007374FB">
      <w:pPr>
        <w:pStyle w:val="Textkrper-Einzug2"/>
        <w:spacing w:line="276" w:lineRule="auto"/>
        <w:ind w:left="0"/>
        <w:jc w:val="left"/>
        <w:rPr>
          <w:rFonts w:asciiTheme="minorHAnsi" w:hAnsiTheme="minorHAnsi" w:cstheme="minorHAnsi"/>
          <w:szCs w:val="22"/>
          <w:lang w:val="en-GB"/>
        </w:rPr>
      </w:pPr>
    </w:p>
    <w:p w14:paraId="73C990AD" w14:textId="77777777" w:rsidR="00786511" w:rsidRDefault="00DC75F2" w:rsidP="006A2598">
      <w:pPr>
        <w:pStyle w:val="Textkrper-Einzug2"/>
        <w:numPr>
          <w:ilvl w:val="0"/>
          <w:numId w:val="6"/>
        </w:numPr>
        <w:spacing w:after="60" w:line="240" w:lineRule="auto"/>
        <w:ind w:left="0" w:hanging="357"/>
        <w:jc w:val="left"/>
        <w:rPr>
          <w:rFonts w:asciiTheme="minorHAnsi" w:hAnsiTheme="minorHAnsi" w:cstheme="minorHAnsi"/>
          <w:szCs w:val="22"/>
          <w:lang w:val="en-GB"/>
        </w:rPr>
      </w:pPr>
      <w:r w:rsidRPr="00DC75F2">
        <w:rPr>
          <w:rFonts w:asciiTheme="minorHAnsi" w:hAnsiTheme="minorHAnsi" w:cstheme="minorHAnsi"/>
          <w:szCs w:val="22"/>
          <w:lang w:val="en-GB"/>
        </w:rPr>
        <w:t>Gurion R et al, Utility of PET-CT for Evaluation of Patients With Peripheral T-cell Lymphoma. Clin Lymphoma Myeloma Leuk. 2018</w:t>
      </w:r>
      <w:r w:rsidR="00786511">
        <w:rPr>
          <w:rFonts w:asciiTheme="minorHAnsi" w:hAnsiTheme="minorHAnsi" w:cstheme="minorHAnsi"/>
          <w:szCs w:val="22"/>
          <w:lang w:val="en-GB"/>
        </w:rPr>
        <w:t>;18(10):687-691</w:t>
      </w:r>
    </w:p>
    <w:p w14:paraId="16C03E1A" w14:textId="77777777" w:rsidR="003E3DA7" w:rsidRDefault="00786511" w:rsidP="006A2598">
      <w:pPr>
        <w:pStyle w:val="Textkrper-Einzug2"/>
        <w:numPr>
          <w:ilvl w:val="0"/>
          <w:numId w:val="6"/>
        </w:numPr>
        <w:spacing w:after="60" w:line="240" w:lineRule="auto"/>
        <w:ind w:left="0" w:hanging="357"/>
        <w:jc w:val="left"/>
        <w:rPr>
          <w:rFonts w:asciiTheme="minorHAnsi" w:hAnsiTheme="minorHAnsi" w:cstheme="minorHAnsi"/>
          <w:szCs w:val="22"/>
          <w:lang w:val="en-GB"/>
        </w:rPr>
      </w:pPr>
      <w:r w:rsidRPr="00786511">
        <w:rPr>
          <w:rFonts w:asciiTheme="minorHAnsi" w:hAnsiTheme="minorHAnsi" w:cstheme="minorHAnsi"/>
          <w:szCs w:val="22"/>
          <w:lang w:val="en-GB"/>
        </w:rPr>
        <w:t>Miyata-Takata T</w:t>
      </w:r>
      <w:r>
        <w:rPr>
          <w:rFonts w:asciiTheme="minorHAnsi" w:hAnsiTheme="minorHAnsi" w:cstheme="minorHAnsi"/>
          <w:szCs w:val="22"/>
          <w:lang w:val="en-GB"/>
        </w:rPr>
        <w:t xml:space="preserve"> et al, </w:t>
      </w:r>
      <w:r w:rsidRPr="00786511">
        <w:rPr>
          <w:rFonts w:asciiTheme="minorHAnsi" w:hAnsiTheme="minorHAnsi" w:cstheme="minorHAnsi"/>
          <w:szCs w:val="22"/>
          <w:lang w:val="en-GB"/>
        </w:rPr>
        <w:t xml:space="preserve">Expression of T-cell receptor signalling pathway components in extranodal NK/T-cell lymphoma. </w:t>
      </w:r>
      <w:r>
        <w:rPr>
          <w:rFonts w:asciiTheme="minorHAnsi" w:hAnsiTheme="minorHAnsi" w:cstheme="minorHAnsi"/>
          <w:szCs w:val="22"/>
          <w:lang w:val="en-GB"/>
        </w:rPr>
        <w:t>Histopathology. 2018;73(6):1030-1038</w:t>
      </w:r>
    </w:p>
    <w:p w14:paraId="681B2BA8" w14:textId="77777777" w:rsidR="003F6EA9" w:rsidRDefault="003E3DA7" w:rsidP="006A2598">
      <w:pPr>
        <w:pStyle w:val="Textkrper-Einzug2"/>
        <w:numPr>
          <w:ilvl w:val="0"/>
          <w:numId w:val="6"/>
        </w:numPr>
        <w:spacing w:after="60" w:line="240" w:lineRule="auto"/>
        <w:ind w:left="0" w:hanging="357"/>
        <w:jc w:val="left"/>
        <w:rPr>
          <w:rFonts w:asciiTheme="minorHAnsi" w:hAnsiTheme="minorHAnsi" w:cstheme="minorHAnsi"/>
          <w:szCs w:val="22"/>
          <w:lang w:val="en-GB"/>
        </w:rPr>
      </w:pPr>
      <w:r w:rsidRPr="003E3DA7">
        <w:rPr>
          <w:rFonts w:asciiTheme="minorHAnsi" w:hAnsiTheme="minorHAnsi" w:cstheme="minorHAnsi"/>
          <w:szCs w:val="22"/>
          <w:lang w:val="en-GB"/>
        </w:rPr>
        <w:t>Takayama T et al, Identification of T-cell receptor expression in EBV-positive neoplastic cells in extranodal NK/T-cell lymphoma, nasal-type, and comparison with T-cell receptor gene rearrangement by BIOMED-2 assay. Hum Pathol. 2018;73:51-58</w:t>
      </w:r>
    </w:p>
    <w:p w14:paraId="7566BF6B" w14:textId="77777777" w:rsidR="003F6EA9" w:rsidRDefault="003F6EA9" w:rsidP="006A2598">
      <w:pPr>
        <w:pStyle w:val="Textkrper-Einzug2"/>
        <w:numPr>
          <w:ilvl w:val="0"/>
          <w:numId w:val="6"/>
        </w:numPr>
        <w:spacing w:after="60" w:line="240" w:lineRule="auto"/>
        <w:ind w:left="0" w:hanging="357"/>
        <w:jc w:val="left"/>
        <w:rPr>
          <w:rFonts w:asciiTheme="minorHAnsi" w:hAnsiTheme="minorHAnsi" w:cstheme="minorHAnsi"/>
          <w:szCs w:val="22"/>
          <w:lang w:val="en-GB"/>
        </w:rPr>
      </w:pPr>
      <w:r w:rsidRPr="003F6EA9">
        <w:rPr>
          <w:rFonts w:asciiTheme="minorHAnsi" w:hAnsiTheme="minorHAnsi" w:cstheme="minorHAnsi"/>
          <w:szCs w:val="22"/>
          <w:lang w:val="en-GB"/>
        </w:rPr>
        <w:t>Amin HM, Lai R. Pathobiology of ALK+ anaplastic large-cell</w:t>
      </w:r>
      <w:r w:rsidR="000155EA">
        <w:rPr>
          <w:rFonts w:asciiTheme="minorHAnsi" w:hAnsiTheme="minorHAnsi" w:cstheme="minorHAnsi"/>
          <w:szCs w:val="22"/>
          <w:lang w:val="en-GB"/>
        </w:rPr>
        <w:t xml:space="preserve"> lymphoma. Blood 2007; 110:2259</w:t>
      </w:r>
    </w:p>
    <w:p w14:paraId="01CA6196" w14:textId="77777777" w:rsidR="003F6EA9" w:rsidRDefault="003F6EA9" w:rsidP="006A2598">
      <w:pPr>
        <w:pStyle w:val="Textkrper-Einzug2"/>
        <w:numPr>
          <w:ilvl w:val="0"/>
          <w:numId w:val="6"/>
        </w:numPr>
        <w:spacing w:after="60" w:line="240" w:lineRule="auto"/>
        <w:ind w:left="0" w:hanging="357"/>
        <w:jc w:val="left"/>
        <w:rPr>
          <w:rFonts w:asciiTheme="minorHAnsi" w:hAnsiTheme="minorHAnsi" w:cstheme="minorHAnsi"/>
          <w:szCs w:val="22"/>
          <w:lang w:val="en-GB"/>
        </w:rPr>
      </w:pPr>
      <w:r w:rsidRPr="003F6EA9">
        <w:rPr>
          <w:rFonts w:asciiTheme="minorHAnsi" w:hAnsiTheme="minorHAnsi" w:cstheme="minorHAnsi"/>
          <w:szCs w:val="22"/>
          <w:lang w:val="en-GB"/>
        </w:rPr>
        <w:t>Parrilla Castellar ER et al, ALK-negative anaplastic large cell lymphoma is a genetically heterogeneous disease with widely disparate clinical outcomes. Blood 2014; 124(9): 1473–1480.</w:t>
      </w:r>
    </w:p>
    <w:p w14:paraId="4C0E78C1" w14:textId="77777777" w:rsidR="003F6EA9" w:rsidRDefault="003F6EA9" w:rsidP="006A2598">
      <w:pPr>
        <w:pStyle w:val="Textkrper-Einzug2"/>
        <w:numPr>
          <w:ilvl w:val="0"/>
          <w:numId w:val="6"/>
        </w:numPr>
        <w:spacing w:after="60" w:line="240" w:lineRule="auto"/>
        <w:ind w:left="0" w:hanging="357"/>
        <w:jc w:val="left"/>
        <w:rPr>
          <w:rFonts w:asciiTheme="minorHAnsi" w:hAnsiTheme="minorHAnsi" w:cstheme="minorHAnsi"/>
          <w:szCs w:val="22"/>
          <w:lang w:val="en-GB"/>
        </w:rPr>
      </w:pPr>
      <w:r w:rsidRPr="003F6EA9">
        <w:rPr>
          <w:rFonts w:asciiTheme="minorHAnsi" w:hAnsiTheme="minorHAnsi" w:cstheme="minorHAnsi"/>
          <w:szCs w:val="22"/>
          <w:lang w:val="en-GB"/>
        </w:rPr>
        <w:t>Schlegelberger B et al, Stepwise development of chromosomal abnormalities in angioimmunoblastic lymphadenopathy. Cancer Ge</w:t>
      </w:r>
      <w:r w:rsidR="000155EA">
        <w:rPr>
          <w:rFonts w:asciiTheme="minorHAnsi" w:hAnsiTheme="minorHAnsi" w:cstheme="minorHAnsi"/>
          <w:szCs w:val="22"/>
          <w:lang w:val="en-GB"/>
        </w:rPr>
        <w:t>net Cytogenet 1990; 50(1):15-29</w:t>
      </w:r>
    </w:p>
    <w:p w14:paraId="623B65F8" w14:textId="77777777" w:rsidR="003F6EA9" w:rsidRDefault="003F6EA9" w:rsidP="006A2598">
      <w:pPr>
        <w:pStyle w:val="Textkrper-Einzug2"/>
        <w:numPr>
          <w:ilvl w:val="0"/>
          <w:numId w:val="6"/>
        </w:numPr>
        <w:spacing w:after="60" w:line="240" w:lineRule="auto"/>
        <w:ind w:left="0" w:hanging="357"/>
        <w:jc w:val="left"/>
        <w:rPr>
          <w:rFonts w:asciiTheme="minorHAnsi" w:hAnsiTheme="minorHAnsi" w:cstheme="minorHAnsi"/>
          <w:szCs w:val="22"/>
          <w:lang w:val="en-GB"/>
        </w:rPr>
      </w:pPr>
      <w:r w:rsidRPr="003F6EA9">
        <w:rPr>
          <w:rFonts w:asciiTheme="minorHAnsi" w:hAnsiTheme="minorHAnsi" w:cstheme="minorHAnsi"/>
          <w:szCs w:val="22"/>
          <w:lang w:val="en-GB"/>
        </w:rPr>
        <w:t xml:space="preserve">Au WY, Pang A, Choy C, Chim CS, Kwong YL. Quantification of circulating Epstein-Barr virus (EBV) DNA in the diagnosis and monitoring of natural killer cell and EBV-positive lymphomas in </w:t>
      </w:r>
      <w:r>
        <w:rPr>
          <w:rFonts w:asciiTheme="minorHAnsi" w:hAnsiTheme="minorHAnsi" w:cstheme="minorHAnsi"/>
          <w:szCs w:val="22"/>
          <w:lang w:val="en-GB"/>
        </w:rPr>
        <w:t>immunocompetent patients. Blood</w:t>
      </w:r>
      <w:r w:rsidRPr="003F6EA9">
        <w:rPr>
          <w:rFonts w:asciiTheme="minorHAnsi" w:hAnsiTheme="minorHAnsi" w:cstheme="minorHAnsi"/>
          <w:szCs w:val="22"/>
          <w:lang w:val="en-GB"/>
        </w:rPr>
        <w:t xml:space="preserve"> 2004;104(1):243-249</w:t>
      </w:r>
    </w:p>
    <w:p w14:paraId="1BC3D47B" w14:textId="77777777" w:rsidR="000155EA" w:rsidRDefault="003F6EA9" w:rsidP="006A2598">
      <w:pPr>
        <w:pStyle w:val="Textkrper-Einzug2"/>
        <w:numPr>
          <w:ilvl w:val="0"/>
          <w:numId w:val="6"/>
        </w:numPr>
        <w:spacing w:after="60" w:line="240" w:lineRule="auto"/>
        <w:ind w:left="0" w:hanging="357"/>
        <w:jc w:val="left"/>
        <w:rPr>
          <w:rFonts w:asciiTheme="minorHAnsi" w:hAnsiTheme="minorHAnsi" w:cstheme="minorHAnsi"/>
          <w:szCs w:val="22"/>
          <w:lang w:val="en-GB"/>
        </w:rPr>
      </w:pPr>
      <w:r w:rsidRPr="003F6EA9">
        <w:rPr>
          <w:rFonts w:asciiTheme="minorHAnsi" w:hAnsiTheme="minorHAnsi" w:cstheme="minorHAnsi"/>
          <w:szCs w:val="22"/>
          <w:lang w:val="en-GB"/>
        </w:rPr>
        <w:t>Kwong YL, Pang AW, Leung AY, Chim CS, Tse E. Quantification of circulating Epstein-Barr virus DNA in NK/T-cell lymphoma treated with the SMILE protocol: diagnostic and pr</w:t>
      </w:r>
      <w:r>
        <w:rPr>
          <w:rFonts w:asciiTheme="minorHAnsi" w:hAnsiTheme="minorHAnsi" w:cstheme="minorHAnsi"/>
          <w:szCs w:val="22"/>
          <w:lang w:val="en-GB"/>
        </w:rPr>
        <w:t>ognostic significance. Leukemia</w:t>
      </w:r>
      <w:r w:rsidR="000155EA">
        <w:rPr>
          <w:rFonts w:asciiTheme="minorHAnsi" w:hAnsiTheme="minorHAnsi" w:cstheme="minorHAnsi"/>
          <w:szCs w:val="22"/>
          <w:lang w:val="en-GB"/>
        </w:rPr>
        <w:t xml:space="preserve"> 2014;28:865–70</w:t>
      </w:r>
    </w:p>
    <w:p w14:paraId="42BB300D" w14:textId="77777777" w:rsidR="000155EA" w:rsidRDefault="000155EA" w:rsidP="006A2598">
      <w:pPr>
        <w:pStyle w:val="Textkrper-Einzug2"/>
        <w:numPr>
          <w:ilvl w:val="0"/>
          <w:numId w:val="6"/>
        </w:numPr>
        <w:spacing w:after="60" w:line="240" w:lineRule="auto"/>
        <w:ind w:left="0" w:hanging="357"/>
        <w:jc w:val="left"/>
        <w:rPr>
          <w:rFonts w:asciiTheme="minorHAnsi" w:hAnsiTheme="minorHAnsi" w:cstheme="minorHAnsi"/>
          <w:szCs w:val="22"/>
          <w:lang w:val="en-GB"/>
        </w:rPr>
      </w:pPr>
      <w:r w:rsidRPr="000155EA">
        <w:rPr>
          <w:rFonts w:asciiTheme="minorHAnsi" w:hAnsiTheme="minorHAnsi" w:cstheme="minorHAnsi"/>
          <w:szCs w:val="22"/>
          <w:lang w:val="en-GB"/>
        </w:rPr>
        <w:t>d’Amor F et al, Up-front autologous stem-cell transplantation in peripheral T-cell lymphoma: NLG-T-01.</w:t>
      </w:r>
      <w:r>
        <w:rPr>
          <w:rFonts w:asciiTheme="minorHAnsi" w:hAnsiTheme="minorHAnsi" w:cstheme="minorHAnsi"/>
          <w:szCs w:val="22"/>
          <w:lang w:val="en-GB"/>
        </w:rPr>
        <w:t xml:space="preserve"> J Clin Oncol 2012</w:t>
      </w:r>
      <w:r w:rsidRPr="000155EA">
        <w:rPr>
          <w:rFonts w:asciiTheme="minorHAnsi" w:hAnsiTheme="minorHAnsi" w:cstheme="minorHAnsi"/>
          <w:szCs w:val="22"/>
          <w:lang w:val="en-GB"/>
        </w:rPr>
        <w:t>;</w:t>
      </w:r>
      <w:r>
        <w:rPr>
          <w:rFonts w:asciiTheme="minorHAnsi" w:hAnsiTheme="minorHAnsi" w:cstheme="minorHAnsi"/>
          <w:szCs w:val="22"/>
          <w:lang w:val="en-GB"/>
        </w:rPr>
        <w:t xml:space="preserve"> 30(25):3093-9</w:t>
      </w:r>
    </w:p>
    <w:p w14:paraId="222F337F" w14:textId="77777777" w:rsidR="00752159" w:rsidRDefault="000155EA" w:rsidP="006A2598">
      <w:pPr>
        <w:pStyle w:val="Textkrper-Einzug2"/>
        <w:numPr>
          <w:ilvl w:val="0"/>
          <w:numId w:val="6"/>
        </w:numPr>
        <w:spacing w:after="60" w:line="240" w:lineRule="auto"/>
        <w:ind w:left="0" w:hanging="357"/>
        <w:jc w:val="left"/>
        <w:rPr>
          <w:rFonts w:asciiTheme="minorHAnsi" w:hAnsiTheme="minorHAnsi" w:cstheme="minorHAnsi"/>
          <w:szCs w:val="22"/>
          <w:lang w:val="en-GB"/>
        </w:rPr>
      </w:pPr>
      <w:r w:rsidRPr="000155EA">
        <w:rPr>
          <w:rFonts w:asciiTheme="minorHAnsi" w:hAnsiTheme="minorHAnsi" w:cstheme="minorHAnsi"/>
          <w:szCs w:val="22"/>
          <w:lang w:val="en-GB"/>
        </w:rPr>
        <w:t>Schmitz N et al. Treatment and prognosis of mature T-cell and NK-cell lymphoma: an analysis of patients with T-cell lymphoma treated in studies of the German High-Grade Non-Hodgkin Lymphoma Study Group. Blood 2010; 116:3418.</w:t>
      </w:r>
    </w:p>
    <w:p w14:paraId="07D761A3" w14:textId="77777777" w:rsidR="00752159" w:rsidRDefault="00752159" w:rsidP="006A2598">
      <w:pPr>
        <w:pStyle w:val="Textkrper-Einzug2"/>
        <w:numPr>
          <w:ilvl w:val="0"/>
          <w:numId w:val="6"/>
        </w:numPr>
        <w:spacing w:after="60" w:line="240" w:lineRule="auto"/>
        <w:ind w:left="0" w:hanging="357"/>
        <w:jc w:val="left"/>
        <w:rPr>
          <w:rFonts w:asciiTheme="minorHAnsi" w:hAnsiTheme="minorHAnsi" w:cstheme="minorHAnsi"/>
          <w:szCs w:val="22"/>
          <w:lang w:val="en-GB"/>
        </w:rPr>
      </w:pPr>
      <w:r w:rsidRPr="00752159">
        <w:rPr>
          <w:rFonts w:asciiTheme="minorHAnsi" w:hAnsiTheme="minorHAnsi" w:cstheme="minorHAnsi"/>
          <w:szCs w:val="22"/>
          <w:lang w:val="en-GB"/>
        </w:rPr>
        <w:t>Chihara D et al, The risk of central nervous system relapses in patients with peripheral T-cell lymphoma. PLoS ONE 2018; 13(3): e0191461</w:t>
      </w:r>
    </w:p>
    <w:p w14:paraId="6CC95D2A" w14:textId="77777777" w:rsidR="00C33330" w:rsidRDefault="00752159" w:rsidP="006A2598">
      <w:pPr>
        <w:pStyle w:val="Textkrper-Einzug2"/>
        <w:numPr>
          <w:ilvl w:val="0"/>
          <w:numId w:val="6"/>
        </w:numPr>
        <w:spacing w:after="60" w:line="240" w:lineRule="auto"/>
        <w:ind w:left="0" w:hanging="357"/>
        <w:jc w:val="left"/>
        <w:rPr>
          <w:rFonts w:asciiTheme="minorHAnsi" w:hAnsiTheme="minorHAnsi" w:cstheme="minorHAnsi"/>
          <w:szCs w:val="22"/>
          <w:lang w:val="en-GB"/>
        </w:rPr>
      </w:pPr>
      <w:r w:rsidRPr="00942D0D">
        <w:rPr>
          <w:rFonts w:asciiTheme="minorHAnsi" w:hAnsiTheme="minorHAnsi" w:cstheme="minorHAnsi"/>
          <w:szCs w:val="22"/>
          <w:lang w:val="en-GB"/>
        </w:rPr>
        <w:t>Pro B, Central nervous system prophylaxis in peripheral T-cell lymphoma. Blood 2010; 115 (26): 5427.</w:t>
      </w:r>
    </w:p>
    <w:p w14:paraId="040801E2" w14:textId="77777777" w:rsidR="00AA15A0" w:rsidRDefault="00C33330" w:rsidP="006A2598">
      <w:pPr>
        <w:pStyle w:val="Textkrper-Einzug2"/>
        <w:numPr>
          <w:ilvl w:val="0"/>
          <w:numId w:val="6"/>
        </w:numPr>
        <w:spacing w:after="60" w:line="240" w:lineRule="auto"/>
        <w:ind w:left="0" w:hanging="357"/>
        <w:jc w:val="left"/>
        <w:rPr>
          <w:rFonts w:asciiTheme="minorHAnsi" w:hAnsiTheme="minorHAnsi" w:cstheme="minorHAnsi"/>
          <w:szCs w:val="22"/>
          <w:lang w:val="en-GB"/>
        </w:rPr>
      </w:pPr>
      <w:r w:rsidRPr="00C33330">
        <w:rPr>
          <w:rFonts w:asciiTheme="minorHAnsi" w:hAnsiTheme="minorHAnsi" w:cstheme="minorHAnsi"/>
          <w:szCs w:val="22"/>
          <w:lang w:val="en-GB"/>
        </w:rPr>
        <w:t>Horwitz S et al, Brentuximab vedotin with chemotherapy for CD30-positive peripheral T-cell lymphoma (ECHELON-2): a global, double-blind, randomised, phase 3 trial. Lancet. 2019; 393(10168):229-240</w:t>
      </w:r>
    </w:p>
    <w:p w14:paraId="423CE4B0" w14:textId="77777777" w:rsidR="00AA15A0" w:rsidRDefault="00AA15A0" w:rsidP="006A2598">
      <w:pPr>
        <w:pStyle w:val="Textkrper-Einzug2"/>
        <w:numPr>
          <w:ilvl w:val="0"/>
          <w:numId w:val="6"/>
        </w:numPr>
        <w:spacing w:after="60" w:line="240" w:lineRule="auto"/>
        <w:ind w:left="0" w:hanging="357"/>
        <w:jc w:val="left"/>
        <w:rPr>
          <w:rFonts w:asciiTheme="minorHAnsi" w:hAnsiTheme="minorHAnsi" w:cstheme="minorHAnsi"/>
          <w:szCs w:val="22"/>
          <w:lang w:val="en-GB"/>
        </w:rPr>
      </w:pPr>
      <w:r w:rsidRPr="00AA15A0">
        <w:rPr>
          <w:rFonts w:asciiTheme="minorHAnsi" w:hAnsiTheme="minorHAnsi" w:cstheme="minorHAnsi"/>
          <w:szCs w:val="22"/>
          <w:lang w:val="en-GB"/>
        </w:rPr>
        <w:t>Yamaguchi et al, Concurrent Chemoradiotherapy for Localized Nasal Natural Killer/T-Cell Lymphoma: An Updated Analysis of the Japan Clinical Oncology Group Study JCOG0211, J Clin Oncol 2012</w:t>
      </w:r>
    </w:p>
    <w:p w14:paraId="351E0682" w14:textId="77777777" w:rsidR="00AA15A0" w:rsidRDefault="00AA15A0" w:rsidP="006A2598">
      <w:pPr>
        <w:pStyle w:val="Textkrper-Einzug2"/>
        <w:numPr>
          <w:ilvl w:val="0"/>
          <w:numId w:val="6"/>
        </w:numPr>
        <w:spacing w:after="60" w:line="240" w:lineRule="auto"/>
        <w:ind w:left="0" w:hanging="357"/>
        <w:jc w:val="left"/>
        <w:rPr>
          <w:rFonts w:asciiTheme="minorHAnsi" w:hAnsiTheme="minorHAnsi" w:cstheme="minorHAnsi"/>
          <w:szCs w:val="22"/>
          <w:lang w:val="en-GB"/>
        </w:rPr>
      </w:pPr>
      <w:r w:rsidRPr="00AA15A0">
        <w:rPr>
          <w:rFonts w:asciiTheme="minorHAnsi" w:hAnsiTheme="minorHAnsi" w:cstheme="minorHAnsi"/>
          <w:szCs w:val="22"/>
          <w:lang w:val="en-GB"/>
        </w:rPr>
        <w:t>Kim et al, Treatment of localized extranodal NK/T cell lymphoma, nasal type: a systematic review Journal of Hematology &amp; Oncology (2018) 11:140</w:t>
      </w:r>
    </w:p>
    <w:p w14:paraId="5BEC8982" w14:textId="77777777" w:rsidR="00364FC2" w:rsidRPr="005A1657" w:rsidRDefault="00AA15A0" w:rsidP="006A2598">
      <w:pPr>
        <w:pStyle w:val="Textkrper-Einzug2"/>
        <w:numPr>
          <w:ilvl w:val="0"/>
          <w:numId w:val="6"/>
        </w:numPr>
        <w:spacing w:after="60" w:line="240" w:lineRule="auto"/>
        <w:ind w:left="0" w:hanging="357"/>
        <w:jc w:val="left"/>
        <w:rPr>
          <w:rFonts w:asciiTheme="minorHAnsi" w:hAnsiTheme="minorHAnsi" w:cstheme="minorHAnsi"/>
          <w:szCs w:val="22"/>
          <w:lang w:val="en-GB"/>
        </w:rPr>
      </w:pPr>
      <w:r w:rsidRPr="00AA15A0">
        <w:rPr>
          <w:rFonts w:asciiTheme="minorHAnsi" w:hAnsiTheme="minorHAnsi" w:cstheme="minorHAnsi"/>
          <w:szCs w:val="22"/>
          <w:lang w:val="en-GB"/>
        </w:rPr>
        <w:t xml:space="preserve">Yamaguchi et al, Phase II study of SMILE chemotherapy for newly diagnosed stage IV, relapsed, or </w:t>
      </w:r>
      <w:r w:rsidRPr="005A1657">
        <w:rPr>
          <w:rFonts w:asciiTheme="minorHAnsi" w:hAnsiTheme="minorHAnsi" w:cstheme="minorHAnsi"/>
          <w:szCs w:val="22"/>
          <w:lang w:val="en-GB"/>
        </w:rPr>
        <w:t>refractory extranodal natural killer (NK)/T-cell lymphoma, nasal type: the NK-Cell Tumor Study Group study, J Clin Oncol. 2011</w:t>
      </w:r>
    </w:p>
    <w:p w14:paraId="1C6429BA" w14:textId="77777777" w:rsidR="00173420" w:rsidRPr="005A1657" w:rsidRDefault="00364FC2" w:rsidP="006A2598">
      <w:pPr>
        <w:pStyle w:val="Textkrper-Einzug2"/>
        <w:numPr>
          <w:ilvl w:val="0"/>
          <w:numId w:val="6"/>
        </w:numPr>
        <w:spacing w:after="60" w:line="240" w:lineRule="auto"/>
        <w:ind w:left="0" w:hanging="357"/>
        <w:jc w:val="left"/>
        <w:rPr>
          <w:rFonts w:asciiTheme="minorHAnsi" w:hAnsiTheme="minorHAnsi" w:cstheme="minorHAnsi"/>
          <w:szCs w:val="22"/>
          <w:lang w:val="en-GB"/>
        </w:rPr>
      </w:pPr>
      <w:r w:rsidRPr="005A1657">
        <w:rPr>
          <w:rFonts w:asciiTheme="minorHAnsi" w:hAnsiTheme="minorHAnsi" w:cstheme="minorHAnsi"/>
          <w:szCs w:val="22"/>
          <w:lang w:val="en-GB"/>
        </w:rPr>
        <w:t>Kwong YL et al., SMILE for natural killer/T-cell lymphoma: analysis of safety and efficacy from the Asia Lymphoma Study Group. Blood. 2012;120(15):2973</w:t>
      </w:r>
    </w:p>
    <w:p w14:paraId="49A194D1" w14:textId="77777777" w:rsidR="006D3B7B" w:rsidRDefault="00173420" w:rsidP="006A2598">
      <w:pPr>
        <w:pStyle w:val="Textkrper-Einzug2"/>
        <w:numPr>
          <w:ilvl w:val="0"/>
          <w:numId w:val="6"/>
        </w:numPr>
        <w:spacing w:after="60" w:line="240" w:lineRule="auto"/>
        <w:ind w:left="0" w:hanging="357"/>
        <w:jc w:val="left"/>
        <w:rPr>
          <w:rFonts w:asciiTheme="minorHAnsi" w:hAnsiTheme="minorHAnsi" w:cstheme="minorHAnsi"/>
          <w:szCs w:val="22"/>
          <w:lang w:val="en-GB"/>
        </w:rPr>
      </w:pPr>
      <w:r w:rsidRPr="005A1657">
        <w:rPr>
          <w:rFonts w:asciiTheme="minorHAnsi" w:hAnsiTheme="minorHAnsi" w:cstheme="minorHAnsi"/>
          <w:szCs w:val="22"/>
          <w:lang w:val="en-GB"/>
        </w:rPr>
        <w:lastRenderedPageBreak/>
        <w:t>Wang JJ et al., GDP (Gemcitabine, Dexamethasone, and Cisplatin) Is Highly Effective and Well-Tolerated for Newly Diagnosed Stage IV and Relapsed/Refractory Extranodal Natural Killer/T-Cell Lymphoma, Nasal Type. Medicine (Baltimore). 2016;95(6):e2787.</w:t>
      </w:r>
    </w:p>
    <w:p w14:paraId="56D7045E" w14:textId="77777777" w:rsidR="006D3B7B" w:rsidRDefault="006D3B7B" w:rsidP="006A2598">
      <w:pPr>
        <w:pStyle w:val="Textkrper-Einzug2"/>
        <w:numPr>
          <w:ilvl w:val="0"/>
          <w:numId w:val="6"/>
        </w:numPr>
        <w:spacing w:after="60" w:line="240" w:lineRule="auto"/>
        <w:ind w:left="0" w:hanging="357"/>
        <w:jc w:val="left"/>
        <w:rPr>
          <w:rFonts w:asciiTheme="minorHAnsi" w:hAnsiTheme="minorHAnsi" w:cstheme="minorHAnsi"/>
          <w:szCs w:val="22"/>
          <w:lang w:val="en-GB"/>
        </w:rPr>
      </w:pPr>
      <w:r w:rsidRPr="004501B1">
        <w:rPr>
          <w:rFonts w:asciiTheme="minorHAnsi" w:hAnsiTheme="minorHAnsi" w:cstheme="minorHAnsi"/>
          <w:szCs w:val="22"/>
        </w:rPr>
        <w:t xml:space="preserve">Wang X, Zhang L, Liu X, et al. </w:t>
      </w:r>
      <w:r w:rsidRPr="006D3B7B">
        <w:rPr>
          <w:rFonts w:asciiTheme="minorHAnsi" w:hAnsiTheme="minorHAnsi" w:cstheme="minorHAnsi"/>
          <w:szCs w:val="22"/>
          <w:lang w:val="en-GB"/>
        </w:rPr>
        <w:t>Efficacy and survival in newly diagnosed advanced extranodal natural</w:t>
      </w:r>
      <w:r>
        <w:rPr>
          <w:rFonts w:asciiTheme="minorHAnsi" w:hAnsiTheme="minorHAnsi" w:cstheme="minorHAnsi"/>
          <w:szCs w:val="22"/>
          <w:lang w:val="en-GB"/>
        </w:rPr>
        <w:t xml:space="preserve"> </w:t>
      </w:r>
      <w:r w:rsidRPr="006D3B7B">
        <w:rPr>
          <w:rFonts w:asciiTheme="minorHAnsi" w:hAnsiTheme="minorHAnsi" w:cstheme="minorHAnsi"/>
          <w:szCs w:val="22"/>
          <w:lang w:val="en-GB"/>
        </w:rPr>
        <w:t>killer/T-cell lymphoma: a randomized, controlled, multicenter and open-labeled study with DDGP</w:t>
      </w:r>
      <w:r>
        <w:rPr>
          <w:rFonts w:asciiTheme="minorHAnsi" w:hAnsiTheme="minorHAnsi" w:cstheme="minorHAnsi"/>
          <w:szCs w:val="22"/>
          <w:lang w:val="en-GB"/>
        </w:rPr>
        <w:t xml:space="preserve"> </w:t>
      </w:r>
      <w:r w:rsidRPr="006D3B7B">
        <w:rPr>
          <w:rFonts w:asciiTheme="minorHAnsi" w:hAnsiTheme="minorHAnsi" w:cstheme="minorHAnsi"/>
          <w:szCs w:val="22"/>
          <w:lang w:val="en-GB"/>
        </w:rPr>
        <w:t>regimen versus SMILE regimen. Abstract #463. Presented at the 2019 American Society of</w:t>
      </w:r>
      <w:r>
        <w:rPr>
          <w:rFonts w:asciiTheme="minorHAnsi" w:hAnsiTheme="minorHAnsi" w:cstheme="minorHAnsi"/>
          <w:szCs w:val="22"/>
          <w:lang w:val="en-GB"/>
        </w:rPr>
        <w:t xml:space="preserve"> </w:t>
      </w:r>
      <w:r w:rsidRPr="006D3B7B">
        <w:rPr>
          <w:rFonts w:asciiTheme="minorHAnsi" w:hAnsiTheme="minorHAnsi" w:cstheme="minorHAnsi"/>
          <w:szCs w:val="22"/>
          <w:lang w:val="en-GB"/>
        </w:rPr>
        <w:t xml:space="preserve">Hematology Annual Meeting, December 8, 2019; Orlando, </w:t>
      </w:r>
    </w:p>
    <w:p w14:paraId="11CF8050" w14:textId="77777777" w:rsidR="00364FC2" w:rsidRPr="006D3B7B" w:rsidRDefault="006D3B7B" w:rsidP="006A2598">
      <w:pPr>
        <w:pStyle w:val="Textkrper-Einzug2"/>
        <w:numPr>
          <w:ilvl w:val="0"/>
          <w:numId w:val="6"/>
        </w:numPr>
        <w:spacing w:after="60" w:line="240" w:lineRule="auto"/>
        <w:ind w:left="0" w:hanging="357"/>
        <w:jc w:val="left"/>
        <w:rPr>
          <w:rFonts w:asciiTheme="minorHAnsi" w:hAnsiTheme="minorHAnsi" w:cstheme="minorHAnsi"/>
          <w:szCs w:val="22"/>
          <w:lang w:val="en-GB"/>
        </w:rPr>
      </w:pPr>
      <w:r w:rsidRPr="006D3B7B">
        <w:rPr>
          <w:rFonts w:asciiTheme="minorHAnsi" w:hAnsiTheme="minorHAnsi" w:cstheme="minorHAnsi"/>
          <w:szCs w:val="22"/>
          <w:lang w:val="en-GB"/>
        </w:rPr>
        <w:t>FL</w:t>
      </w:r>
      <w:r w:rsidR="00AA15A0" w:rsidRPr="006D3B7B">
        <w:rPr>
          <w:rFonts w:asciiTheme="minorHAnsi" w:hAnsiTheme="minorHAnsi" w:cstheme="minorHAnsi"/>
          <w:szCs w:val="22"/>
          <w:lang w:val="en-GB"/>
        </w:rPr>
        <w:t>Lee J et al, Autologous hematopoietic stem cell transplantation in extranodal natural killer/T cell lymphoma: a multinational, multicenter, matched controlled study; Biol Blood Marrow Transplant. 2008;14(12):1356</w:t>
      </w:r>
    </w:p>
    <w:p w14:paraId="607A41B2" w14:textId="77777777" w:rsidR="00364FC2" w:rsidRDefault="00AA15A0" w:rsidP="006A2598">
      <w:pPr>
        <w:pStyle w:val="Textkrper-Einzug2"/>
        <w:numPr>
          <w:ilvl w:val="0"/>
          <w:numId w:val="6"/>
        </w:numPr>
        <w:spacing w:after="60" w:line="240" w:lineRule="auto"/>
        <w:ind w:left="0" w:hanging="357"/>
        <w:jc w:val="left"/>
        <w:rPr>
          <w:rFonts w:asciiTheme="minorHAnsi" w:hAnsiTheme="minorHAnsi" w:cstheme="minorHAnsi"/>
          <w:szCs w:val="22"/>
          <w:lang w:val="en-GB"/>
        </w:rPr>
      </w:pPr>
      <w:r w:rsidRPr="00364FC2">
        <w:rPr>
          <w:rFonts w:asciiTheme="minorHAnsi" w:hAnsiTheme="minorHAnsi" w:cstheme="minorHAnsi"/>
          <w:szCs w:val="22"/>
          <w:lang w:val="en-GB"/>
        </w:rPr>
        <w:t>Kim SJ, A prognostic index for natural killer cell lymphoma after non-anthracycline-based treatment: a multicentre, retrospective analysis, Lancet Oncol. 2016;17:389-400</w:t>
      </w:r>
    </w:p>
    <w:p w14:paraId="4D373230" w14:textId="77777777" w:rsidR="00364FC2" w:rsidRDefault="00AA15A0" w:rsidP="006A2598">
      <w:pPr>
        <w:pStyle w:val="Textkrper-Einzug2"/>
        <w:numPr>
          <w:ilvl w:val="0"/>
          <w:numId w:val="6"/>
        </w:numPr>
        <w:spacing w:after="60" w:line="240" w:lineRule="auto"/>
        <w:ind w:left="0" w:hanging="357"/>
        <w:jc w:val="left"/>
        <w:rPr>
          <w:rFonts w:asciiTheme="minorHAnsi" w:hAnsiTheme="minorHAnsi" w:cstheme="minorHAnsi"/>
          <w:szCs w:val="22"/>
          <w:lang w:val="en-GB"/>
        </w:rPr>
      </w:pPr>
      <w:r w:rsidRPr="00364FC2">
        <w:rPr>
          <w:rFonts w:asciiTheme="minorHAnsi" w:hAnsiTheme="minorHAnsi" w:cstheme="minorHAnsi"/>
          <w:szCs w:val="22"/>
          <w:lang w:val="en-GB"/>
        </w:rPr>
        <w:t>Jaccard A, Gachard N, Marin B, et al. Efficacy of L-asparaginase with methotrexate and dexamethasone (AspaMetDex regimen) in patients with refractory or relapsing extranodal NK/T-cell lymphoma, a phase 2 study. Blood 2011; 117:1834-1839</w:t>
      </w:r>
    </w:p>
    <w:p w14:paraId="598D4430" w14:textId="77777777" w:rsidR="00364FC2" w:rsidRPr="009D185C" w:rsidRDefault="00AA15A0" w:rsidP="006A2598">
      <w:pPr>
        <w:pStyle w:val="Textkrper-Einzug2"/>
        <w:numPr>
          <w:ilvl w:val="0"/>
          <w:numId w:val="6"/>
        </w:numPr>
        <w:spacing w:after="60" w:line="240" w:lineRule="auto"/>
        <w:ind w:left="0" w:hanging="357"/>
        <w:jc w:val="left"/>
        <w:rPr>
          <w:rFonts w:asciiTheme="minorHAnsi" w:hAnsiTheme="minorHAnsi" w:cstheme="minorHAnsi"/>
          <w:color w:val="000000" w:themeColor="text1"/>
          <w:szCs w:val="22"/>
          <w:lang w:val="en-GB"/>
        </w:rPr>
      </w:pPr>
      <w:r w:rsidRPr="00364FC2">
        <w:rPr>
          <w:rFonts w:asciiTheme="minorHAnsi" w:hAnsiTheme="minorHAnsi" w:cstheme="minorHAnsi"/>
          <w:szCs w:val="22"/>
          <w:lang w:val="en-GB"/>
        </w:rPr>
        <w:t>Ennishi D et al, Allogeneic hematopoietic stem cell transplantation for advanced extranodal natural killer/T-</w:t>
      </w:r>
      <w:r w:rsidRPr="009D185C">
        <w:rPr>
          <w:rFonts w:asciiTheme="minorHAnsi" w:hAnsiTheme="minorHAnsi" w:cstheme="minorHAnsi"/>
          <w:color w:val="000000" w:themeColor="text1"/>
          <w:szCs w:val="22"/>
          <w:lang w:val="en-GB"/>
        </w:rPr>
        <w:t>cell lymphoma, nasal type. Leuk Lymphoma 2011;52(7):1255.</w:t>
      </w:r>
    </w:p>
    <w:p w14:paraId="1B7DBCBB" w14:textId="77777777" w:rsidR="00173420" w:rsidRPr="009D185C" w:rsidRDefault="00AA15A0" w:rsidP="006A2598">
      <w:pPr>
        <w:pStyle w:val="Textkrper-Einzug2"/>
        <w:numPr>
          <w:ilvl w:val="0"/>
          <w:numId w:val="6"/>
        </w:numPr>
        <w:spacing w:after="60" w:line="240" w:lineRule="auto"/>
        <w:ind w:left="0" w:hanging="357"/>
        <w:jc w:val="left"/>
        <w:rPr>
          <w:rFonts w:asciiTheme="minorHAnsi" w:hAnsiTheme="minorHAnsi" w:cstheme="minorHAnsi"/>
          <w:color w:val="000000" w:themeColor="text1"/>
          <w:szCs w:val="22"/>
          <w:lang w:val="en-GB"/>
        </w:rPr>
      </w:pPr>
      <w:r w:rsidRPr="009D185C">
        <w:rPr>
          <w:rFonts w:asciiTheme="minorHAnsi" w:hAnsiTheme="minorHAnsi" w:cstheme="minorHAnsi"/>
          <w:color w:val="000000" w:themeColor="text1"/>
          <w:szCs w:val="22"/>
          <w:lang w:val="en-GB"/>
        </w:rPr>
        <w:t>Tse E et al, Allogeneic haematopoietic SCT for natural killer/T-cell lymphoma: a multicentre analysis from the Asia Lymphoma Study Group, Bone Marrow Transplant. 2014; 49(7):902-6</w:t>
      </w:r>
    </w:p>
    <w:p w14:paraId="41BE1CDD" w14:textId="77777777" w:rsidR="00B51F6E" w:rsidRPr="009D185C" w:rsidRDefault="00B51F6E" w:rsidP="006A2598">
      <w:pPr>
        <w:pStyle w:val="Textkrper-Einzug2"/>
        <w:numPr>
          <w:ilvl w:val="0"/>
          <w:numId w:val="6"/>
        </w:numPr>
        <w:spacing w:after="60" w:line="240" w:lineRule="auto"/>
        <w:ind w:left="0" w:hanging="357"/>
        <w:jc w:val="left"/>
        <w:rPr>
          <w:rFonts w:asciiTheme="minorHAnsi" w:hAnsiTheme="minorHAnsi" w:cstheme="minorHAnsi"/>
          <w:color w:val="000000" w:themeColor="text1"/>
          <w:szCs w:val="22"/>
          <w:lang w:val="en-GB"/>
        </w:rPr>
      </w:pPr>
      <w:r w:rsidRPr="009D185C">
        <w:rPr>
          <w:rFonts w:asciiTheme="minorHAnsi" w:hAnsiTheme="minorHAnsi" w:cstheme="minorHAnsi"/>
          <w:color w:val="000000" w:themeColor="text1"/>
          <w:szCs w:val="22"/>
          <w:lang w:val="en-GB"/>
        </w:rPr>
        <w:t>Wang JH et al, Analysis of the efficacy and safety of a combined gemcitabine, oxaliplatin and pegaspargase regimen for NK/T-cell lymphoma, Oncotarget, Vol. 7, No. 23, 35412-35422.</w:t>
      </w:r>
    </w:p>
    <w:p w14:paraId="35661657" w14:textId="0758C76F" w:rsidR="004615DA" w:rsidRDefault="004615DA" w:rsidP="006A2598">
      <w:pPr>
        <w:pStyle w:val="Textkrper-Einzug2"/>
        <w:numPr>
          <w:ilvl w:val="0"/>
          <w:numId w:val="6"/>
        </w:numPr>
        <w:spacing w:after="60" w:line="240" w:lineRule="auto"/>
        <w:ind w:left="0" w:hanging="357"/>
        <w:jc w:val="left"/>
        <w:rPr>
          <w:rFonts w:asciiTheme="minorHAnsi" w:hAnsiTheme="minorHAnsi" w:cstheme="minorHAnsi"/>
          <w:color w:val="000000" w:themeColor="text1"/>
          <w:szCs w:val="22"/>
          <w:lang w:val="en-GB"/>
        </w:rPr>
      </w:pPr>
      <w:r w:rsidRPr="009D185C">
        <w:rPr>
          <w:rFonts w:asciiTheme="minorHAnsi" w:hAnsiTheme="minorHAnsi" w:cstheme="minorHAnsi"/>
          <w:color w:val="000000" w:themeColor="text1"/>
          <w:szCs w:val="22"/>
          <w:lang w:val="en-GB"/>
        </w:rPr>
        <w:t>Yamaguchi M, Miyazaki K 2017, Current treatment approaches for NK/T-cell lymphoma, Journal of clinical and experimental hematopathology Vol. 57 No.3, 98-108, 2017.</w:t>
      </w:r>
    </w:p>
    <w:p w14:paraId="3F641235" w14:textId="7BAE1D08" w:rsidR="008618F6" w:rsidRPr="008618F6" w:rsidRDefault="008618F6" w:rsidP="006A2598">
      <w:pPr>
        <w:pStyle w:val="Textkrper-Einzug2"/>
        <w:numPr>
          <w:ilvl w:val="0"/>
          <w:numId w:val="6"/>
        </w:numPr>
        <w:spacing w:after="60" w:line="240" w:lineRule="auto"/>
        <w:ind w:left="0" w:hanging="357"/>
        <w:jc w:val="left"/>
        <w:rPr>
          <w:rFonts w:asciiTheme="minorHAnsi" w:hAnsiTheme="minorHAnsi" w:cstheme="minorHAnsi"/>
          <w:color w:val="000000" w:themeColor="text1"/>
          <w:szCs w:val="22"/>
          <w:lang w:val="en-GB"/>
        </w:rPr>
      </w:pPr>
      <w:r>
        <w:rPr>
          <w:rFonts w:asciiTheme="minorHAnsi" w:hAnsiTheme="minorHAnsi" w:cstheme="minorHAnsi"/>
          <w:color w:val="000000" w:themeColor="text1"/>
          <w:szCs w:val="22"/>
          <w:lang w:val="en-GB"/>
        </w:rPr>
        <w:t>Timmins MA et al. 2020</w:t>
      </w:r>
      <w:r w:rsidRPr="008618F6">
        <w:rPr>
          <w:rFonts w:asciiTheme="minorHAnsi" w:hAnsiTheme="minorHAnsi" w:cstheme="minorHAnsi"/>
          <w:color w:val="000000" w:themeColor="text1"/>
          <w:szCs w:val="22"/>
          <w:lang w:val="en-GB"/>
        </w:rPr>
        <w:t xml:space="preserve"> The new biology of PTCL-NOS and AITL: current status and future clinical impact. Br J Haematol 189 :54-66.</w:t>
      </w:r>
    </w:p>
    <w:p w14:paraId="73E7993B" w14:textId="7ED2E56F" w:rsidR="008618F6" w:rsidRDefault="008618F6" w:rsidP="006A2598">
      <w:pPr>
        <w:pStyle w:val="Textkrper-Einzug2"/>
        <w:numPr>
          <w:ilvl w:val="0"/>
          <w:numId w:val="6"/>
        </w:numPr>
        <w:spacing w:after="60" w:line="240" w:lineRule="auto"/>
        <w:ind w:left="0" w:hanging="357"/>
        <w:jc w:val="left"/>
        <w:rPr>
          <w:rFonts w:asciiTheme="minorHAnsi" w:hAnsiTheme="minorHAnsi" w:cstheme="minorHAnsi"/>
          <w:color w:val="000000" w:themeColor="text1"/>
          <w:szCs w:val="22"/>
          <w:lang w:val="en-GB"/>
        </w:rPr>
      </w:pPr>
      <w:r w:rsidRPr="008618F6">
        <w:rPr>
          <w:rFonts w:asciiTheme="minorHAnsi" w:hAnsiTheme="minorHAnsi" w:cstheme="minorHAnsi"/>
          <w:color w:val="000000" w:themeColor="text1"/>
          <w:szCs w:val="22"/>
          <w:lang w:val="en-GB"/>
        </w:rPr>
        <w:t>Sakata-Yanagimoto M, Enami T, Yoshida K, et al. Somatic RHOA mutation in angioimmunoblastic T cell lymphoma. Nat Genet. 2014;46(2):171-175 DOI:10.1038/ng.2872</w:t>
      </w:r>
      <w:r>
        <w:rPr>
          <w:rFonts w:asciiTheme="minorHAnsi" w:hAnsiTheme="minorHAnsi" w:cstheme="minorHAnsi"/>
          <w:color w:val="000000" w:themeColor="text1"/>
          <w:szCs w:val="22"/>
          <w:lang w:val="en-GB"/>
        </w:rPr>
        <w:t>.</w:t>
      </w:r>
    </w:p>
    <w:p w14:paraId="7BB8D087" w14:textId="41666F11" w:rsidR="008618F6" w:rsidRDefault="008618F6" w:rsidP="006A2598">
      <w:pPr>
        <w:pStyle w:val="Textkrper-Einzug2"/>
        <w:numPr>
          <w:ilvl w:val="0"/>
          <w:numId w:val="6"/>
        </w:numPr>
        <w:spacing w:after="60" w:line="240" w:lineRule="auto"/>
        <w:ind w:left="0" w:hanging="357"/>
        <w:jc w:val="left"/>
        <w:rPr>
          <w:rFonts w:asciiTheme="minorHAnsi" w:hAnsiTheme="minorHAnsi" w:cstheme="minorHAnsi"/>
          <w:color w:val="000000" w:themeColor="text1"/>
          <w:szCs w:val="22"/>
          <w:lang w:val="en-GB"/>
        </w:rPr>
      </w:pPr>
      <w:r w:rsidRPr="008618F6">
        <w:rPr>
          <w:rFonts w:asciiTheme="minorHAnsi" w:hAnsiTheme="minorHAnsi" w:cstheme="minorHAnsi"/>
          <w:color w:val="000000" w:themeColor="text1"/>
          <w:szCs w:val="22"/>
          <w:lang w:val="en-GB"/>
        </w:rPr>
        <w:t>Amador C, Greiner TC, Heavican TB, et al. Reproducing the molecular subclassification of peripheral T-cell lymphoma-NOS by immunohistochemistry. Blood. 2019;134(24):2159-2170 DOI:10.1182/blood.2019000779</w:t>
      </w:r>
      <w:r w:rsidR="00136693">
        <w:rPr>
          <w:rFonts w:asciiTheme="minorHAnsi" w:hAnsiTheme="minorHAnsi" w:cstheme="minorHAnsi"/>
          <w:color w:val="000000" w:themeColor="text1"/>
          <w:szCs w:val="22"/>
          <w:lang w:val="en-GB"/>
        </w:rPr>
        <w:t>.</w:t>
      </w:r>
    </w:p>
    <w:p w14:paraId="10A29BF1" w14:textId="43CDD979" w:rsidR="006A2598" w:rsidRDefault="006A2598" w:rsidP="006A2598">
      <w:pPr>
        <w:pStyle w:val="Textkrper-Einzug2"/>
        <w:numPr>
          <w:ilvl w:val="0"/>
          <w:numId w:val="6"/>
        </w:numPr>
        <w:spacing w:after="60" w:line="240" w:lineRule="auto"/>
        <w:ind w:left="0" w:hanging="357"/>
        <w:jc w:val="left"/>
        <w:rPr>
          <w:rFonts w:asciiTheme="minorHAnsi" w:hAnsiTheme="minorHAnsi" w:cstheme="minorHAnsi"/>
          <w:color w:val="000000" w:themeColor="text1"/>
          <w:szCs w:val="22"/>
          <w:lang w:val="en-GB"/>
        </w:rPr>
      </w:pPr>
      <w:r w:rsidRPr="006A2598">
        <w:rPr>
          <w:rFonts w:asciiTheme="minorHAnsi" w:hAnsiTheme="minorHAnsi" w:cstheme="minorHAnsi"/>
          <w:color w:val="000000" w:themeColor="text1"/>
          <w:szCs w:val="22"/>
          <w:lang w:val="en-GB"/>
        </w:rPr>
        <w:t>Fukuhara</w:t>
      </w:r>
      <w:r>
        <w:rPr>
          <w:rFonts w:asciiTheme="minorHAnsi" w:hAnsiTheme="minorHAnsi" w:cstheme="minorHAnsi"/>
          <w:color w:val="000000" w:themeColor="text1"/>
          <w:szCs w:val="22"/>
          <w:lang w:val="en-GB"/>
        </w:rPr>
        <w:t xml:space="preserve"> N</w:t>
      </w:r>
      <w:r w:rsidRPr="006A2598">
        <w:rPr>
          <w:rFonts w:asciiTheme="minorHAnsi" w:hAnsiTheme="minorHAnsi" w:cstheme="minorHAnsi"/>
          <w:color w:val="000000" w:themeColor="text1"/>
          <w:szCs w:val="22"/>
          <w:lang w:val="en-GB"/>
        </w:rPr>
        <w:t xml:space="preserve">, </w:t>
      </w:r>
      <w:r>
        <w:rPr>
          <w:rFonts w:asciiTheme="minorHAnsi" w:hAnsiTheme="minorHAnsi" w:cstheme="minorHAnsi"/>
          <w:color w:val="000000" w:themeColor="text1"/>
          <w:szCs w:val="22"/>
          <w:lang w:val="en-GB"/>
        </w:rPr>
        <w:t>et al.</w:t>
      </w:r>
      <w:r w:rsidRPr="006A2598">
        <w:rPr>
          <w:rFonts w:asciiTheme="minorHAnsi" w:hAnsiTheme="minorHAnsi" w:cstheme="minorHAnsi"/>
          <w:color w:val="000000" w:themeColor="text1"/>
          <w:szCs w:val="22"/>
          <w:lang w:val="en-GB"/>
        </w:rPr>
        <w:t xml:space="preserve"> (2020) Retreatment with brentuximab vedotin in patients with relapsed/refractory classical Hodgkin lymphoma or systemic anaplastic large-cell lymphoma: a multicenter retrospective study, Leukemia &amp; Lymphoma, 61:1, 176-180, DOI: 10.1080/10428194.2019.1654100</w:t>
      </w:r>
      <w:r>
        <w:rPr>
          <w:rFonts w:asciiTheme="minorHAnsi" w:hAnsiTheme="minorHAnsi" w:cstheme="minorHAnsi"/>
          <w:color w:val="000000" w:themeColor="text1"/>
          <w:szCs w:val="22"/>
          <w:lang w:val="en-GB"/>
        </w:rPr>
        <w:t>.</w:t>
      </w:r>
    </w:p>
    <w:p w14:paraId="4B1CD8AA" w14:textId="6A224F0B" w:rsidR="006A2598" w:rsidRDefault="006A2598" w:rsidP="006A2598">
      <w:pPr>
        <w:pStyle w:val="Textkrper-Einzug2"/>
        <w:numPr>
          <w:ilvl w:val="0"/>
          <w:numId w:val="6"/>
        </w:numPr>
        <w:spacing w:after="60" w:line="240" w:lineRule="auto"/>
        <w:ind w:left="0" w:hanging="357"/>
        <w:jc w:val="left"/>
        <w:rPr>
          <w:rFonts w:asciiTheme="minorHAnsi" w:hAnsiTheme="minorHAnsi" w:cstheme="minorHAnsi"/>
          <w:color w:val="000000" w:themeColor="text1"/>
          <w:szCs w:val="22"/>
          <w:lang w:val="en-GB"/>
        </w:rPr>
      </w:pPr>
      <w:r>
        <w:rPr>
          <w:rFonts w:asciiTheme="minorHAnsi" w:hAnsiTheme="minorHAnsi" w:cstheme="minorHAnsi"/>
          <w:color w:val="000000" w:themeColor="text1"/>
          <w:szCs w:val="22"/>
          <w:lang w:val="en-GB"/>
        </w:rPr>
        <w:t>K</w:t>
      </w:r>
      <w:r w:rsidRPr="006A2598">
        <w:rPr>
          <w:rFonts w:asciiTheme="minorHAnsi" w:hAnsiTheme="minorHAnsi" w:cstheme="minorHAnsi"/>
          <w:color w:val="000000" w:themeColor="text1"/>
          <w:szCs w:val="22"/>
          <w:lang w:val="en-GB"/>
        </w:rPr>
        <w:t>arube</w:t>
      </w:r>
      <w:r>
        <w:rPr>
          <w:rFonts w:asciiTheme="minorHAnsi" w:hAnsiTheme="minorHAnsi" w:cstheme="minorHAnsi"/>
          <w:color w:val="000000" w:themeColor="text1"/>
          <w:szCs w:val="22"/>
          <w:lang w:val="en-GB"/>
        </w:rPr>
        <w:t xml:space="preserve"> K, et al. </w:t>
      </w:r>
      <w:r w:rsidRPr="006A2598">
        <w:rPr>
          <w:rFonts w:asciiTheme="minorHAnsi" w:hAnsiTheme="minorHAnsi" w:cstheme="minorHAnsi"/>
          <w:color w:val="000000" w:themeColor="text1"/>
          <w:szCs w:val="22"/>
          <w:lang w:val="en-GB"/>
        </w:rPr>
        <w:t>(2021) The expression of CD30 and its clinico-pathologic significance in peripheral T-cell lymphomas, Expert Review of Hematology, 14:8, 777-787, DOI: 10.1080/17474086.2021.1955344</w:t>
      </w:r>
      <w:r w:rsidR="00136693">
        <w:rPr>
          <w:rFonts w:asciiTheme="minorHAnsi" w:hAnsiTheme="minorHAnsi" w:cstheme="minorHAnsi"/>
          <w:color w:val="000000" w:themeColor="text1"/>
          <w:szCs w:val="22"/>
          <w:lang w:val="en-GB"/>
        </w:rPr>
        <w:t>.</w:t>
      </w:r>
    </w:p>
    <w:p w14:paraId="2873C918" w14:textId="64B65912" w:rsidR="00173420" w:rsidRPr="00136693" w:rsidRDefault="00136693" w:rsidP="00136693">
      <w:pPr>
        <w:pStyle w:val="Textkrper-Einzug2"/>
        <w:numPr>
          <w:ilvl w:val="0"/>
          <w:numId w:val="6"/>
        </w:numPr>
        <w:spacing w:after="60" w:line="240" w:lineRule="auto"/>
        <w:ind w:left="0" w:hanging="357"/>
        <w:jc w:val="left"/>
        <w:rPr>
          <w:rFonts w:asciiTheme="minorHAnsi" w:hAnsiTheme="minorHAnsi" w:cstheme="minorHAnsi"/>
          <w:color w:val="000000" w:themeColor="text1"/>
          <w:szCs w:val="22"/>
          <w:lang w:val="en-GB"/>
        </w:rPr>
      </w:pPr>
      <w:r w:rsidRPr="00136693">
        <w:rPr>
          <w:rFonts w:asciiTheme="minorHAnsi" w:hAnsiTheme="minorHAnsi" w:cstheme="minorHAnsi"/>
          <w:color w:val="000000" w:themeColor="text1"/>
          <w:szCs w:val="22"/>
          <w:lang w:val="en-GB"/>
        </w:rPr>
        <w:t>Lü, S., Wang, J. Homoharringtonine and omacetaxine for myeloid hematological malignancies. J Hematol Oncol 7, 2 (2014). https://doi.org/10.1186/1756-8722-7-2</w:t>
      </w:r>
      <w:r>
        <w:rPr>
          <w:rFonts w:asciiTheme="minorHAnsi" w:hAnsiTheme="minorHAnsi" w:cstheme="minorHAnsi"/>
          <w:color w:val="000000" w:themeColor="text1"/>
          <w:szCs w:val="22"/>
          <w:lang w:val="en-GB"/>
        </w:rPr>
        <w:t>.</w:t>
      </w:r>
    </w:p>
    <w:p w14:paraId="7CF66E1D" w14:textId="77777777" w:rsidR="004615DA" w:rsidRPr="009D185C" w:rsidRDefault="004615DA" w:rsidP="008618F6">
      <w:pPr>
        <w:rPr>
          <w:lang w:val="en-GB"/>
        </w:rPr>
      </w:pPr>
    </w:p>
    <w:p w14:paraId="14EB4AEB" w14:textId="77777777" w:rsidR="00173420" w:rsidRDefault="00173420" w:rsidP="008618F6">
      <w:pPr>
        <w:rPr>
          <w:lang w:val="en-GB"/>
        </w:rPr>
      </w:pPr>
    </w:p>
    <w:p w14:paraId="73B2CFD7" w14:textId="06FFB455" w:rsidR="00AA15A0" w:rsidRPr="00173420" w:rsidRDefault="00AA15A0" w:rsidP="008618F6">
      <w:pPr>
        <w:rPr>
          <w:lang w:val="en-GB"/>
        </w:rPr>
      </w:pPr>
      <w:r w:rsidRPr="00173420">
        <w:rPr>
          <w:lang w:val="en-GB"/>
        </w:rPr>
        <w:br w:type="page"/>
      </w:r>
    </w:p>
    <w:p w14:paraId="2DDC72F4" w14:textId="31C91B6E" w:rsidR="004A7236" w:rsidRPr="004A7236" w:rsidRDefault="004A7236" w:rsidP="007374FB">
      <w:pPr>
        <w:pStyle w:val="berschrift1"/>
        <w:rPr>
          <w:rFonts w:cstheme="minorHAnsi"/>
          <w:szCs w:val="22"/>
          <w:lang w:val="en-GB"/>
        </w:rPr>
      </w:pPr>
      <w:bookmarkStart w:id="48" w:name="_Toc61379707"/>
      <w:r>
        <w:rPr>
          <w:rFonts w:cstheme="minorHAnsi"/>
          <w:szCs w:val="22"/>
          <w:lang w:val="en-GB"/>
        </w:rPr>
        <w:lastRenderedPageBreak/>
        <w:t xml:space="preserve">Anhang: </w:t>
      </w:r>
      <w:r w:rsidRPr="001C1EE9">
        <w:rPr>
          <w:lang w:val="en-US"/>
        </w:rPr>
        <w:t>Therapieprotokolle</w:t>
      </w:r>
      <w:bookmarkEnd w:id="48"/>
    </w:p>
    <w:p w14:paraId="7D32BA40" w14:textId="77777777" w:rsidR="00187F58" w:rsidRDefault="00187F58" w:rsidP="007374FB">
      <w:pPr>
        <w:jc w:val="left"/>
        <w:rPr>
          <w:lang w:val="en-GB"/>
        </w:rPr>
      </w:pPr>
    </w:p>
    <w:tbl>
      <w:tblPr>
        <w:tblStyle w:val="Tabellenraster"/>
        <w:tblW w:w="0" w:type="auto"/>
        <w:tblLook w:val="04A0" w:firstRow="1" w:lastRow="0" w:firstColumn="1" w:lastColumn="0" w:noHBand="0" w:noVBand="1"/>
      </w:tblPr>
      <w:tblGrid>
        <w:gridCol w:w="4689"/>
        <w:gridCol w:w="4683"/>
      </w:tblGrid>
      <w:tr w:rsidR="00F91D4D" w:rsidRPr="004A7236" w14:paraId="520B27BD" w14:textId="77777777" w:rsidTr="00035871">
        <w:trPr>
          <w:trHeight w:val="6804"/>
        </w:trPr>
        <w:tc>
          <w:tcPr>
            <w:tcW w:w="4761" w:type="dxa"/>
          </w:tcPr>
          <w:p w14:paraId="1E20319F" w14:textId="77777777" w:rsidR="00F91D4D" w:rsidRPr="00136693" w:rsidRDefault="00A2557F" w:rsidP="006C03F2">
            <w:pPr>
              <w:keepNext/>
              <w:spacing w:line="240" w:lineRule="auto"/>
              <w:ind w:left="576" w:hanging="576"/>
              <w:jc w:val="left"/>
              <w:outlineLvl w:val="1"/>
              <w:rPr>
                <w:rFonts w:cs="Arial"/>
                <w:b/>
                <w:bCs/>
                <w:i/>
                <w:iCs/>
                <w:sz w:val="18"/>
                <w:szCs w:val="28"/>
              </w:rPr>
            </w:pPr>
            <w:bookmarkStart w:id="49" w:name="_Toc41725544"/>
            <w:bookmarkStart w:id="50" w:name="_Toc61379708"/>
            <w:r w:rsidRPr="00136693">
              <w:rPr>
                <w:rFonts w:cs="Arial"/>
                <w:b/>
                <w:bCs/>
                <w:i/>
                <w:iCs/>
                <w:sz w:val="18"/>
                <w:szCs w:val="28"/>
              </w:rPr>
              <w:t>BV-CHP</w:t>
            </w:r>
            <w:bookmarkEnd w:id="49"/>
            <w:bookmarkEnd w:id="50"/>
          </w:p>
          <w:p w14:paraId="541C6AB7" w14:textId="77777777" w:rsidR="00F91D4D" w:rsidRPr="00136693" w:rsidRDefault="00F91D4D" w:rsidP="006C03F2">
            <w:pPr>
              <w:spacing w:line="240" w:lineRule="auto"/>
              <w:jc w:val="left"/>
              <w:rPr>
                <w:rFonts w:cs="Arial"/>
                <w:sz w:val="18"/>
              </w:rPr>
            </w:pPr>
            <w:r w:rsidRPr="00136693">
              <w:rPr>
                <w:rFonts w:cs="Arial"/>
                <w:sz w:val="18"/>
              </w:rPr>
              <w:t>Tag 1:</w:t>
            </w:r>
            <w:r w:rsidRPr="00136693">
              <w:rPr>
                <w:rFonts w:cs="Arial"/>
                <w:sz w:val="18"/>
              </w:rPr>
              <w:tab/>
            </w:r>
            <w:r w:rsidR="004172AC" w:rsidRPr="00136693">
              <w:rPr>
                <w:rFonts w:cs="Arial"/>
                <w:sz w:val="18"/>
              </w:rPr>
              <w:t>Brentuximab-Vedotin 1,8 mg/kg</w:t>
            </w:r>
          </w:p>
          <w:p w14:paraId="6136D308" w14:textId="77777777" w:rsidR="00F91D4D" w:rsidRPr="00136693" w:rsidRDefault="004172AC" w:rsidP="006C03F2">
            <w:pPr>
              <w:spacing w:line="240" w:lineRule="auto"/>
              <w:jc w:val="left"/>
              <w:rPr>
                <w:rFonts w:cs="Arial"/>
                <w:sz w:val="18"/>
              </w:rPr>
            </w:pPr>
            <w:r w:rsidRPr="00136693">
              <w:rPr>
                <w:rFonts w:cs="Arial"/>
                <w:sz w:val="18"/>
              </w:rPr>
              <w:t xml:space="preserve">Tag 1:    </w:t>
            </w:r>
            <w:r w:rsidR="00F91D4D" w:rsidRPr="00136693">
              <w:rPr>
                <w:rFonts w:cs="Arial"/>
                <w:sz w:val="18"/>
              </w:rPr>
              <w:t>Cyclophosphamid 750 mg/m²</w:t>
            </w:r>
          </w:p>
          <w:p w14:paraId="0F4AD0F8" w14:textId="77777777" w:rsidR="00F91D4D" w:rsidRPr="00725E5D" w:rsidRDefault="004172AC" w:rsidP="006C03F2">
            <w:pPr>
              <w:spacing w:line="240" w:lineRule="auto"/>
              <w:jc w:val="left"/>
              <w:rPr>
                <w:rFonts w:cs="Arial"/>
                <w:sz w:val="18"/>
              </w:rPr>
            </w:pPr>
            <w:r w:rsidRPr="00136693">
              <w:rPr>
                <w:rFonts w:cs="Arial"/>
                <w:sz w:val="18"/>
              </w:rPr>
              <w:t xml:space="preserve">Tag 1:    </w:t>
            </w:r>
            <w:r w:rsidR="00F91D4D" w:rsidRPr="00725E5D">
              <w:rPr>
                <w:rFonts w:cs="Arial"/>
                <w:sz w:val="18"/>
              </w:rPr>
              <w:t>Doxorubicin 50 mg/m²</w:t>
            </w:r>
          </w:p>
          <w:p w14:paraId="443F859F" w14:textId="77777777" w:rsidR="00F91D4D" w:rsidRPr="00725E5D" w:rsidRDefault="00F91D4D" w:rsidP="006C03F2">
            <w:pPr>
              <w:spacing w:line="240" w:lineRule="auto"/>
              <w:jc w:val="left"/>
              <w:rPr>
                <w:rFonts w:cs="Arial"/>
                <w:sz w:val="18"/>
              </w:rPr>
            </w:pPr>
            <w:r w:rsidRPr="00725E5D">
              <w:rPr>
                <w:rFonts w:cs="Arial"/>
                <w:sz w:val="18"/>
              </w:rPr>
              <w:t>Tag 1-5: Prednisolon 100 mg</w:t>
            </w:r>
            <w:r w:rsidR="004172AC" w:rsidRPr="00725E5D">
              <w:rPr>
                <w:rFonts w:cs="Arial"/>
                <w:sz w:val="18"/>
              </w:rPr>
              <w:t>, p.o.</w:t>
            </w:r>
          </w:p>
          <w:p w14:paraId="53F60232" w14:textId="77777777" w:rsidR="00F91D4D" w:rsidRDefault="00F91D4D" w:rsidP="006C03F2">
            <w:pPr>
              <w:spacing w:line="240" w:lineRule="auto"/>
              <w:jc w:val="left"/>
              <w:rPr>
                <w:rFonts w:cs="Arial"/>
                <w:sz w:val="18"/>
                <w:lang w:val="de-DE"/>
              </w:rPr>
            </w:pPr>
            <w:r w:rsidRPr="00725E5D">
              <w:rPr>
                <w:rFonts w:cs="Arial"/>
                <w:sz w:val="18"/>
                <w:lang w:val="de-DE"/>
              </w:rPr>
              <w:t>Wiederholung alle 3 Wochen</w:t>
            </w:r>
          </w:p>
          <w:p w14:paraId="1FBF2569" w14:textId="77777777" w:rsidR="00035871" w:rsidRDefault="00035871" w:rsidP="006C03F2">
            <w:pPr>
              <w:spacing w:line="240" w:lineRule="auto"/>
              <w:jc w:val="left"/>
              <w:rPr>
                <w:rFonts w:cs="Arial"/>
                <w:sz w:val="18"/>
                <w:lang w:val="de-DE"/>
              </w:rPr>
            </w:pPr>
          </w:p>
          <w:p w14:paraId="030B008B" w14:textId="77777777" w:rsidR="00035871" w:rsidRPr="00725E5D" w:rsidRDefault="00035871" w:rsidP="00035871">
            <w:pPr>
              <w:keepNext/>
              <w:spacing w:line="240" w:lineRule="auto"/>
              <w:jc w:val="left"/>
              <w:outlineLvl w:val="1"/>
              <w:rPr>
                <w:rFonts w:cs="Arial"/>
                <w:b/>
                <w:bCs/>
                <w:i/>
                <w:iCs/>
                <w:sz w:val="18"/>
                <w:szCs w:val="28"/>
              </w:rPr>
            </w:pPr>
            <w:bookmarkStart w:id="51" w:name="_Toc41725545"/>
            <w:bookmarkStart w:id="52" w:name="_Toc61379709"/>
            <w:r w:rsidRPr="00725E5D">
              <w:rPr>
                <w:rFonts w:cs="Arial"/>
                <w:b/>
                <w:bCs/>
                <w:i/>
                <w:iCs/>
                <w:sz w:val="18"/>
                <w:szCs w:val="28"/>
              </w:rPr>
              <w:t>BV mono</w:t>
            </w:r>
            <w:bookmarkEnd w:id="51"/>
            <w:bookmarkEnd w:id="52"/>
          </w:p>
          <w:p w14:paraId="58208E57" w14:textId="77777777" w:rsidR="00035871" w:rsidRDefault="00035871" w:rsidP="00035871">
            <w:pPr>
              <w:spacing w:line="240" w:lineRule="auto"/>
              <w:jc w:val="left"/>
              <w:rPr>
                <w:rFonts w:cs="Arial"/>
                <w:sz w:val="18"/>
              </w:rPr>
            </w:pPr>
            <w:r w:rsidRPr="00725E5D">
              <w:rPr>
                <w:rFonts w:cs="Arial"/>
                <w:sz w:val="18"/>
              </w:rPr>
              <w:t>Tag 1:    Brentuximab-Vedotin 1,8 mg/kg</w:t>
            </w:r>
          </w:p>
          <w:p w14:paraId="74018223" w14:textId="77777777" w:rsidR="00035871" w:rsidRPr="00A029B0" w:rsidRDefault="00035871" w:rsidP="00035871">
            <w:pPr>
              <w:spacing w:line="240" w:lineRule="auto"/>
              <w:jc w:val="left"/>
              <w:rPr>
                <w:rFonts w:cs="Arial"/>
                <w:sz w:val="18"/>
              </w:rPr>
            </w:pPr>
            <w:r>
              <w:rPr>
                <w:rFonts w:cs="Arial"/>
                <w:sz w:val="18"/>
              </w:rPr>
              <w:t xml:space="preserve">Wiederholung </w:t>
            </w:r>
            <w:r w:rsidRPr="00725E5D">
              <w:rPr>
                <w:rFonts w:cs="Arial"/>
                <w:sz w:val="18"/>
              </w:rPr>
              <w:t>alle 3 Wochen</w:t>
            </w:r>
            <w:r w:rsidRPr="00725E5D">
              <w:rPr>
                <w:rFonts w:cs="Arial"/>
                <w:b/>
                <w:bCs/>
                <w:i/>
                <w:iCs/>
                <w:sz w:val="18"/>
                <w:szCs w:val="28"/>
              </w:rPr>
              <w:t xml:space="preserve"> </w:t>
            </w:r>
          </w:p>
          <w:p w14:paraId="78EA6415" w14:textId="77777777" w:rsidR="006C03F2" w:rsidRDefault="006C03F2" w:rsidP="006C03F2">
            <w:pPr>
              <w:spacing w:line="240" w:lineRule="auto"/>
              <w:jc w:val="left"/>
              <w:rPr>
                <w:rFonts w:cs="Arial"/>
                <w:sz w:val="18"/>
                <w:lang w:val="de-DE"/>
              </w:rPr>
            </w:pPr>
          </w:p>
          <w:p w14:paraId="530E8512" w14:textId="77777777" w:rsidR="006C03F2" w:rsidRPr="00B51F6E" w:rsidRDefault="006C03F2" w:rsidP="006C03F2">
            <w:pPr>
              <w:keepNext/>
              <w:spacing w:line="240" w:lineRule="auto"/>
              <w:ind w:left="576" w:hanging="576"/>
              <w:jc w:val="left"/>
              <w:outlineLvl w:val="1"/>
              <w:rPr>
                <w:rFonts w:cs="Arial"/>
                <w:b/>
                <w:bCs/>
                <w:i/>
                <w:iCs/>
                <w:sz w:val="18"/>
                <w:szCs w:val="28"/>
              </w:rPr>
            </w:pPr>
            <w:bookmarkStart w:id="53" w:name="_Toc41725546"/>
            <w:bookmarkStart w:id="54" w:name="_Toc61379710"/>
            <w:r w:rsidRPr="00B51F6E">
              <w:rPr>
                <w:rFonts w:cs="Arial"/>
                <w:b/>
                <w:bCs/>
                <w:i/>
                <w:iCs/>
                <w:sz w:val="18"/>
                <w:szCs w:val="28"/>
              </w:rPr>
              <w:t>CHOP</w:t>
            </w:r>
            <w:bookmarkEnd w:id="53"/>
            <w:bookmarkEnd w:id="54"/>
          </w:p>
          <w:p w14:paraId="6F13DEB9" w14:textId="77777777" w:rsidR="006C03F2" w:rsidRPr="00B51F6E" w:rsidRDefault="006C03F2" w:rsidP="006C03F2">
            <w:pPr>
              <w:spacing w:line="240" w:lineRule="auto"/>
              <w:jc w:val="left"/>
              <w:rPr>
                <w:rFonts w:cs="Arial"/>
                <w:sz w:val="18"/>
              </w:rPr>
            </w:pPr>
            <w:r w:rsidRPr="00B51F6E">
              <w:rPr>
                <w:rFonts w:cs="Arial"/>
                <w:sz w:val="18"/>
              </w:rPr>
              <w:t>Tag 1:    Cyclophosphamid 750 mg/m²</w:t>
            </w:r>
          </w:p>
          <w:p w14:paraId="68546195" w14:textId="77777777" w:rsidR="006C03F2" w:rsidRPr="00725E5D" w:rsidRDefault="006C03F2" w:rsidP="006C03F2">
            <w:pPr>
              <w:spacing w:line="240" w:lineRule="auto"/>
              <w:jc w:val="left"/>
              <w:rPr>
                <w:rFonts w:cs="Arial"/>
                <w:sz w:val="18"/>
              </w:rPr>
            </w:pPr>
            <w:r w:rsidRPr="00725E5D">
              <w:rPr>
                <w:rFonts w:cs="Arial"/>
                <w:sz w:val="18"/>
                <w:lang w:val="de-DE"/>
              </w:rPr>
              <w:t>Tag 1:    Doxorubicin 50 mg/m²</w:t>
            </w:r>
          </w:p>
          <w:p w14:paraId="08306D12" w14:textId="77777777" w:rsidR="006C03F2" w:rsidRPr="00725E5D" w:rsidRDefault="006C03F2" w:rsidP="006C03F2">
            <w:pPr>
              <w:spacing w:line="240" w:lineRule="auto"/>
              <w:jc w:val="left"/>
              <w:rPr>
                <w:rFonts w:cs="Arial"/>
                <w:sz w:val="18"/>
                <w:lang w:val="de-DE"/>
              </w:rPr>
            </w:pPr>
            <w:r w:rsidRPr="00725E5D">
              <w:rPr>
                <w:rFonts w:cs="Arial"/>
                <w:sz w:val="18"/>
                <w:lang w:val="de-DE"/>
              </w:rPr>
              <w:t>Tag 1:    Vincristin 1,4 mg/m² (max 2 mg)</w:t>
            </w:r>
          </w:p>
          <w:p w14:paraId="44D4FA25" w14:textId="77777777" w:rsidR="006C03F2" w:rsidRPr="00725E5D" w:rsidRDefault="006C03F2" w:rsidP="006C03F2">
            <w:pPr>
              <w:spacing w:line="240" w:lineRule="auto"/>
              <w:jc w:val="left"/>
              <w:rPr>
                <w:rFonts w:cs="Arial"/>
                <w:sz w:val="18"/>
                <w:lang w:val="de-DE"/>
              </w:rPr>
            </w:pPr>
            <w:r w:rsidRPr="00725E5D">
              <w:rPr>
                <w:rFonts w:cs="Arial"/>
                <w:sz w:val="18"/>
                <w:lang w:val="de-DE"/>
              </w:rPr>
              <w:t>Tag 1-5: Prednisolon 100 mg, p.o.</w:t>
            </w:r>
          </w:p>
          <w:p w14:paraId="398D3688" w14:textId="77777777" w:rsidR="006C03F2" w:rsidRPr="00725E5D" w:rsidRDefault="006C03F2" w:rsidP="006C03F2">
            <w:pPr>
              <w:spacing w:line="240" w:lineRule="auto"/>
              <w:jc w:val="left"/>
              <w:rPr>
                <w:rFonts w:cs="Arial"/>
                <w:b/>
                <w:bCs/>
                <w:i/>
                <w:iCs/>
                <w:sz w:val="18"/>
                <w:szCs w:val="28"/>
              </w:rPr>
            </w:pPr>
            <w:r w:rsidRPr="00725E5D">
              <w:rPr>
                <w:rFonts w:cs="Arial"/>
                <w:sz w:val="18"/>
                <w:lang w:val="de-DE"/>
              </w:rPr>
              <w:t>Wiederholung alle 3 Wochen</w:t>
            </w:r>
            <w:bookmarkStart w:id="55" w:name="_Toc353200764"/>
            <w:bookmarkStart w:id="56" w:name="_Toc384280606"/>
            <w:r w:rsidRPr="00725E5D">
              <w:rPr>
                <w:rFonts w:cs="Arial"/>
                <w:b/>
                <w:bCs/>
                <w:i/>
                <w:iCs/>
                <w:sz w:val="18"/>
                <w:szCs w:val="28"/>
              </w:rPr>
              <w:t xml:space="preserve"> </w:t>
            </w:r>
          </w:p>
          <w:p w14:paraId="7971D81E" w14:textId="77777777" w:rsidR="00035871" w:rsidRPr="00B51F6E" w:rsidRDefault="00035871" w:rsidP="00035871">
            <w:pPr>
              <w:keepNext/>
              <w:spacing w:line="240" w:lineRule="auto"/>
              <w:ind w:left="576" w:hanging="576"/>
              <w:jc w:val="left"/>
              <w:outlineLvl w:val="1"/>
              <w:rPr>
                <w:rFonts w:cs="Arial"/>
                <w:b/>
                <w:bCs/>
                <w:i/>
                <w:iCs/>
                <w:sz w:val="18"/>
                <w:szCs w:val="28"/>
              </w:rPr>
            </w:pPr>
            <w:bookmarkStart w:id="57" w:name="_Toc24575403"/>
            <w:bookmarkEnd w:id="55"/>
            <w:bookmarkEnd w:id="56"/>
          </w:p>
          <w:p w14:paraId="1F7CF980" w14:textId="77777777" w:rsidR="00035871" w:rsidRPr="00725E5D" w:rsidRDefault="00035871" w:rsidP="00035871">
            <w:pPr>
              <w:keepNext/>
              <w:spacing w:line="240" w:lineRule="auto"/>
              <w:ind w:left="576" w:hanging="576"/>
              <w:jc w:val="left"/>
              <w:outlineLvl w:val="1"/>
              <w:rPr>
                <w:rFonts w:cs="Arial"/>
                <w:b/>
                <w:bCs/>
                <w:i/>
                <w:iCs/>
                <w:sz w:val="18"/>
                <w:szCs w:val="28"/>
                <w:lang w:val="en-US"/>
              </w:rPr>
            </w:pPr>
            <w:bookmarkStart w:id="58" w:name="_Toc41725547"/>
            <w:bookmarkStart w:id="59" w:name="_Toc61379711"/>
            <w:r w:rsidRPr="00725E5D">
              <w:rPr>
                <w:rFonts w:cs="Arial"/>
                <w:b/>
                <w:bCs/>
                <w:i/>
                <w:iCs/>
                <w:sz w:val="18"/>
                <w:szCs w:val="28"/>
                <w:lang w:val="en-US"/>
              </w:rPr>
              <w:t>CHOEP</w:t>
            </w:r>
            <w:bookmarkEnd w:id="58"/>
            <w:bookmarkEnd w:id="59"/>
          </w:p>
          <w:p w14:paraId="187C6E0E" w14:textId="77777777" w:rsidR="00035871" w:rsidRPr="00725E5D" w:rsidRDefault="00035871" w:rsidP="00035871">
            <w:pPr>
              <w:spacing w:line="240" w:lineRule="auto"/>
              <w:jc w:val="left"/>
              <w:rPr>
                <w:rFonts w:cs="Arial"/>
                <w:sz w:val="18"/>
                <w:lang w:val="en-US"/>
              </w:rPr>
            </w:pPr>
            <w:r w:rsidRPr="00725E5D">
              <w:rPr>
                <w:rFonts w:cs="Arial"/>
                <w:sz w:val="18"/>
                <w:lang w:val="en-US"/>
              </w:rPr>
              <w:t>Tag 1:</w:t>
            </w:r>
            <w:r w:rsidRPr="00725E5D">
              <w:rPr>
                <w:rFonts w:cs="Arial"/>
                <w:sz w:val="18"/>
                <w:lang w:val="en-US"/>
              </w:rPr>
              <w:tab/>
              <w:t>Cyclophosphamid 750 mg/m²</w:t>
            </w:r>
          </w:p>
          <w:p w14:paraId="7896DEA8" w14:textId="77777777" w:rsidR="00035871" w:rsidRPr="00725E5D" w:rsidRDefault="00035871" w:rsidP="00035871">
            <w:pPr>
              <w:spacing w:line="240" w:lineRule="auto"/>
              <w:jc w:val="left"/>
              <w:rPr>
                <w:rFonts w:cs="Arial"/>
                <w:sz w:val="18"/>
              </w:rPr>
            </w:pPr>
            <w:r w:rsidRPr="00725E5D">
              <w:rPr>
                <w:rFonts w:cs="Arial"/>
                <w:sz w:val="18"/>
              </w:rPr>
              <w:t>Tag 1:    Doxorubicin 50 mg/m²</w:t>
            </w:r>
          </w:p>
          <w:p w14:paraId="4EE8CF7D" w14:textId="77777777" w:rsidR="00035871" w:rsidRPr="00725E5D" w:rsidRDefault="00035871" w:rsidP="00035871">
            <w:pPr>
              <w:spacing w:line="240" w:lineRule="auto"/>
              <w:jc w:val="left"/>
              <w:rPr>
                <w:rFonts w:cs="Arial"/>
                <w:sz w:val="18"/>
              </w:rPr>
            </w:pPr>
            <w:r w:rsidRPr="00725E5D">
              <w:rPr>
                <w:rFonts w:cs="Arial"/>
                <w:sz w:val="18"/>
              </w:rPr>
              <w:t>Tag 1:</w:t>
            </w:r>
            <w:r w:rsidRPr="00725E5D">
              <w:rPr>
                <w:rFonts w:cs="Arial"/>
                <w:sz w:val="18"/>
              </w:rPr>
              <w:tab/>
              <w:t>Vincristin 1,4 mg/ m² (max. 2 mg)</w:t>
            </w:r>
          </w:p>
          <w:p w14:paraId="546CBD02" w14:textId="77777777" w:rsidR="00035871" w:rsidRPr="00725E5D" w:rsidRDefault="00035871" w:rsidP="00035871">
            <w:pPr>
              <w:spacing w:line="240" w:lineRule="auto"/>
              <w:jc w:val="left"/>
              <w:rPr>
                <w:rFonts w:cs="Arial"/>
                <w:sz w:val="18"/>
              </w:rPr>
            </w:pPr>
            <w:r w:rsidRPr="00725E5D">
              <w:rPr>
                <w:rFonts w:cs="Arial"/>
                <w:sz w:val="18"/>
              </w:rPr>
              <w:t>Tag 1-3: Etoposid 100 mg/m²</w:t>
            </w:r>
          </w:p>
          <w:p w14:paraId="6A9BE452" w14:textId="77777777" w:rsidR="00035871" w:rsidRPr="00725E5D" w:rsidRDefault="00035871" w:rsidP="00035871">
            <w:pPr>
              <w:spacing w:line="240" w:lineRule="auto"/>
              <w:jc w:val="left"/>
              <w:rPr>
                <w:rFonts w:cs="Arial"/>
                <w:sz w:val="18"/>
              </w:rPr>
            </w:pPr>
            <w:r w:rsidRPr="00725E5D">
              <w:rPr>
                <w:rFonts w:cs="Arial"/>
                <w:sz w:val="18"/>
              </w:rPr>
              <w:t>Tag 1-5: Prednisolon 100 mg, p.o.</w:t>
            </w:r>
          </w:p>
          <w:p w14:paraId="7992FB85" w14:textId="77777777" w:rsidR="00035871" w:rsidRDefault="00035871" w:rsidP="00035871">
            <w:pPr>
              <w:spacing w:line="240" w:lineRule="auto"/>
              <w:jc w:val="left"/>
              <w:rPr>
                <w:rFonts w:cs="Arial"/>
                <w:sz w:val="18"/>
                <w:lang w:val="de-DE"/>
              </w:rPr>
            </w:pPr>
            <w:r w:rsidRPr="00725E5D">
              <w:rPr>
                <w:rFonts w:cs="Arial"/>
                <w:sz w:val="18"/>
                <w:lang w:val="de-DE"/>
              </w:rPr>
              <w:t>Wiederholung alle 2 Wochen (falls erforderlich Intervallverlängerung auf alle 3 Wochen möglich)</w:t>
            </w:r>
          </w:p>
          <w:p w14:paraId="16C82670" w14:textId="77777777" w:rsidR="00035871" w:rsidRDefault="00035871" w:rsidP="00035871">
            <w:pPr>
              <w:keepNext/>
              <w:spacing w:line="240" w:lineRule="auto"/>
              <w:jc w:val="left"/>
              <w:outlineLvl w:val="1"/>
              <w:rPr>
                <w:rFonts w:cs="Arial"/>
                <w:b/>
                <w:bCs/>
                <w:i/>
                <w:iCs/>
                <w:sz w:val="18"/>
                <w:szCs w:val="28"/>
              </w:rPr>
            </w:pPr>
          </w:p>
          <w:p w14:paraId="177759C0" w14:textId="77777777" w:rsidR="00035871" w:rsidRPr="000342DF" w:rsidRDefault="00035871" w:rsidP="00035871">
            <w:pPr>
              <w:keepNext/>
              <w:spacing w:line="240" w:lineRule="auto"/>
              <w:jc w:val="left"/>
              <w:outlineLvl w:val="1"/>
              <w:rPr>
                <w:rFonts w:cs="Arial"/>
                <w:b/>
                <w:bCs/>
                <w:i/>
                <w:iCs/>
                <w:sz w:val="18"/>
                <w:szCs w:val="28"/>
              </w:rPr>
            </w:pPr>
            <w:bookmarkStart w:id="60" w:name="_Toc41725548"/>
            <w:bookmarkStart w:id="61" w:name="_Toc61379712"/>
            <w:r w:rsidRPr="000342DF">
              <w:rPr>
                <w:rFonts w:cs="Arial"/>
                <w:b/>
                <w:bCs/>
                <w:i/>
                <w:iCs/>
                <w:sz w:val="18"/>
                <w:szCs w:val="28"/>
              </w:rPr>
              <w:t>DDGP</w:t>
            </w:r>
            <w:bookmarkEnd w:id="60"/>
            <w:bookmarkEnd w:id="61"/>
          </w:p>
          <w:p w14:paraId="58BAE407" w14:textId="77777777" w:rsidR="00035871" w:rsidRPr="000342DF" w:rsidRDefault="00035871" w:rsidP="00035871">
            <w:pPr>
              <w:spacing w:line="240" w:lineRule="auto"/>
              <w:jc w:val="left"/>
              <w:rPr>
                <w:rFonts w:cs="Arial"/>
                <w:sz w:val="18"/>
              </w:rPr>
            </w:pPr>
            <w:r w:rsidRPr="000342DF">
              <w:rPr>
                <w:rFonts w:cs="Arial"/>
                <w:sz w:val="18"/>
              </w:rPr>
              <w:t>Tag 1</w:t>
            </w:r>
            <w:r>
              <w:rPr>
                <w:rFonts w:cs="Arial"/>
                <w:sz w:val="18"/>
              </w:rPr>
              <w:t xml:space="preserve">-4:  </w:t>
            </w:r>
            <w:r w:rsidRPr="000342DF">
              <w:rPr>
                <w:rFonts w:cs="Arial"/>
                <w:sz w:val="18"/>
              </w:rPr>
              <w:t>Cisplatin 20 mg/m</w:t>
            </w:r>
            <w:r w:rsidRPr="000342DF">
              <w:rPr>
                <w:rFonts w:cs="Arial"/>
                <w:sz w:val="18"/>
                <w:vertAlign w:val="superscript"/>
              </w:rPr>
              <w:t>2</w:t>
            </w:r>
            <w:r w:rsidRPr="000342DF">
              <w:rPr>
                <w:rFonts w:cs="Arial"/>
                <w:sz w:val="18"/>
              </w:rPr>
              <w:t xml:space="preserve"> (+Hydratation)</w:t>
            </w:r>
          </w:p>
          <w:p w14:paraId="14CAD31C" w14:textId="77777777" w:rsidR="00035871" w:rsidRPr="000342DF" w:rsidRDefault="00035871" w:rsidP="00035871">
            <w:pPr>
              <w:spacing w:line="240" w:lineRule="auto"/>
              <w:jc w:val="left"/>
              <w:rPr>
                <w:rFonts w:cs="Arial"/>
                <w:sz w:val="18"/>
              </w:rPr>
            </w:pPr>
            <w:r w:rsidRPr="000342DF">
              <w:rPr>
                <w:rFonts w:cs="Arial"/>
                <w:sz w:val="18"/>
              </w:rPr>
              <w:t>Tag 1–5: Dexamethason 15 mg/m</w:t>
            </w:r>
            <w:r w:rsidRPr="000342DF">
              <w:rPr>
                <w:rFonts w:cs="Arial"/>
                <w:sz w:val="18"/>
                <w:vertAlign w:val="superscript"/>
              </w:rPr>
              <w:t>2</w:t>
            </w:r>
            <w:r w:rsidRPr="000342DF">
              <w:rPr>
                <w:rFonts w:cs="Arial"/>
                <w:sz w:val="18"/>
              </w:rPr>
              <w:t xml:space="preserve">, p.o. </w:t>
            </w:r>
          </w:p>
          <w:p w14:paraId="4411A899" w14:textId="77777777" w:rsidR="00035871" w:rsidRPr="000342DF" w:rsidRDefault="00035871" w:rsidP="00035871">
            <w:pPr>
              <w:spacing w:line="240" w:lineRule="auto"/>
              <w:jc w:val="left"/>
              <w:rPr>
                <w:rFonts w:cs="Arial"/>
                <w:sz w:val="18"/>
              </w:rPr>
            </w:pPr>
            <w:r w:rsidRPr="000342DF">
              <w:rPr>
                <w:rFonts w:cs="Arial"/>
                <w:sz w:val="18"/>
                <w:lang w:val="de-DE"/>
              </w:rPr>
              <w:t xml:space="preserve">Tag 1+8: Gemcitabine 800 </w:t>
            </w:r>
            <w:r w:rsidRPr="000342DF">
              <w:rPr>
                <w:rFonts w:cs="Arial"/>
                <w:sz w:val="18"/>
              </w:rPr>
              <w:t xml:space="preserve">mg/m² </w:t>
            </w:r>
          </w:p>
          <w:p w14:paraId="747DBDBC" w14:textId="77777777" w:rsidR="00035871" w:rsidRPr="007F70CF" w:rsidRDefault="00035871" w:rsidP="00035871">
            <w:pPr>
              <w:spacing w:line="240" w:lineRule="auto"/>
              <w:jc w:val="left"/>
              <w:rPr>
                <w:rFonts w:cs="Arial"/>
                <w:sz w:val="18"/>
              </w:rPr>
            </w:pPr>
            <w:r w:rsidRPr="000342DF">
              <w:rPr>
                <w:rFonts w:cs="Arial"/>
                <w:sz w:val="18"/>
              </w:rPr>
              <w:t xml:space="preserve">Tag 1: </w:t>
            </w:r>
            <w:r>
              <w:rPr>
                <w:rFonts w:cs="Arial"/>
                <w:sz w:val="18"/>
              </w:rPr>
              <w:t xml:space="preserve">    </w:t>
            </w:r>
            <w:r w:rsidRPr="000342DF">
              <w:rPr>
                <w:rFonts w:cs="Arial"/>
                <w:sz w:val="18"/>
              </w:rPr>
              <w:t xml:space="preserve">peg-Aparaginase 2.500 </w:t>
            </w:r>
            <w:r>
              <w:rPr>
                <w:rFonts w:cs="Arial"/>
                <w:sz w:val="18"/>
              </w:rPr>
              <w:t>I</w:t>
            </w:r>
            <w:r w:rsidR="007F70CF">
              <w:rPr>
                <w:rFonts w:cs="Arial"/>
                <w:sz w:val="18"/>
              </w:rPr>
              <w:t>U/m</w:t>
            </w:r>
            <w:r w:rsidR="007F70CF">
              <w:rPr>
                <w:rFonts w:cs="Arial"/>
                <w:sz w:val="18"/>
                <w:vertAlign w:val="superscript"/>
              </w:rPr>
              <w:t>2</w:t>
            </w:r>
          </w:p>
          <w:p w14:paraId="16E4D26E" w14:textId="77777777" w:rsidR="006C03F2" w:rsidRPr="00035871" w:rsidRDefault="00035871" w:rsidP="00035871">
            <w:pPr>
              <w:spacing w:line="240" w:lineRule="auto"/>
              <w:jc w:val="left"/>
              <w:rPr>
                <w:rFonts w:cs="Arial"/>
                <w:sz w:val="18"/>
                <w:lang w:val="de-DE"/>
              </w:rPr>
            </w:pPr>
            <w:r w:rsidRPr="000342DF">
              <w:rPr>
                <w:rFonts w:cs="Arial"/>
                <w:sz w:val="18"/>
                <w:lang w:val="de-DE"/>
              </w:rPr>
              <w:t>Wiederholung alle 3 Wochen</w:t>
            </w:r>
            <w:bookmarkEnd w:id="57"/>
          </w:p>
        </w:tc>
        <w:tc>
          <w:tcPr>
            <w:tcW w:w="4761" w:type="dxa"/>
          </w:tcPr>
          <w:p w14:paraId="6369869F" w14:textId="77777777" w:rsidR="00035871" w:rsidRPr="00725E5D" w:rsidRDefault="00035871" w:rsidP="00035871">
            <w:pPr>
              <w:keepNext/>
              <w:spacing w:line="240" w:lineRule="auto"/>
              <w:ind w:left="576" w:hanging="576"/>
              <w:jc w:val="left"/>
              <w:outlineLvl w:val="1"/>
              <w:rPr>
                <w:rFonts w:cs="Arial"/>
                <w:b/>
                <w:bCs/>
                <w:i/>
                <w:iCs/>
                <w:sz w:val="18"/>
                <w:szCs w:val="28"/>
              </w:rPr>
            </w:pPr>
            <w:bookmarkStart w:id="62" w:name="_Toc41725549"/>
            <w:bookmarkStart w:id="63" w:name="_Toc61379713"/>
            <w:bookmarkStart w:id="64" w:name="_Toc353200760"/>
            <w:bookmarkStart w:id="65" w:name="_Toc384280602"/>
            <w:bookmarkStart w:id="66" w:name="_Toc384971781"/>
            <w:r w:rsidRPr="00725E5D">
              <w:rPr>
                <w:rFonts w:cs="Arial"/>
                <w:b/>
                <w:bCs/>
                <w:i/>
                <w:iCs/>
                <w:sz w:val="18"/>
                <w:szCs w:val="28"/>
              </w:rPr>
              <w:t>GD</w:t>
            </w:r>
            <w:r>
              <w:rPr>
                <w:rFonts w:cs="Arial"/>
                <w:b/>
                <w:bCs/>
                <w:i/>
                <w:iCs/>
                <w:sz w:val="18"/>
                <w:szCs w:val="28"/>
              </w:rPr>
              <w:t>P</w:t>
            </w:r>
            <w:bookmarkEnd w:id="62"/>
            <w:bookmarkEnd w:id="63"/>
          </w:p>
          <w:p w14:paraId="625E7899" w14:textId="77777777" w:rsidR="00035871" w:rsidRPr="00725E5D" w:rsidRDefault="00035871" w:rsidP="00035871">
            <w:pPr>
              <w:spacing w:line="240" w:lineRule="auto"/>
              <w:jc w:val="left"/>
              <w:rPr>
                <w:rFonts w:cs="Arial"/>
                <w:sz w:val="18"/>
              </w:rPr>
            </w:pPr>
            <w:r w:rsidRPr="00725E5D">
              <w:rPr>
                <w:rFonts w:cs="Arial"/>
                <w:sz w:val="18"/>
              </w:rPr>
              <w:t>Tag 1:     Cisplatin 75 mg/m</w:t>
            </w:r>
            <w:r w:rsidRPr="00035871">
              <w:rPr>
                <w:rFonts w:cs="Arial"/>
                <w:sz w:val="18"/>
              </w:rPr>
              <w:t>2</w:t>
            </w:r>
            <w:r w:rsidRPr="00725E5D">
              <w:rPr>
                <w:rFonts w:cs="Arial"/>
                <w:sz w:val="18"/>
              </w:rPr>
              <w:t xml:space="preserve"> (+Hydratation)</w:t>
            </w:r>
          </w:p>
          <w:p w14:paraId="5D456291" w14:textId="77777777" w:rsidR="00035871" w:rsidRPr="00725E5D" w:rsidRDefault="00035871" w:rsidP="00035871">
            <w:pPr>
              <w:spacing w:line="240" w:lineRule="auto"/>
              <w:jc w:val="left"/>
              <w:rPr>
                <w:rFonts w:cs="Arial"/>
                <w:sz w:val="18"/>
              </w:rPr>
            </w:pPr>
            <w:r w:rsidRPr="00035871">
              <w:rPr>
                <w:rFonts w:cs="Arial"/>
                <w:sz w:val="18"/>
              </w:rPr>
              <w:t xml:space="preserve">Tag 1+8: Gemcitabine 1000 </w:t>
            </w:r>
            <w:r w:rsidRPr="00725E5D">
              <w:rPr>
                <w:rFonts w:cs="Arial"/>
                <w:sz w:val="18"/>
              </w:rPr>
              <w:t>mg/m²</w:t>
            </w:r>
          </w:p>
          <w:p w14:paraId="49E33E79" w14:textId="77777777" w:rsidR="00035871" w:rsidRPr="00725E5D" w:rsidRDefault="00035871" w:rsidP="00035871">
            <w:pPr>
              <w:spacing w:line="240" w:lineRule="auto"/>
              <w:jc w:val="left"/>
              <w:rPr>
                <w:rFonts w:cs="Arial"/>
                <w:sz w:val="18"/>
              </w:rPr>
            </w:pPr>
            <w:r w:rsidRPr="00725E5D">
              <w:rPr>
                <w:rFonts w:cs="Arial"/>
                <w:sz w:val="18"/>
              </w:rPr>
              <w:t xml:space="preserve">Tag 1–4: Fortecortin </w:t>
            </w:r>
            <w:r w:rsidR="00063886">
              <w:rPr>
                <w:rFonts w:cs="Arial"/>
                <w:sz w:val="18"/>
              </w:rPr>
              <w:t>40</w:t>
            </w:r>
            <w:r w:rsidRPr="00725E5D">
              <w:rPr>
                <w:rFonts w:cs="Arial"/>
                <w:sz w:val="18"/>
              </w:rPr>
              <w:t xml:space="preserve">mg, p.o. </w:t>
            </w:r>
          </w:p>
          <w:p w14:paraId="2DE09414" w14:textId="77777777" w:rsidR="00035871" w:rsidRDefault="00035871" w:rsidP="00035871">
            <w:pPr>
              <w:spacing w:line="240" w:lineRule="auto"/>
              <w:jc w:val="left"/>
              <w:rPr>
                <w:rFonts w:cs="Arial"/>
                <w:sz w:val="18"/>
              </w:rPr>
            </w:pPr>
            <w:r w:rsidRPr="00035871">
              <w:rPr>
                <w:rFonts w:cs="Arial"/>
                <w:sz w:val="18"/>
              </w:rPr>
              <w:t>Wiederholung alle 3 Wochen</w:t>
            </w:r>
          </w:p>
          <w:p w14:paraId="1B9DA13A" w14:textId="77777777" w:rsidR="00063886" w:rsidRPr="00725E5D" w:rsidRDefault="00063886" w:rsidP="00035871">
            <w:pPr>
              <w:spacing w:line="240" w:lineRule="auto"/>
              <w:jc w:val="left"/>
              <w:rPr>
                <w:rFonts w:cs="Arial"/>
                <w:sz w:val="18"/>
              </w:rPr>
            </w:pPr>
            <w:r w:rsidRPr="00CC3D9E">
              <w:rPr>
                <w:rFonts w:cs="Arial"/>
                <w:sz w:val="18"/>
              </w:rPr>
              <w:t>Dexamethason: bei p.o. Gabe von Dexamethason und gleichzeitiger Gabe von Akynzeo Dosisreduktion von Dexamethason um 50%</w:t>
            </w:r>
          </w:p>
          <w:p w14:paraId="093EFF5F" w14:textId="77777777" w:rsidR="00035871" w:rsidRPr="004501B1" w:rsidRDefault="00035871" w:rsidP="006C03F2">
            <w:pPr>
              <w:keepNext/>
              <w:spacing w:line="240" w:lineRule="auto"/>
              <w:jc w:val="left"/>
              <w:outlineLvl w:val="1"/>
              <w:rPr>
                <w:rFonts w:cs="Arial"/>
                <w:b/>
                <w:bCs/>
                <w:i/>
                <w:iCs/>
                <w:sz w:val="18"/>
                <w:szCs w:val="28"/>
              </w:rPr>
            </w:pPr>
          </w:p>
          <w:p w14:paraId="50D7960F" w14:textId="77777777" w:rsidR="006C03F2" w:rsidRPr="00725E5D" w:rsidRDefault="006C03F2" w:rsidP="006C03F2">
            <w:pPr>
              <w:keepNext/>
              <w:spacing w:line="240" w:lineRule="auto"/>
              <w:jc w:val="left"/>
              <w:outlineLvl w:val="1"/>
              <w:rPr>
                <w:rFonts w:cs="Arial"/>
                <w:b/>
                <w:bCs/>
                <w:i/>
                <w:iCs/>
                <w:sz w:val="18"/>
                <w:szCs w:val="28"/>
                <w:lang w:val="en-US"/>
              </w:rPr>
            </w:pPr>
            <w:bookmarkStart w:id="67" w:name="_Toc41725550"/>
            <w:bookmarkStart w:id="68" w:name="_Toc61379714"/>
            <w:r w:rsidRPr="00725E5D">
              <w:rPr>
                <w:rFonts w:cs="Arial"/>
                <w:b/>
                <w:bCs/>
                <w:i/>
                <w:iCs/>
                <w:sz w:val="18"/>
                <w:szCs w:val="28"/>
                <w:lang w:val="en-US"/>
              </w:rPr>
              <w:t>Mini-CHOP</w:t>
            </w:r>
            <w:bookmarkEnd w:id="67"/>
            <w:bookmarkEnd w:id="68"/>
          </w:p>
          <w:p w14:paraId="79A4A047" w14:textId="77777777" w:rsidR="006C03F2" w:rsidRPr="00725E5D" w:rsidRDefault="006C03F2" w:rsidP="006C03F2">
            <w:pPr>
              <w:spacing w:line="240" w:lineRule="auto"/>
              <w:jc w:val="left"/>
              <w:rPr>
                <w:rFonts w:cs="Arial"/>
                <w:sz w:val="18"/>
                <w:lang w:val="en-US"/>
              </w:rPr>
            </w:pPr>
            <w:r w:rsidRPr="00725E5D">
              <w:rPr>
                <w:rFonts w:cs="Arial"/>
                <w:bCs/>
                <w:iCs/>
                <w:sz w:val="18"/>
                <w:szCs w:val="28"/>
                <w:lang w:val="en-US"/>
              </w:rPr>
              <w:t>Tag 1:</w:t>
            </w:r>
            <w:r w:rsidRPr="00725E5D">
              <w:rPr>
                <w:rFonts w:cs="Arial"/>
                <w:sz w:val="18"/>
                <w:lang w:val="en-US"/>
              </w:rPr>
              <w:t xml:space="preserve">    Cyclophosphamid 400 mg/m²</w:t>
            </w:r>
          </w:p>
          <w:p w14:paraId="3BA5B409" w14:textId="77777777" w:rsidR="006C03F2" w:rsidRPr="00725E5D" w:rsidRDefault="006C03F2" w:rsidP="006C03F2">
            <w:pPr>
              <w:spacing w:line="240" w:lineRule="auto"/>
              <w:jc w:val="left"/>
              <w:rPr>
                <w:rFonts w:cs="Arial"/>
                <w:sz w:val="18"/>
              </w:rPr>
            </w:pPr>
            <w:r w:rsidRPr="00725E5D">
              <w:rPr>
                <w:rFonts w:cs="Arial"/>
                <w:sz w:val="18"/>
              </w:rPr>
              <w:t>Tag 1:    Doxorubicin 25 mg/m²</w:t>
            </w:r>
          </w:p>
          <w:p w14:paraId="5EF89B01" w14:textId="77777777" w:rsidR="006C03F2" w:rsidRPr="00725E5D" w:rsidRDefault="006C03F2" w:rsidP="006C03F2">
            <w:pPr>
              <w:spacing w:line="240" w:lineRule="auto"/>
              <w:jc w:val="left"/>
              <w:rPr>
                <w:rFonts w:cs="Arial"/>
                <w:sz w:val="18"/>
              </w:rPr>
            </w:pPr>
            <w:r w:rsidRPr="00725E5D">
              <w:rPr>
                <w:rFonts w:cs="Arial"/>
                <w:sz w:val="18"/>
              </w:rPr>
              <w:t>Tag 1:</w:t>
            </w:r>
            <w:r w:rsidRPr="00725E5D">
              <w:rPr>
                <w:rFonts w:cs="Arial"/>
                <w:sz w:val="18"/>
              </w:rPr>
              <w:tab/>
              <w:t>Vincristin 1 mg absolut</w:t>
            </w:r>
          </w:p>
          <w:p w14:paraId="025F581F" w14:textId="77777777" w:rsidR="006C03F2" w:rsidRPr="00725E5D" w:rsidRDefault="006C03F2" w:rsidP="006C03F2">
            <w:pPr>
              <w:spacing w:line="240" w:lineRule="auto"/>
              <w:jc w:val="left"/>
              <w:rPr>
                <w:rFonts w:cs="Arial"/>
                <w:bCs/>
                <w:iCs/>
                <w:sz w:val="18"/>
                <w:szCs w:val="28"/>
              </w:rPr>
            </w:pPr>
            <w:r w:rsidRPr="00725E5D">
              <w:rPr>
                <w:rFonts w:cs="Arial"/>
                <w:bCs/>
                <w:iCs/>
                <w:sz w:val="18"/>
                <w:szCs w:val="28"/>
              </w:rPr>
              <w:t>Tag 1-5: Prednisolon 40 mg</w:t>
            </w:r>
            <w:r w:rsidR="00063886">
              <w:rPr>
                <w:rFonts w:cs="Arial"/>
                <w:bCs/>
                <w:iCs/>
                <w:sz w:val="18"/>
                <w:szCs w:val="28"/>
              </w:rPr>
              <w:t>/m²</w:t>
            </w:r>
            <w:r w:rsidRPr="00725E5D">
              <w:rPr>
                <w:rFonts w:cs="Arial"/>
                <w:bCs/>
                <w:iCs/>
                <w:sz w:val="18"/>
                <w:szCs w:val="28"/>
              </w:rPr>
              <w:t>, p.o.</w:t>
            </w:r>
          </w:p>
          <w:p w14:paraId="1EC4602D" w14:textId="77777777" w:rsidR="006C03F2" w:rsidRPr="00725E5D" w:rsidRDefault="006C03F2" w:rsidP="006C03F2">
            <w:pPr>
              <w:spacing w:line="240" w:lineRule="auto"/>
              <w:jc w:val="left"/>
              <w:rPr>
                <w:rFonts w:cs="Arial"/>
                <w:sz w:val="18"/>
              </w:rPr>
            </w:pPr>
            <w:r w:rsidRPr="00725E5D">
              <w:rPr>
                <w:rFonts w:cs="Arial"/>
                <w:sz w:val="18"/>
                <w:lang w:val="de-DE"/>
              </w:rPr>
              <w:t>Wiederholung alle 3 Wochen</w:t>
            </w:r>
          </w:p>
          <w:bookmarkEnd w:id="64"/>
          <w:bookmarkEnd w:id="65"/>
          <w:bookmarkEnd w:id="66"/>
          <w:p w14:paraId="6EAA59B1" w14:textId="77777777" w:rsidR="006C03F2" w:rsidRDefault="006C03F2" w:rsidP="006C03F2">
            <w:pPr>
              <w:keepNext/>
              <w:spacing w:line="240" w:lineRule="auto"/>
              <w:ind w:left="576" w:hanging="576"/>
              <w:jc w:val="left"/>
              <w:outlineLvl w:val="1"/>
              <w:rPr>
                <w:rFonts w:cs="Arial"/>
                <w:b/>
                <w:bCs/>
                <w:i/>
                <w:iCs/>
                <w:sz w:val="18"/>
                <w:szCs w:val="28"/>
              </w:rPr>
            </w:pPr>
          </w:p>
          <w:p w14:paraId="183FC6C0" w14:textId="77777777" w:rsidR="00035871" w:rsidRPr="004501B1" w:rsidRDefault="00035871" w:rsidP="00035871">
            <w:pPr>
              <w:keepNext/>
              <w:spacing w:line="240" w:lineRule="auto"/>
              <w:jc w:val="left"/>
              <w:outlineLvl w:val="1"/>
              <w:rPr>
                <w:rFonts w:cs="Arial"/>
                <w:b/>
                <w:bCs/>
                <w:i/>
                <w:iCs/>
                <w:sz w:val="18"/>
                <w:szCs w:val="28"/>
                <w:lang w:val="en-GB"/>
              </w:rPr>
            </w:pPr>
            <w:bookmarkStart w:id="69" w:name="_Toc41725551"/>
            <w:bookmarkStart w:id="70" w:name="_Toc61379715"/>
            <w:r w:rsidRPr="004501B1">
              <w:rPr>
                <w:rFonts w:cs="Arial"/>
                <w:b/>
                <w:bCs/>
                <w:i/>
                <w:iCs/>
                <w:sz w:val="18"/>
                <w:szCs w:val="28"/>
                <w:lang w:val="en-GB"/>
              </w:rPr>
              <w:t>2/3 DeVIC</w:t>
            </w:r>
            <w:bookmarkEnd w:id="69"/>
            <w:bookmarkEnd w:id="70"/>
          </w:p>
          <w:p w14:paraId="61B87982" w14:textId="77777777" w:rsidR="00035871" w:rsidRPr="004501B1" w:rsidRDefault="00035871" w:rsidP="00035871">
            <w:pPr>
              <w:spacing w:line="240" w:lineRule="auto"/>
              <w:jc w:val="left"/>
              <w:rPr>
                <w:rFonts w:cs="Arial"/>
                <w:sz w:val="18"/>
                <w:lang w:val="en-GB"/>
              </w:rPr>
            </w:pPr>
            <w:r w:rsidRPr="004501B1">
              <w:rPr>
                <w:rFonts w:cs="Arial"/>
                <w:sz w:val="18"/>
                <w:lang w:val="en-GB"/>
              </w:rPr>
              <w:t>Tag 1:         Carboplatin 200 mg/m²</w:t>
            </w:r>
          </w:p>
          <w:p w14:paraId="7D1A4E2F" w14:textId="77777777" w:rsidR="00035871" w:rsidRPr="00725E5D" w:rsidRDefault="00035871" w:rsidP="00035871">
            <w:pPr>
              <w:spacing w:line="240" w:lineRule="auto"/>
              <w:jc w:val="left"/>
              <w:rPr>
                <w:rFonts w:cs="Arial"/>
                <w:sz w:val="18"/>
                <w:lang w:val="de-DE"/>
              </w:rPr>
            </w:pPr>
            <w:r w:rsidRPr="00725E5D">
              <w:rPr>
                <w:rFonts w:cs="Arial"/>
                <w:sz w:val="18"/>
                <w:lang w:val="de-DE"/>
              </w:rPr>
              <w:t>Tag 1 bis 3: Etoposid 67 mg/m²</w:t>
            </w:r>
          </w:p>
          <w:p w14:paraId="753658BB" w14:textId="77777777" w:rsidR="00035871" w:rsidRPr="00725E5D" w:rsidRDefault="00035871" w:rsidP="00035871">
            <w:pPr>
              <w:spacing w:line="240" w:lineRule="auto"/>
              <w:jc w:val="left"/>
              <w:rPr>
                <w:rFonts w:cs="Arial"/>
                <w:sz w:val="18"/>
                <w:lang w:val="de-DE"/>
              </w:rPr>
            </w:pPr>
            <w:r w:rsidRPr="00725E5D">
              <w:rPr>
                <w:rFonts w:cs="Arial"/>
                <w:sz w:val="18"/>
                <w:lang w:val="de-DE"/>
              </w:rPr>
              <w:t>Tag 1 bis 3: Ifosfamid 1000 mg/m²</w:t>
            </w:r>
          </w:p>
          <w:p w14:paraId="40F70148" w14:textId="77777777" w:rsidR="00035871" w:rsidRPr="00C34AEE" w:rsidRDefault="00035871" w:rsidP="00035871">
            <w:pPr>
              <w:spacing w:line="240" w:lineRule="auto"/>
              <w:jc w:val="left"/>
              <w:rPr>
                <w:rFonts w:cs="Arial"/>
                <w:sz w:val="18"/>
                <w:lang w:val="de-DE"/>
              </w:rPr>
            </w:pPr>
            <w:r w:rsidRPr="00725E5D">
              <w:rPr>
                <w:rFonts w:cs="Arial"/>
                <w:sz w:val="18"/>
                <w:lang w:val="de-DE"/>
              </w:rPr>
              <w:t>Tag 1 bis 3: Dexamethason 40 mg i.v.</w:t>
            </w:r>
          </w:p>
          <w:p w14:paraId="5EF91107" w14:textId="77777777" w:rsidR="00035871" w:rsidRPr="00725E5D" w:rsidRDefault="00035871" w:rsidP="00035871">
            <w:pPr>
              <w:spacing w:line="240" w:lineRule="auto"/>
              <w:jc w:val="left"/>
              <w:rPr>
                <w:rFonts w:cs="Arial"/>
                <w:sz w:val="18"/>
                <w:lang w:val="de-DE"/>
              </w:rPr>
            </w:pPr>
            <w:r w:rsidRPr="00725E5D">
              <w:rPr>
                <w:rFonts w:cs="Arial"/>
                <w:sz w:val="18"/>
                <w:lang w:val="de-DE"/>
              </w:rPr>
              <w:t>Wiederholung alle 3 Wochen</w:t>
            </w:r>
          </w:p>
          <w:p w14:paraId="140F2CA3" w14:textId="77777777" w:rsidR="00035871" w:rsidRDefault="00035871" w:rsidP="00C34AEE">
            <w:pPr>
              <w:spacing w:line="240" w:lineRule="auto"/>
              <w:jc w:val="left"/>
              <w:rPr>
                <w:rFonts w:cs="Arial"/>
                <w:sz w:val="18"/>
                <w:lang w:val="de-DE"/>
              </w:rPr>
            </w:pPr>
            <w:r w:rsidRPr="00C34AEE">
              <w:rPr>
                <w:rFonts w:cs="Arial"/>
                <w:sz w:val="18"/>
                <w:lang w:val="de-DE"/>
              </w:rPr>
              <w:t>Evtl. gleichzeitig Radiatio</w:t>
            </w:r>
          </w:p>
          <w:p w14:paraId="25301CB1" w14:textId="77777777" w:rsidR="00C34AEE" w:rsidRPr="00C34AEE" w:rsidRDefault="00C34AEE" w:rsidP="00C34AEE">
            <w:pPr>
              <w:spacing w:line="240" w:lineRule="auto"/>
              <w:jc w:val="left"/>
              <w:rPr>
                <w:rFonts w:cs="Arial"/>
                <w:sz w:val="18"/>
                <w:lang w:val="de-DE"/>
              </w:rPr>
            </w:pPr>
          </w:p>
          <w:p w14:paraId="41C983F9" w14:textId="77777777" w:rsidR="006C03F2" w:rsidRPr="009D185C" w:rsidRDefault="00894643" w:rsidP="006C03F2">
            <w:pPr>
              <w:keepNext/>
              <w:spacing w:line="240" w:lineRule="auto"/>
              <w:ind w:left="576" w:hanging="576"/>
              <w:jc w:val="left"/>
              <w:outlineLvl w:val="1"/>
              <w:rPr>
                <w:rFonts w:cs="Arial"/>
                <w:b/>
                <w:bCs/>
                <w:i/>
                <w:iCs/>
                <w:color w:val="000000" w:themeColor="text1"/>
                <w:sz w:val="18"/>
                <w:szCs w:val="28"/>
              </w:rPr>
            </w:pPr>
            <w:bookmarkStart w:id="71" w:name="_Toc41725552"/>
            <w:bookmarkStart w:id="72" w:name="_Toc61379716"/>
            <w:r w:rsidRPr="009D185C">
              <w:rPr>
                <w:rFonts w:cs="Arial"/>
                <w:b/>
                <w:bCs/>
                <w:i/>
                <w:iCs/>
                <w:color w:val="000000" w:themeColor="text1"/>
                <w:sz w:val="18"/>
                <w:szCs w:val="28"/>
              </w:rPr>
              <w:t>m</w:t>
            </w:r>
            <w:r w:rsidR="006C03F2" w:rsidRPr="009D185C">
              <w:rPr>
                <w:rFonts w:cs="Arial"/>
                <w:b/>
                <w:bCs/>
                <w:i/>
                <w:iCs/>
                <w:color w:val="000000" w:themeColor="text1"/>
                <w:sz w:val="18"/>
                <w:szCs w:val="28"/>
              </w:rPr>
              <w:t>SMILE</w:t>
            </w:r>
            <w:bookmarkEnd w:id="71"/>
            <w:bookmarkEnd w:id="72"/>
          </w:p>
          <w:p w14:paraId="6AD8C0D8" w14:textId="77777777" w:rsidR="006C03F2" w:rsidRPr="00725E5D" w:rsidRDefault="006C03F2" w:rsidP="006C03F2">
            <w:pPr>
              <w:spacing w:line="240" w:lineRule="auto"/>
              <w:jc w:val="left"/>
              <w:rPr>
                <w:rFonts w:cs="Arial"/>
                <w:sz w:val="18"/>
              </w:rPr>
            </w:pPr>
            <w:r w:rsidRPr="009D185C">
              <w:rPr>
                <w:rFonts w:cs="Arial"/>
                <w:color w:val="000000" w:themeColor="text1"/>
                <w:sz w:val="18"/>
                <w:lang w:val="de-DE"/>
              </w:rPr>
              <w:t xml:space="preserve">Tag 1: </w:t>
            </w:r>
            <w:r w:rsidR="00D81D6C" w:rsidRPr="009D185C">
              <w:rPr>
                <w:rFonts w:cs="Arial"/>
                <w:color w:val="000000" w:themeColor="text1"/>
                <w:sz w:val="18"/>
                <w:lang w:val="de-DE"/>
              </w:rPr>
              <w:t xml:space="preserve">        </w:t>
            </w:r>
            <w:r w:rsidRPr="009D185C">
              <w:rPr>
                <w:rFonts w:cs="Arial"/>
                <w:color w:val="000000" w:themeColor="text1"/>
                <w:sz w:val="18"/>
                <w:lang w:val="de-DE"/>
              </w:rPr>
              <w:t xml:space="preserve">Methotrexat </w:t>
            </w:r>
            <w:r w:rsidRPr="00725E5D">
              <w:rPr>
                <w:rFonts w:cs="Arial"/>
                <w:sz w:val="18"/>
                <w:lang w:val="de-DE"/>
              </w:rPr>
              <w:t>2 g/m²</w:t>
            </w:r>
          </w:p>
          <w:p w14:paraId="186B130F" w14:textId="77777777" w:rsidR="006C03F2" w:rsidRPr="00725E5D" w:rsidRDefault="006C03F2" w:rsidP="006C03F2">
            <w:pPr>
              <w:spacing w:line="240" w:lineRule="auto"/>
              <w:jc w:val="left"/>
              <w:rPr>
                <w:rFonts w:cs="Arial"/>
                <w:sz w:val="18"/>
              </w:rPr>
            </w:pPr>
            <w:r w:rsidRPr="00725E5D">
              <w:rPr>
                <w:rFonts w:cs="Arial"/>
                <w:sz w:val="18"/>
                <w:lang w:val="de-DE"/>
              </w:rPr>
              <w:t>Tag 2 bis 4: Etoposid 100 mg/m²</w:t>
            </w:r>
          </w:p>
          <w:p w14:paraId="5EC6F233" w14:textId="77777777" w:rsidR="006C03F2" w:rsidRPr="00725E5D" w:rsidRDefault="006C03F2" w:rsidP="006C03F2">
            <w:pPr>
              <w:spacing w:line="240" w:lineRule="auto"/>
              <w:jc w:val="left"/>
              <w:rPr>
                <w:rFonts w:cs="Arial"/>
                <w:sz w:val="18"/>
              </w:rPr>
            </w:pPr>
            <w:r w:rsidRPr="00725E5D">
              <w:rPr>
                <w:rFonts w:cs="Arial"/>
                <w:sz w:val="18"/>
                <w:lang w:val="de-DE"/>
              </w:rPr>
              <w:t>Tag 2 bis 4: Ifosfamid 1500 mg/m²  (+Mesna)</w:t>
            </w:r>
          </w:p>
          <w:p w14:paraId="114680DF" w14:textId="77777777" w:rsidR="006C03F2" w:rsidRPr="00725E5D" w:rsidRDefault="006C03F2" w:rsidP="006C03F2">
            <w:pPr>
              <w:spacing w:line="240" w:lineRule="auto"/>
              <w:jc w:val="left"/>
              <w:rPr>
                <w:rFonts w:cs="Arial"/>
                <w:sz w:val="18"/>
              </w:rPr>
            </w:pPr>
            <w:r w:rsidRPr="00725E5D">
              <w:rPr>
                <w:rFonts w:cs="Arial"/>
                <w:sz w:val="18"/>
                <w:lang w:val="de-DE"/>
              </w:rPr>
              <w:t>Tag 2 bis 4: Dexamethason 40 mg i.v.</w:t>
            </w:r>
          </w:p>
          <w:p w14:paraId="58CAA588" w14:textId="77777777" w:rsidR="006C03F2" w:rsidRPr="00725E5D" w:rsidRDefault="006C03F2" w:rsidP="006C03F2">
            <w:pPr>
              <w:spacing w:line="240" w:lineRule="auto"/>
              <w:jc w:val="left"/>
              <w:rPr>
                <w:rFonts w:cs="Arial"/>
                <w:sz w:val="18"/>
                <w:lang w:val="de-DE"/>
              </w:rPr>
            </w:pPr>
            <w:r w:rsidRPr="00725E5D">
              <w:rPr>
                <w:rFonts w:cs="Arial"/>
                <w:sz w:val="18"/>
                <w:lang w:val="de-DE"/>
              </w:rPr>
              <w:t>Tag 8</w:t>
            </w:r>
            <w:r w:rsidR="007F70CF">
              <w:rPr>
                <w:rFonts w:cs="Arial"/>
                <w:sz w:val="18"/>
                <w:lang w:val="de-DE"/>
              </w:rPr>
              <w:t>: peg-Asparaginase 2.500</w:t>
            </w:r>
            <w:r w:rsidRPr="00725E5D">
              <w:rPr>
                <w:rFonts w:cs="Arial"/>
                <w:sz w:val="18"/>
                <w:lang w:val="de-DE"/>
              </w:rPr>
              <w:t xml:space="preserve"> IU/m²</w:t>
            </w:r>
          </w:p>
          <w:p w14:paraId="713D26EC" w14:textId="77777777" w:rsidR="006C03F2" w:rsidRPr="00942D0D" w:rsidRDefault="00035871" w:rsidP="006C03F2">
            <w:pPr>
              <w:spacing w:line="240" w:lineRule="auto"/>
              <w:jc w:val="left"/>
              <w:rPr>
                <w:rFonts w:cs="Arial"/>
                <w:sz w:val="18"/>
                <w:lang w:val="de-DE"/>
              </w:rPr>
            </w:pPr>
            <w:r>
              <w:rPr>
                <w:rFonts w:cs="Arial"/>
                <w:sz w:val="18"/>
                <w:lang w:val="de-DE"/>
              </w:rPr>
              <w:t>Wiederhol</w:t>
            </w:r>
            <w:r w:rsidR="007F70CF">
              <w:rPr>
                <w:rFonts w:cs="Arial"/>
                <w:sz w:val="18"/>
                <w:lang w:val="de-DE"/>
              </w:rPr>
              <w:t>ung alle 4</w:t>
            </w:r>
            <w:r w:rsidR="006C03F2" w:rsidRPr="00725E5D">
              <w:rPr>
                <w:rFonts w:cs="Arial"/>
                <w:sz w:val="18"/>
                <w:lang w:val="de-DE"/>
              </w:rPr>
              <w:t xml:space="preserve"> Wochen</w:t>
            </w:r>
          </w:p>
        </w:tc>
      </w:tr>
    </w:tbl>
    <w:tbl>
      <w:tblPr>
        <w:tblStyle w:val="Tabellenraster"/>
        <w:tblpPr w:leftFromText="141" w:rightFromText="141" w:vertAnchor="text" w:horzAnchor="margin" w:tblpY="302"/>
        <w:tblW w:w="0" w:type="auto"/>
        <w:tblLayout w:type="fixed"/>
        <w:tblLook w:val="04A0" w:firstRow="1" w:lastRow="0" w:firstColumn="1" w:lastColumn="0" w:noHBand="0" w:noVBand="1"/>
      </w:tblPr>
      <w:tblGrid>
        <w:gridCol w:w="9522"/>
      </w:tblGrid>
      <w:tr w:rsidR="00A74A99" w:rsidRPr="00545352" w14:paraId="43F35DDC" w14:textId="77777777" w:rsidTr="00A74A99">
        <w:trPr>
          <w:trHeight w:val="1681"/>
        </w:trPr>
        <w:tc>
          <w:tcPr>
            <w:tcW w:w="9522" w:type="dxa"/>
          </w:tcPr>
          <w:p w14:paraId="11006F2E" w14:textId="77777777" w:rsidR="00A74A99" w:rsidRPr="00477F6F" w:rsidRDefault="00A74A99" w:rsidP="00A74A99">
            <w:pPr>
              <w:pStyle w:val="berschrift2"/>
              <w:spacing w:before="0" w:line="240" w:lineRule="auto"/>
              <w:ind w:left="0" w:firstLine="0"/>
              <w:jc w:val="left"/>
              <w:rPr>
                <w:sz w:val="18"/>
                <w:szCs w:val="18"/>
                <w:lang w:val="de-DE"/>
              </w:rPr>
            </w:pPr>
            <w:bookmarkStart w:id="73" w:name="_Toc41725553"/>
            <w:bookmarkStart w:id="74" w:name="_Toc61379717"/>
            <w:r w:rsidRPr="00477F6F">
              <w:rPr>
                <w:sz w:val="18"/>
                <w:szCs w:val="18"/>
                <w:lang w:val="de-DE"/>
              </w:rPr>
              <w:t>Dosisreduktion von Brentuximab-Vedotin je nach Polyneuropathie</w:t>
            </w:r>
            <w:r>
              <w:rPr>
                <w:sz w:val="18"/>
                <w:szCs w:val="18"/>
                <w:lang w:val="de-DE"/>
              </w:rPr>
              <w:t xml:space="preserve"> (</w:t>
            </w:r>
            <w:r w:rsidRPr="00C33330">
              <w:rPr>
                <w:sz w:val="18"/>
                <w:szCs w:val="18"/>
                <w:lang w:val="de-DE"/>
              </w:rPr>
              <w:t>Horwitz S; Lancet 2019)</w:t>
            </w:r>
            <w:bookmarkEnd w:id="73"/>
            <w:bookmarkEnd w:id="74"/>
          </w:p>
          <w:tbl>
            <w:tblPr>
              <w:tblStyle w:val="Tabellenraster"/>
              <w:tblW w:w="0" w:type="auto"/>
              <w:tblLayout w:type="fixed"/>
              <w:tblLook w:val="04A0" w:firstRow="1" w:lastRow="0" w:firstColumn="1" w:lastColumn="0" w:noHBand="0" w:noVBand="1"/>
            </w:tblPr>
            <w:tblGrid>
              <w:gridCol w:w="1555"/>
              <w:gridCol w:w="3827"/>
              <w:gridCol w:w="3827"/>
            </w:tblGrid>
            <w:tr w:rsidR="00A74A99" w:rsidRPr="00477F6F" w14:paraId="035A16CE" w14:textId="77777777" w:rsidTr="00035871">
              <w:trPr>
                <w:trHeight w:val="367"/>
              </w:trPr>
              <w:tc>
                <w:tcPr>
                  <w:tcW w:w="1555" w:type="dxa"/>
                  <w:shd w:val="clear" w:color="auto" w:fill="D9D9D9" w:themeFill="background1" w:themeFillShade="D9"/>
                </w:tcPr>
                <w:p w14:paraId="58B5F24E" w14:textId="77777777" w:rsidR="00A74A99" w:rsidRPr="00C33330" w:rsidRDefault="00A74A99" w:rsidP="00E57A6B">
                  <w:pPr>
                    <w:framePr w:hSpace="141" w:wrap="around" w:vAnchor="text" w:hAnchor="margin" w:y="302"/>
                    <w:spacing w:line="240" w:lineRule="auto"/>
                    <w:jc w:val="left"/>
                    <w:rPr>
                      <w:rFonts w:cs="Arial"/>
                      <w:b/>
                      <w:sz w:val="18"/>
                      <w:szCs w:val="18"/>
                      <w:lang w:val="de-DE"/>
                    </w:rPr>
                  </w:pPr>
                  <w:r w:rsidRPr="00C33330">
                    <w:rPr>
                      <w:rFonts w:cs="Arial"/>
                      <w:b/>
                      <w:sz w:val="18"/>
                      <w:szCs w:val="18"/>
                      <w:lang w:val="de-DE"/>
                    </w:rPr>
                    <w:t>Neuropathie</w:t>
                  </w:r>
                  <w:r>
                    <w:rPr>
                      <w:rFonts w:cs="Arial"/>
                      <w:b/>
                      <w:sz w:val="18"/>
                      <w:szCs w:val="18"/>
                      <w:lang w:val="de-DE"/>
                    </w:rPr>
                    <w:t xml:space="preserve"> (sensorisch </w:t>
                  </w:r>
                  <w:r w:rsidR="00035871">
                    <w:rPr>
                      <w:rFonts w:cs="Arial"/>
                      <w:b/>
                      <w:sz w:val="18"/>
                      <w:szCs w:val="18"/>
                      <w:lang w:val="de-DE"/>
                    </w:rPr>
                    <w:t>up</w:t>
                  </w:r>
                  <w:r>
                    <w:rPr>
                      <w:rFonts w:cs="Arial"/>
                      <w:b/>
                      <w:sz w:val="18"/>
                      <w:szCs w:val="18"/>
                      <w:lang w:val="de-DE"/>
                    </w:rPr>
                    <w:t xml:space="preserve"> motorisch)</w:t>
                  </w:r>
                </w:p>
              </w:tc>
              <w:tc>
                <w:tcPr>
                  <w:tcW w:w="3827" w:type="dxa"/>
                  <w:shd w:val="clear" w:color="auto" w:fill="D9D9D9" w:themeFill="background1" w:themeFillShade="D9"/>
                </w:tcPr>
                <w:p w14:paraId="571D75D3" w14:textId="77777777" w:rsidR="00A74A99" w:rsidRPr="00C33330" w:rsidRDefault="00B529EE" w:rsidP="00E57A6B">
                  <w:pPr>
                    <w:framePr w:hSpace="141" w:wrap="around" w:vAnchor="text" w:hAnchor="margin" w:y="302"/>
                    <w:spacing w:line="240" w:lineRule="auto"/>
                    <w:jc w:val="left"/>
                    <w:rPr>
                      <w:rFonts w:cs="Arial"/>
                      <w:b/>
                      <w:sz w:val="18"/>
                      <w:szCs w:val="18"/>
                      <w:lang w:val="de-DE"/>
                    </w:rPr>
                  </w:pPr>
                  <w:r>
                    <w:rPr>
                      <w:rFonts w:cs="Arial"/>
                      <w:b/>
                      <w:sz w:val="18"/>
                      <w:szCs w:val="18"/>
                      <w:lang w:val="de-DE"/>
                    </w:rPr>
                    <w:t>Monotherapie</w:t>
                  </w:r>
                </w:p>
              </w:tc>
              <w:tc>
                <w:tcPr>
                  <w:tcW w:w="3827" w:type="dxa"/>
                  <w:shd w:val="clear" w:color="auto" w:fill="D9D9D9" w:themeFill="background1" w:themeFillShade="D9"/>
                </w:tcPr>
                <w:p w14:paraId="203DF12D" w14:textId="77777777" w:rsidR="00A74A99" w:rsidRPr="00C33330" w:rsidRDefault="00B529EE" w:rsidP="00E57A6B">
                  <w:pPr>
                    <w:framePr w:hSpace="141" w:wrap="around" w:vAnchor="text" w:hAnchor="margin" w:y="302"/>
                    <w:spacing w:line="240" w:lineRule="auto"/>
                    <w:jc w:val="left"/>
                    <w:rPr>
                      <w:rFonts w:cs="Arial"/>
                      <w:b/>
                      <w:sz w:val="18"/>
                      <w:szCs w:val="18"/>
                      <w:lang w:val="de-DE"/>
                    </w:rPr>
                  </w:pPr>
                  <w:r>
                    <w:rPr>
                      <w:rFonts w:cs="Arial"/>
                      <w:b/>
                      <w:sz w:val="18"/>
                      <w:szCs w:val="18"/>
                      <w:lang w:val="de-DE"/>
                    </w:rPr>
                    <w:t>Kombinationstherapie</w:t>
                  </w:r>
                </w:p>
              </w:tc>
            </w:tr>
            <w:tr w:rsidR="00A74A99" w:rsidRPr="00477F6F" w14:paraId="67417409" w14:textId="77777777" w:rsidTr="00035871">
              <w:trPr>
                <w:trHeight w:val="367"/>
              </w:trPr>
              <w:tc>
                <w:tcPr>
                  <w:tcW w:w="1555" w:type="dxa"/>
                </w:tcPr>
                <w:p w14:paraId="32298CF1" w14:textId="77777777" w:rsidR="00A74A99" w:rsidRPr="00477F6F" w:rsidRDefault="00A74A99" w:rsidP="00E57A6B">
                  <w:pPr>
                    <w:framePr w:hSpace="141" w:wrap="around" w:vAnchor="text" w:hAnchor="margin" w:y="302"/>
                    <w:spacing w:line="240" w:lineRule="auto"/>
                    <w:jc w:val="left"/>
                    <w:rPr>
                      <w:rFonts w:cs="Arial"/>
                      <w:sz w:val="18"/>
                      <w:szCs w:val="18"/>
                      <w:lang w:val="de-DE"/>
                    </w:rPr>
                  </w:pPr>
                  <w:r w:rsidRPr="00477F6F">
                    <w:rPr>
                      <w:rFonts w:cs="Arial"/>
                      <w:sz w:val="18"/>
                      <w:szCs w:val="18"/>
                      <w:lang w:val="de-DE"/>
                    </w:rPr>
                    <w:t>Grad 1</w:t>
                  </w:r>
                </w:p>
              </w:tc>
              <w:tc>
                <w:tcPr>
                  <w:tcW w:w="3827" w:type="dxa"/>
                </w:tcPr>
                <w:p w14:paraId="7F10C48D" w14:textId="77777777" w:rsidR="00A74A99" w:rsidRPr="00477F6F" w:rsidRDefault="00A74A99" w:rsidP="00E57A6B">
                  <w:pPr>
                    <w:framePr w:hSpace="141" w:wrap="around" w:vAnchor="text" w:hAnchor="margin" w:y="302"/>
                    <w:spacing w:line="240" w:lineRule="auto"/>
                    <w:jc w:val="left"/>
                    <w:rPr>
                      <w:rFonts w:cs="Arial"/>
                      <w:sz w:val="18"/>
                      <w:szCs w:val="18"/>
                      <w:lang w:val="de-DE"/>
                    </w:rPr>
                  </w:pPr>
                  <w:r w:rsidRPr="00477F6F">
                    <w:rPr>
                      <w:rFonts w:cs="Arial"/>
                      <w:sz w:val="18"/>
                      <w:szCs w:val="18"/>
                      <w:lang w:val="de-DE"/>
                    </w:rPr>
                    <w:t>Fortsetzen der Therapie</w:t>
                  </w:r>
                </w:p>
              </w:tc>
              <w:tc>
                <w:tcPr>
                  <w:tcW w:w="3827" w:type="dxa"/>
                </w:tcPr>
                <w:p w14:paraId="41514E9B" w14:textId="77777777" w:rsidR="00A74A99" w:rsidRPr="00477F6F" w:rsidRDefault="00A74A99" w:rsidP="00E57A6B">
                  <w:pPr>
                    <w:framePr w:hSpace="141" w:wrap="around" w:vAnchor="text" w:hAnchor="margin" w:y="302"/>
                    <w:spacing w:line="240" w:lineRule="auto"/>
                    <w:jc w:val="left"/>
                    <w:rPr>
                      <w:rFonts w:cs="Arial"/>
                      <w:sz w:val="18"/>
                      <w:szCs w:val="18"/>
                      <w:lang w:val="de-DE"/>
                    </w:rPr>
                  </w:pPr>
                  <w:r w:rsidRPr="00477F6F">
                    <w:rPr>
                      <w:rFonts w:cs="Arial"/>
                      <w:sz w:val="18"/>
                      <w:szCs w:val="18"/>
                      <w:lang w:val="de-DE"/>
                    </w:rPr>
                    <w:t>Fortsetzen der Therapie</w:t>
                  </w:r>
                </w:p>
              </w:tc>
            </w:tr>
            <w:tr w:rsidR="00A74A99" w:rsidRPr="00477F6F" w14:paraId="11204E6F" w14:textId="77777777" w:rsidTr="00035871">
              <w:trPr>
                <w:trHeight w:val="367"/>
              </w:trPr>
              <w:tc>
                <w:tcPr>
                  <w:tcW w:w="1555" w:type="dxa"/>
                </w:tcPr>
                <w:p w14:paraId="550D7468" w14:textId="77777777" w:rsidR="00A74A99" w:rsidRPr="00477F6F" w:rsidRDefault="00A74A99" w:rsidP="00E57A6B">
                  <w:pPr>
                    <w:framePr w:hSpace="141" w:wrap="around" w:vAnchor="text" w:hAnchor="margin" w:y="302"/>
                    <w:spacing w:line="240" w:lineRule="auto"/>
                    <w:jc w:val="left"/>
                    <w:rPr>
                      <w:rFonts w:cs="Arial"/>
                      <w:sz w:val="18"/>
                      <w:szCs w:val="18"/>
                      <w:lang w:val="de-DE"/>
                    </w:rPr>
                  </w:pPr>
                  <w:r w:rsidRPr="00477F6F">
                    <w:rPr>
                      <w:rFonts w:cs="Arial"/>
                      <w:sz w:val="18"/>
                      <w:szCs w:val="18"/>
                      <w:lang w:val="de-DE"/>
                    </w:rPr>
                    <w:t>Grad 2</w:t>
                  </w:r>
                </w:p>
              </w:tc>
              <w:tc>
                <w:tcPr>
                  <w:tcW w:w="3827" w:type="dxa"/>
                </w:tcPr>
                <w:p w14:paraId="00378C48" w14:textId="77777777" w:rsidR="00A74A99" w:rsidRPr="00477F6F" w:rsidRDefault="00A74A99" w:rsidP="00E57A6B">
                  <w:pPr>
                    <w:framePr w:hSpace="141" w:wrap="around" w:vAnchor="text" w:hAnchor="margin" w:y="302"/>
                    <w:spacing w:line="240" w:lineRule="auto"/>
                    <w:jc w:val="left"/>
                    <w:rPr>
                      <w:rFonts w:cs="Arial"/>
                      <w:sz w:val="18"/>
                      <w:szCs w:val="18"/>
                      <w:lang w:val="de-DE"/>
                    </w:rPr>
                  </w:pPr>
                  <w:r>
                    <w:rPr>
                      <w:rFonts w:cs="Arial"/>
                      <w:sz w:val="18"/>
                      <w:szCs w:val="18"/>
                      <w:lang w:val="de-DE"/>
                    </w:rPr>
                    <w:t xml:space="preserve">Evtl. Therapieunterbrechung bis Toxizität ≤1, dann </w:t>
                  </w:r>
                  <w:r w:rsidRPr="00477F6F">
                    <w:rPr>
                      <w:rFonts w:cs="Arial"/>
                      <w:sz w:val="18"/>
                      <w:szCs w:val="18"/>
                      <w:lang w:val="de-DE"/>
                    </w:rPr>
                    <w:t>Dosisreduktion auf 1,2 mg/kg</w:t>
                  </w:r>
                  <w:r>
                    <w:rPr>
                      <w:rFonts w:cs="Arial"/>
                      <w:sz w:val="18"/>
                      <w:szCs w:val="18"/>
                      <w:lang w:val="de-DE"/>
                    </w:rPr>
                    <w:t xml:space="preserve"> </w:t>
                  </w:r>
                  <w:r w:rsidR="00B529EE">
                    <w:rPr>
                      <w:rFonts w:cs="Arial"/>
                      <w:sz w:val="18"/>
                      <w:szCs w:val="18"/>
                      <w:lang w:val="de-DE"/>
                    </w:rPr>
                    <w:t>max. alle 3 Wochen</w:t>
                  </w:r>
                </w:p>
              </w:tc>
              <w:tc>
                <w:tcPr>
                  <w:tcW w:w="3827" w:type="dxa"/>
                </w:tcPr>
                <w:p w14:paraId="6E0D591B" w14:textId="77777777" w:rsidR="00A74A99" w:rsidRPr="00477F6F" w:rsidRDefault="00A74A99" w:rsidP="00E57A6B">
                  <w:pPr>
                    <w:framePr w:hSpace="141" w:wrap="around" w:vAnchor="text" w:hAnchor="margin" w:y="302"/>
                    <w:spacing w:line="240" w:lineRule="auto"/>
                    <w:jc w:val="left"/>
                    <w:rPr>
                      <w:rFonts w:cs="Arial"/>
                      <w:sz w:val="18"/>
                      <w:szCs w:val="18"/>
                      <w:lang w:val="de-DE"/>
                    </w:rPr>
                  </w:pPr>
                  <w:r>
                    <w:rPr>
                      <w:rFonts w:cs="Arial"/>
                      <w:sz w:val="18"/>
                      <w:szCs w:val="18"/>
                      <w:lang w:val="de-DE"/>
                    </w:rPr>
                    <w:t xml:space="preserve">Evtl. Therapieunterbrechung bis Toxizität ≤1, dann </w:t>
                  </w:r>
                  <w:r w:rsidRPr="00477F6F">
                    <w:rPr>
                      <w:rFonts w:cs="Arial"/>
                      <w:sz w:val="18"/>
                      <w:szCs w:val="18"/>
                      <w:lang w:val="de-DE"/>
                    </w:rPr>
                    <w:t xml:space="preserve">Dosisreduktion </w:t>
                  </w:r>
                  <w:r w:rsidR="00B529EE">
                    <w:rPr>
                      <w:rFonts w:cs="Arial"/>
                      <w:sz w:val="18"/>
                      <w:szCs w:val="18"/>
                      <w:lang w:val="de-DE"/>
                    </w:rPr>
                    <w:t>auf</w:t>
                  </w:r>
                  <w:r>
                    <w:rPr>
                      <w:rFonts w:cs="Arial"/>
                      <w:sz w:val="18"/>
                      <w:szCs w:val="18"/>
                      <w:lang w:val="de-DE"/>
                    </w:rPr>
                    <w:t xml:space="preserve"> 0,9 mg/kg </w:t>
                  </w:r>
                  <w:r w:rsidR="00B529EE">
                    <w:rPr>
                      <w:rFonts w:cs="Arial"/>
                      <w:sz w:val="18"/>
                      <w:szCs w:val="18"/>
                      <w:lang w:val="de-DE"/>
                    </w:rPr>
                    <w:t xml:space="preserve">max. alle 2 Wochen </w:t>
                  </w:r>
                  <w:r>
                    <w:rPr>
                      <w:rFonts w:cs="Arial"/>
                      <w:sz w:val="18"/>
                      <w:szCs w:val="18"/>
                      <w:lang w:val="de-DE"/>
                    </w:rPr>
                    <w:t>(hier auch Vincristin reduzieren!)</w:t>
                  </w:r>
                </w:p>
              </w:tc>
            </w:tr>
            <w:tr w:rsidR="00A74A99" w:rsidRPr="00477F6F" w14:paraId="1D638AC6" w14:textId="77777777" w:rsidTr="00035871">
              <w:trPr>
                <w:trHeight w:val="367"/>
              </w:trPr>
              <w:tc>
                <w:tcPr>
                  <w:tcW w:w="1555" w:type="dxa"/>
                </w:tcPr>
                <w:p w14:paraId="1F6DB04C" w14:textId="77777777" w:rsidR="00A74A99" w:rsidRPr="00477F6F" w:rsidRDefault="00A74A99" w:rsidP="00E57A6B">
                  <w:pPr>
                    <w:framePr w:hSpace="141" w:wrap="around" w:vAnchor="text" w:hAnchor="margin" w:y="302"/>
                    <w:spacing w:line="240" w:lineRule="auto"/>
                    <w:jc w:val="left"/>
                    <w:rPr>
                      <w:rFonts w:cs="Arial"/>
                      <w:sz w:val="18"/>
                      <w:szCs w:val="18"/>
                      <w:lang w:val="de-DE"/>
                    </w:rPr>
                  </w:pPr>
                  <w:r w:rsidRPr="00477F6F">
                    <w:rPr>
                      <w:rFonts w:cs="Arial"/>
                      <w:sz w:val="18"/>
                      <w:szCs w:val="18"/>
                      <w:lang w:val="de-DE"/>
                    </w:rPr>
                    <w:t>Grad 3</w:t>
                  </w:r>
                </w:p>
              </w:tc>
              <w:tc>
                <w:tcPr>
                  <w:tcW w:w="3827" w:type="dxa"/>
                </w:tcPr>
                <w:p w14:paraId="4E112162" w14:textId="77777777" w:rsidR="00A74A99" w:rsidRPr="00477F6F" w:rsidRDefault="00A74A99" w:rsidP="00E57A6B">
                  <w:pPr>
                    <w:framePr w:hSpace="141" w:wrap="around" w:vAnchor="text" w:hAnchor="margin" w:y="302"/>
                    <w:spacing w:line="240" w:lineRule="auto"/>
                    <w:jc w:val="left"/>
                    <w:rPr>
                      <w:rFonts w:cs="Arial"/>
                      <w:sz w:val="18"/>
                      <w:szCs w:val="18"/>
                      <w:lang w:val="de-DE"/>
                    </w:rPr>
                  </w:pPr>
                  <w:r>
                    <w:rPr>
                      <w:rFonts w:cs="Arial"/>
                      <w:sz w:val="18"/>
                      <w:szCs w:val="18"/>
                      <w:lang w:val="de-DE"/>
                    </w:rPr>
                    <w:t>Therapieunterbrechung bis Toxizität ≤1 oder Ausgangsbefund</w:t>
                  </w:r>
                  <w:r w:rsidR="00B529EE">
                    <w:rPr>
                      <w:rFonts w:cs="Arial"/>
                      <w:sz w:val="18"/>
                      <w:szCs w:val="18"/>
                      <w:lang w:val="de-DE"/>
                    </w:rPr>
                    <w:t xml:space="preserve">, dann </w:t>
                  </w:r>
                  <w:r w:rsidR="00B529EE" w:rsidRPr="00477F6F">
                    <w:rPr>
                      <w:rFonts w:cs="Arial"/>
                      <w:sz w:val="18"/>
                      <w:szCs w:val="18"/>
                      <w:lang w:val="de-DE"/>
                    </w:rPr>
                    <w:t xml:space="preserve"> Dosisreduktion auf 1,2 mg/kg</w:t>
                  </w:r>
                  <w:r w:rsidR="00B529EE">
                    <w:rPr>
                      <w:rFonts w:cs="Arial"/>
                      <w:sz w:val="18"/>
                      <w:szCs w:val="18"/>
                      <w:lang w:val="de-DE"/>
                    </w:rPr>
                    <w:t xml:space="preserve"> max. alle 3 Wochen</w:t>
                  </w:r>
                </w:p>
              </w:tc>
              <w:tc>
                <w:tcPr>
                  <w:tcW w:w="3827" w:type="dxa"/>
                </w:tcPr>
                <w:p w14:paraId="023A9B46" w14:textId="77777777" w:rsidR="00A74A99" w:rsidRPr="00477F6F" w:rsidRDefault="00A74A99" w:rsidP="00E57A6B">
                  <w:pPr>
                    <w:framePr w:hSpace="141" w:wrap="around" w:vAnchor="text" w:hAnchor="margin" w:y="302"/>
                    <w:spacing w:line="240" w:lineRule="auto"/>
                    <w:jc w:val="left"/>
                    <w:rPr>
                      <w:rFonts w:cs="Arial"/>
                      <w:sz w:val="18"/>
                      <w:szCs w:val="18"/>
                      <w:lang w:val="de-DE"/>
                    </w:rPr>
                  </w:pPr>
                  <w:r w:rsidRPr="00477F6F">
                    <w:rPr>
                      <w:rFonts w:cs="Arial"/>
                      <w:sz w:val="18"/>
                      <w:szCs w:val="18"/>
                      <w:lang w:val="de-DE"/>
                    </w:rPr>
                    <w:t>Therapieunterbrechung</w:t>
                  </w:r>
                  <w:r w:rsidR="00B529EE">
                    <w:rPr>
                      <w:rFonts w:cs="Arial"/>
                      <w:sz w:val="18"/>
                      <w:szCs w:val="18"/>
                      <w:lang w:val="de-DE"/>
                    </w:rPr>
                    <w:t xml:space="preserve">  bis Toxizität ≤2, dann </w:t>
                  </w:r>
                  <w:r w:rsidR="00B529EE" w:rsidRPr="00477F6F">
                    <w:rPr>
                      <w:rFonts w:cs="Arial"/>
                      <w:sz w:val="18"/>
                      <w:szCs w:val="18"/>
                      <w:lang w:val="de-DE"/>
                    </w:rPr>
                    <w:t xml:space="preserve">Dosisreduktion </w:t>
                  </w:r>
                  <w:r w:rsidR="00035871">
                    <w:rPr>
                      <w:rFonts w:cs="Arial"/>
                      <w:sz w:val="18"/>
                      <w:szCs w:val="18"/>
                      <w:lang w:val="de-DE"/>
                    </w:rPr>
                    <w:t xml:space="preserve">auf </w:t>
                  </w:r>
                  <w:r w:rsidR="00B529EE">
                    <w:rPr>
                      <w:rFonts w:cs="Arial"/>
                      <w:sz w:val="18"/>
                      <w:szCs w:val="18"/>
                      <w:lang w:val="de-DE"/>
                    </w:rPr>
                    <w:t>0,9 mg/kg max. alle 2 Wochen</w:t>
                  </w:r>
                  <w:r w:rsidR="001A18A1">
                    <w:rPr>
                      <w:rFonts w:cs="Arial"/>
                      <w:sz w:val="18"/>
                      <w:szCs w:val="18"/>
                      <w:lang w:val="de-DE"/>
                    </w:rPr>
                    <w:t xml:space="preserve"> (hier auch Vincristin reduzieren!)</w:t>
                  </w:r>
                </w:p>
              </w:tc>
            </w:tr>
            <w:tr w:rsidR="00A74A99" w:rsidRPr="00477F6F" w14:paraId="57910C0A" w14:textId="77777777" w:rsidTr="00035871">
              <w:trPr>
                <w:trHeight w:val="367"/>
              </w:trPr>
              <w:tc>
                <w:tcPr>
                  <w:tcW w:w="1555" w:type="dxa"/>
                </w:tcPr>
                <w:p w14:paraId="0ECF8635" w14:textId="77777777" w:rsidR="00A74A99" w:rsidRPr="00477F6F" w:rsidRDefault="00A74A99" w:rsidP="00E57A6B">
                  <w:pPr>
                    <w:framePr w:hSpace="141" w:wrap="around" w:vAnchor="text" w:hAnchor="margin" w:y="302"/>
                    <w:spacing w:line="240" w:lineRule="auto"/>
                    <w:jc w:val="left"/>
                    <w:rPr>
                      <w:rFonts w:cs="Arial"/>
                      <w:sz w:val="18"/>
                      <w:szCs w:val="18"/>
                      <w:lang w:val="de-DE"/>
                    </w:rPr>
                  </w:pPr>
                  <w:r w:rsidRPr="00477F6F">
                    <w:rPr>
                      <w:rFonts w:cs="Arial"/>
                      <w:sz w:val="18"/>
                      <w:szCs w:val="18"/>
                      <w:lang w:val="de-DE"/>
                    </w:rPr>
                    <w:t>Grad 4</w:t>
                  </w:r>
                </w:p>
              </w:tc>
              <w:tc>
                <w:tcPr>
                  <w:tcW w:w="3827" w:type="dxa"/>
                </w:tcPr>
                <w:p w14:paraId="4A5C532E" w14:textId="77777777" w:rsidR="00A74A99" w:rsidRPr="00477F6F" w:rsidRDefault="00A74A99" w:rsidP="00E57A6B">
                  <w:pPr>
                    <w:framePr w:hSpace="141" w:wrap="around" w:vAnchor="text" w:hAnchor="margin" w:y="302"/>
                    <w:spacing w:line="240" w:lineRule="auto"/>
                    <w:jc w:val="left"/>
                    <w:rPr>
                      <w:rFonts w:cs="Arial"/>
                      <w:sz w:val="18"/>
                      <w:szCs w:val="18"/>
                      <w:lang w:val="de-DE"/>
                    </w:rPr>
                  </w:pPr>
                  <w:r w:rsidRPr="00477F6F">
                    <w:rPr>
                      <w:rFonts w:cs="Arial"/>
                      <w:sz w:val="18"/>
                      <w:szCs w:val="18"/>
                      <w:lang w:val="de-DE"/>
                    </w:rPr>
                    <w:t>Therapie</w:t>
                  </w:r>
                  <w:r>
                    <w:rPr>
                      <w:rFonts w:cs="Arial"/>
                      <w:sz w:val="18"/>
                      <w:szCs w:val="18"/>
                      <w:lang w:val="de-DE"/>
                    </w:rPr>
                    <w:t>abbruch</w:t>
                  </w:r>
                </w:p>
              </w:tc>
              <w:tc>
                <w:tcPr>
                  <w:tcW w:w="3827" w:type="dxa"/>
                </w:tcPr>
                <w:p w14:paraId="52EFE0D4" w14:textId="77777777" w:rsidR="00A74A99" w:rsidRPr="00477F6F" w:rsidRDefault="00A74A99" w:rsidP="00E57A6B">
                  <w:pPr>
                    <w:framePr w:hSpace="141" w:wrap="around" w:vAnchor="text" w:hAnchor="margin" w:y="302"/>
                    <w:spacing w:line="240" w:lineRule="auto"/>
                    <w:jc w:val="left"/>
                    <w:rPr>
                      <w:rFonts w:cs="Arial"/>
                      <w:sz w:val="18"/>
                      <w:szCs w:val="18"/>
                      <w:lang w:val="de-DE"/>
                    </w:rPr>
                  </w:pPr>
                  <w:r w:rsidRPr="00477F6F">
                    <w:rPr>
                      <w:rFonts w:cs="Arial"/>
                      <w:sz w:val="18"/>
                      <w:szCs w:val="18"/>
                      <w:lang w:val="de-DE"/>
                    </w:rPr>
                    <w:t>Therapie</w:t>
                  </w:r>
                  <w:r>
                    <w:rPr>
                      <w:rFonts w:cs="Arial"/>
                      <w:sz w:val="18"/>
                      <w:szCs w:val="18"/>
                      <w:lang w:val="de-DE"/>
                    </w:rPr>
                    <w:t>abbruch</w:t>
                  </w:r>
                </w:p>
              </w:tc>
            </w:tr>
          </w:tbl>
          <w:p w14:paraId="7287D277" w14:textId="77777777" w:rsidR="00A74A99" w:rsidRDefault="00A74A99" w:rsidP="00A74A99">
            <w:pPr>
              <w:spacing w:line="240" w:lineRule="auto"/>
              <w:jc w:val="left"/>
              <w:rPr>
                <w:sz w:val="18"/>
                <w:szCs w:val="18"/>
                <w:lang w:val="de-DE"/>
              </w:rPr>
            </w:pPr>
          </w:p>
          <w:p w14:paraId="5FA22294" w14:textId="77777777" w:rsidR="00A74A99" w:rsidRPr="00C33330" w:rsidRDefault="00A74A99" w:rsidP="00A74A99">
            <w:pPr>
              <w:spacing w:line="240" w:lineRule="auto"/>
              <w:jc w:val="left"/>
              <w:rPr>
                <w:b/>
                <w:sz w:val="18"/>
                <w:szCs w:val="18"/>
                <w:lang w:val="de-DE"/>
              </w:rPr>
            </w:pPr>
            <w:r w:rsidRPr="00C33330">
              <w:rPr>
                <w:b/>
                <w:sz w:val="18"/>
                <w:szCs w:val="18"/>
                <w:lang w:val="de-DE"/>
              </w:rPr>
              <w:t>Grading anhand der Common toxicity criteria (CTCAE) v5.0</w:t>
            </w:r>
          </w:p>
          <w:tbl>
            <w:tblPr>
              <w:tblStyle w:val="Tabellenraster"/>
              <w:tblW w:w="0" w:type="auto"/>
              <w:tblLayout w:type="fixed"/>
              <w:tblLook w:val="04A0" w:firstRow="1" w:lastRow="0" w:firstColumn="1" w:lastColumn="0" w:noHBand="0" w:noVBand="1"/>
            </w:tblPr>
            <w:tblGrid>
              <w:gridCol w:w="1548"/>
              <w:gridCol w:w="1548"/>
              <w:gridCol w:w="1548"/>
              <w:gridCol w:w="1872"/>
              <w:gridCol w:w="1559"/>
              <w:gridCol w:w="1216"/>
            </w:tblGrid>
            <w:tr w:rsidR="00A74A99" w14:paraId="60A3F537" w14:textId="77777777" w:rsidTr="00035871">
              <w:tc>
                <w:tcPr>
                  <w:tcW w:w="1548" w:type="dxa"/>
                  <w:shd w:val="clear" w:color="auto" w:fill="D9D9D9" w:themeFill="background1" w:themeFillShade="D9"/>
                </w:tcPr>
                <w:p w14:paraId="6A1571A3" w14:textId="77777777" w:rsidR="00A74A99" w:rsidRPr="00C33330" w:rsidRDefault="00A74A99" w:rsidP="00E57A6B">
                  <w:pPr>
                    <w:framePr w:hSpace="141" w:wrap="around" w:vAnchor="text" w:hAnchor="margin" w:y="302"/>
                    <w:spacing w:line="240" w:lineRule="auto"/>
                    <w:jc w:val="left"/>
                    <w:rPr>
                      <w:b/>
                      <w:sz w:val="16"/>
                      <w:szCs w:val="16"/>
                      <w:lang w:val="de-DE"/>
                    </w:rPr>
                  </w:pPr>
                </w:p>
              </w:tc>
              <w:tc>
                <w:tcPr>
                  <w:tcW w:w="1548" w:type="dxa"/>
                  <w:shd w:val="clear" w:color="auto" w:fill="D9D9D9" w:themeFill="background1" w:themeFillShade="D9"/>
                </w:tcPr>
                <w:p w14:paraId="53B56D4E" w14:textId="77777777" w:rsidR="00A74A99" w:rsidRPr="00C33330" w:rsidRDefault="00A74A99" w:rsidP="00E57A6B">
                  <w:pPr>
                    <w:framePr w:hSpace="141" w:wrap="around" w:vAnchor="text" w:hAnchor="margin" w:y="302"/>
                    <w:spacing w:line="240" w:lineRule="auto"/>
                    <w:jc w:val="left"/>
                    <w:rPr>
                      <w:b/>
                      <w:sz w:val="16"/>
                      <w:szCs w:val="16"/>
                      <w:lang w:val="de-DE"/>
                    </w:rPr>
                  </w:pPr>
                  <w:r w:rsidRPr="00C33330">
                    <w:rPr>
                      <w:b/>
                      <w:sz w:val="16"/>
                      <w:szCs w:val="16"/>
                      <w:lang w:val="de-DE"/>
                    </w:rPr>
                    <w:t>Grad 1</w:t>
                  </w:r>
                </w:p>
              </w:tc>
              <w:tc>
                <w:tcPr>
                  <w:tcW w:w="1548" w:type="dxa"/>
                  <w:shd w:val="clear" w:color="auto" w:fill="D9D9D9" w:themeFill="background1" w:themeFillShade="D9"/>
                </w:tcPr>
                <w:p w14:paraId="722F232C" w14:textId="77777777" w:rsidR="00A74A99" w:rsidRPr="00C33330" w:rsidRDefault="00A74A99" w:rsidP="00E57A6B">
                  <w:pPr>
                    <w:framePr w:hSpace="141" w:wrap="around" w:vAnchor="text" w:hAnchor="margin" w:y="302"/>
                    <w:spacing w:line="240" w:lineRule="auto"/>
                    <w:jc w:val="left"/>
                    <w:rPr>
                      <w:b/>
                      <w:sz w:val="16"/>
                      <w:szCs w:val="16"/>
                      <w:lang w:val="de-DE"/>
                    </w:rPr>
                  </w:pPr>
                  <w:r w:rsidRPr="00C33330">
                    <w:rPr>
                      <w:b/>
                      <w:sz w:val="16"/>
                      <w:szCs w:val="16"/>
                      <w:lang w:val="de-DE"/>
                    </w:rPr>
                    <w:t>Grad 2</w:t>
                  </w:r>
                </w:p>
              </w:tc>
              <w:tc>
                <w:tcPr>
                  <w:tcW w:w="1872" w:type="dxa"/>
                  <w:shd w:val="clear" w:color="auto" w:fill="D9D9D9" w:themeFill="background1" w:themeFillShade="D9"/>
                </w:tcPr>
                <w:p w14:paraId="15654706" w14:textId="77777777" w:rsidR="00A74A99" w:rsidRPr="00C33330" w:rsidRDefault="00A74A99" w:rsidP="00E57A6B">
                  <w:pPr>
                    <w:framePr w:hSpace="141" w:wrap="around" w:vAnchor="text" w:hAnchor="margin" w:y="302"/>
                    <w:spacing w:line="240" w:lineRule="auto"/>
                    <w:jc w:val="left"/>
                    <w:rPr>
                      <w:b/>
                      <w:sz w:val="16"/>
                      <w:szCs w:val="16"/>
                      <w:lang w:val="de-DE"/>
                    </w:rPr>
                  </w:pPr>
                  <w:r w:rsidRPr="00C33330">
                    <w:rPr>
                      <w:b/>
                      <w:sz w:val="16"/>
                      <w:szCs w:val="16"/>
                      <w:lang w:val="de-DE"/>
                    </w:rPr>
                    <w:t>Grad 3</w:t>
                  </w:r>
                </w:p>
              </w:tc>
              <w:tc>
                <w:tcPr>
                  <w:tcW w:w="1559" w:type="dxa"/>
                  <w:shd w:val="clear" w:color="auto" w:fill="D9D9D9" w:themeFill="background1" w:themeFillShade="D9"/>
                </w:tcPr>
                <w:p w14:paraId="6962645A" w14:textId="77777777" w:rsidR="00A74A99" w:rsidRPr="00C33330" w:rsidRDefault="00A74A99" w:rsidP="00E57A6B">
                  <w:pPr>
                    <w:framePr w:hSpace="141" w:wrap="around" w:vAnchor="text" w:hAnchor="margin" w:y="302"/>
                    <w:spacing w:line="240" w:lineRule="auto"/>
                    <w:jc w:val="left"/>
                    <w:rPr>
                      <w:b/>
                      <w:sz w:val="16"/>
                      <w:szCs w:val="16"/>
                      <w:lang w:val="de-DE"/>
                    </w:rPr>
                  </w:pPr>
                  <w:r w:rsidRPr="00C33330">
                    <w:rPr>
                      <w:b/>
                      <w:sz w:val="16"/>
                      <w:szCs w:val="16"/>
                      <w:lang w:val="de-DE"/>
                    </w:rPr>
                    <w:t>Grad 4</w:t>
                  </w:r>
                </w:p>
              </w:tc>
              <w:tc>
                <w:tcPr>
                  <w:tcW w:w="1216" w:type="dxa"/>
                  <w:shd w:val="clear" w:color="auto" w:fill="D9D9D9" w:themeFill="background1" w:themeFillShade="D9"/>
                </w:tcPr>
                <w:p w14:paraId="7EB0D338" w14:textId="77777777" w:rsidR="00A74A99" w:rsidRPr="00C33330" w:rsidRDefault="00A74A99" w:rsidP="00E57A6B">
                  <w:pPr>
                    <w:framePr w:hSpace="141" w:wrap="around" w:vAnchor="text" w:hAnchor="margin" w:y="302"/>
                    <w:spacing w:line="240" w:lineRule="auto"/>
                    <w:jc w:val="left"/>
                    <w:rPr>
                      <w:b/>
                      <w:sz w:val="16"/>
                      <w:szCs w:val="16"/>
                      <w:lang w:val="de-DE"/>
                    </w:rPr>
                  </w:pPr>
                  <w:r w:rsidRPr="00C33330">
                    <w:rPr>
                      <w:b/>
                      <w:sz w:val="16"/>
                      <w:szCs w:val="16"/>
                      <w:lang w:val="de-DE"/>
                    </w:rPr>
                    <w:t>Grad 5</w:t>
                  </w:r>
                </w:p>
              </w:tc>
            </w:tr>
            <w:tr w:rsidR="00A74A99" w14:paraId="33CAC8F6" w14:textId="77777777" w:rsidTr="00035871">
              <w:tc>
                <w:tcPr>
                  <w:tcW w:w="1548" w:type="dxa"/>
                </w:tcPr>
                <w:p w14:paraId="0D033226" w14:textId="77777777" w:rsidR="00A74A99" w:rsidRPr="00477F6F" w:rsidRDefault="00A74A99" w:rsidP="00E57A6B">
                  <w:pPr>
                    <w:framePr w:hSpace="141" w:wrap="around" w:vAnchor="text" w:hAnchor="margin" w:y="302"/>
                    <w:spacing w:line="240" w:lineRule="auto"/>
                    <w:jc w:val="left"/>
                    <w:rPr>
                      <w:sz w:val="16"/>
                      <w:szCs w:val="16"/>
                      <w:lang w:val="de-DE"/>
                    </w:rPr>
                  </w:pPr>
                  <w:r w:rsidRPr="00477F6F">
                    <w:rPr>
                      <w:sz w:val="16"/>
                      <w:szCs w:val="16"/>
                      <w:lang w:val="de-DE"/>
                    </w:rPr>
                    <w:t>Periphere sensotische Neuropathie</w:t>
                  </w:r>
                </w:p>
              </w:tc>
              <w:tc>
                <w:tcPr>
                  <w:tcW w:w="1548" w:type="dxa"/>
                </w:tcPr>
                <w:p w14:paraId="4EA79640" w14:textId="77777777" w:rsidR="00A74A99" w:rsidRPr="00477F6F" w:rsidRDefault="00A74A99" w:rsidP="00E57A6B">
                  <w:pPr>
                    <w:framePr w:hSpace="141" w:wrap="around" w:vAnchor="text" w:hAnchor="margin" w:y="302"/>
                    <w:spacing w:line="240" w:lineRule="auto"/>
                    <w:jc w:val="left"/>
                    <w:rPr>
                      <w:sz w:val="16"/>
                      <w:szCs w:val="16"/>
                      <w:lang w:val="de-DE"/>
                    </w:rPr>
                  </w:pPr>
                  <w:r w:rsidRPr="00477F6F">
                    <w:rPr>
                      <w:sz w:val="16"/>
                      <w:szCs w:val="16"/>
                      <w:lang w:val="de-DE"/>
                    </w:rPr>
                    <w:t>Asymptomatisch</w:t>
                  </w:r>
                  <w:r>
                    <w:rPr>
                      <w:sz w:val="16"/>
                      <w:szCs w:val="16"/>
                      <w:lang w:val="de-DE"/>
                    </w:rPr>
                    <w:t>;</w:t>
                  </w:r>
                  <w:r w:rsidRPr="00477F6F">
                    <w:rPr>
                      <w:sz w:val="16"/>
                      <w:szCs w:val="16"/>
                      <w:lang w:val="de-DE"/>
                    </w:rPr>
                    <w:t xml:space="preserve"> Verlust der tiefen Sehnenreflexe oder Parästhesie</w:t>
                  </w:r>
                </w:p>
              </w:tc>
              <w:tc>
                <w:tcPr>
                  <w:tcW w:w="1548" w:type="dxa"/>
                </w:tcPr>
                <w:p w14:paraId="0E3BE2CE" w14:textId="77777777" w:rsidR="00A74A99" w:rsidRPr="00477F6F" w:rsidRDefault="00A74A99" w:rsidP="00E57A6B">
                  <w:pPr>
                    <w:framePr w:hSpace="141" w:wrap="around" w:vAnchor="text" w:hAnchor="margin" w:y="302"/>
                    <w:spacing w:line="240" w:lineRule="auto"/>
                    <w:jc w:val="left"/>
                    <w:rPr>
                      <w:sz w:val="16"/>
                      <w:szCs w:val="16"/>
                      <w:lang w:val="de-DE"/>
                    </w:rPr>
                  </w:pPr>
                  <w:r>
                    <w:rPr>
                      <w:sz w:val="16"/>
                      <w:szCs w:val="16"/>
                      <w:lang w:val="de-DE"/>
                    </w:rPr>
                    <w:t>Moderate Symptome; Einschränkung der instrumentellen ATL</w:t>
                  </w:r>
                </w:p>
              </w:tc>
              <w:tc>
                <w:tcPr>
                  <w:tcW w:w="1872" w:type="dxa"/>
                </w:tcPr>
                <w:p w14:paraId="2A78AC3D" w14:textId="77777777" w:rsidR="00A74A99" w:rsidRPr="00477F6F" w:rsidRDefault="00A74A99" w:rsidP="00E57A6B">
                  <w:pPr>
                    <w:framePr w:hSpace="141" w:wrap="around" w:vAnchor="text" w:hAnchor="margin" w:y="302"/>
                    <w:spacing w:line="240" w:lineRule="auto"/>
                    <w:jc w:val="left"/>
                    <w:rPr>
                      <w:sz w:val="16"/>
                      <w:szCs w:val="16"/>
                      <w:lang w:val="de-DE"/>
                    </w:rPr>
                  </w:pPr>
                  <w:r>
                    <w:rPr>
                      <w:sz w:val="16"/>
                      <w:szCs w:val="16"/>
                      <w:lang w:val="de-DE"/>
                    </w:rPr>
                    <w:t>Schwere Symptome; Einschränkung der selbstversorgenden ATL</w:t>
                  </w:r>
                </w:p>
              </w:tc>
              <w:tc>
                <w:tcPr>
                  <w:tcW w:w="1559" w:type="dxa"/>
                </w:tcPr>
                <w:p w14:paraId="72746ADC" w14:textId="77777777" w:rsidR="00A74A99" w:rsidRPr="00477F6F" w:rsidRDefault="00A74A99" w:rsidP="00E57A6B">
                  <w:pPr>
                    <w:framePr w:hSpace="141" w:wrap="around" w:vAnchor="text" w:hAnchor="margin" w:y="302"/>
                    <w:spacing w:line="240" w:lineRule="auto"/>
                    <w:jc w:val="left"/>
                    <w:rPr>
                      <w:sz w:val="16"/>
                      <w:szCs w:val="16"/>
                      <w:lang w:val="de-DE"/>
                    </w:rPr>
                  </w:pPr>
                  <w:r>
                    <w:rPr>
                      <w:sz w:val="16"/>
                      <w:szCs w:val="16"/>
                      <w:lang w:val="de-DE"/>
                    </w:rPr>
                    <w:t>Lebensbedrohliche Folgen; Intervention dringend angezeigt</w:t>
                  </w:r>
                </w:p>
              </w:tc>
              <w:tc>
                <w:tcPr>
                  <w:tcW w:w="1216" w:type="dxa"/>
                </w:tcPr>
                <w:p w14:paraId="77347DCB" w14:textId="77777777" w:rsidR="00A74A99" w:rsidRPr="00477F6F" w:rsidRDefault="00A74A99" w:rsidP="00E57A6B">
                  <w:pPr>
                    <w:framePr w:hSpace="141" w:wrap="around" w:vAnchor="text" w:hAnchor="margin" w:y="302"/>
                    <w:spacing w:line="240" w:lineRule="auto"/>
                    <w:jc w:val="left"/>
                    <w:rPr>
                      <w:sz w:val="16"/>
                      <w:szCs w:val="16"/>
                      <w:lang w:val="de-DE"/>
                    </w:rPr>
                  </w:pPr>
                  <w:r>
                    <w:rPr>
                      <w:sz w:val="16"/>
                      <w:szCs w:val="16"/>
                      <w:lang w:val="de-DE"/>
                    </w:rPr>
                    <w:t>Tod</w:t>
                  </w:r>
                </w:p>
              </w:tc>
            </w:tr>
            <w:tr w:rsidR="00A74A99" w14:paraId="2A5F9F14" w14:textId="77777777" w:rsidTr="00035871">
              <w:tc>
                <w:tcPr>
                  <w:tcW w:w="1548" w:type="dxa"/>
                </w:tcPr>
                <w:p w14:paraId="058C54B8" w14:textId="77777777" w:rsidR="00A74A99" w:rsidRPr="00477F6F" w:rsidRDefault="00A74A99" w:rsidP="00E57A6B">
                  <w:pPr>
                    <w:framePr w:hSpace="141" w:wrap="around" w:vAnchor="text" w:hAnchor="margin" w:y="302"/>
                    <w:spacing w:line="240" w:lineRule="auto"/>
                    <w:jc w:val="left"/>
                    <w:rPr>
                      <w:sz w:val="16"/>
                      <w:szCs w:val="16"/>
                      <w:lang w:val="de-DE"/>
                    </w:rPr>
                  </w:pPr>
                  <w:r w:rsidRPr="00477F6F">
                    <w:rPr>
                      <w:sz w:val="16"/>
                      <w:szCs w:val="16"/>
                      <w:lang w:val="de-DE"/>
                    </w:rPr>
                    <w:t>Periphere motorische Neuropathie</w:t>
                  </w:r>
                </w:p>
              </w:tc>
              <w:tc>
                <w:tcPr>
                  <w:tcW w:w="1548" w:type="dxa"/>
                </w:tcPr>
                <w:p w14:paraId="739AD807" w14:textId="77777777" w:rsidR="00A74A99" w:rsidRPr="00477F6F" w:rsidRDefault="00A74A99" w:rsidP="00E57A6B">
                  <w:pPr>
                    <w:framePr w:hSpace="141" w:wrap="around" w:vAnchor="text" w:hAnchor="margin" w:y="302"/>
                    <w:spacing w:line="240" w:lineRule="auto"/>
                    <w:jc w:val="left"/>
                    <w:rPr>
                      <w:sz w:val="16"/>
                      <w:szCs w:val="16"/>
                      <w:lang w:val="de-DE"/>
                    </w:rPr>
                  </w:pPr>
                  <w:r>
                    <w:rPr>
                      <w:sz w:val="16"/>
                      <w:szCs w:val="16"/>
                      <w:lang w:val="de-DE"/>
                    </w:rPr>
                    <w:t>Asympatomatisch; lediglich klinische oder diagnostische Beobachtung; Intervention nicht angezeigt</w:t>
                  </w:r>
                </w:p>
              </w:tc>
              <w:tc>
                <w:tcPr>
                  <w:tcW w:w="1548" w:type="dxa"/>
                </w:tcPr>
                <w:p w14:paraId="165E85CC" w14:textId="77777777" w:rsidR="00A74A99" w:rsidRPr="00477F6F" w:rsidRDefault="00A74A99" w:rsidP="00E57A6B">
                  <w:pPr>
                    <w:framePr w:hSpace="141" w:wrap="around" w:vAnchor="text" w:hAnchor="margin" w:y="302"/>
                    <w:spacing w:line="240" w:lineRule="auto"/>
                    <w:jc w:val="left"/>
                    <w:rPr>
                      <w:sz w:val="16"/>
                      <w:szCs w:val="16"/>
                      <w:lang w:val="de-DE"/>
                    </w:rPr>
                  </w:pPr>
                  <w:r>
                    <w:rPr>
                      <w:sz w:val="16"/>
                      <w:szCs w:val="16"/>
                      <w:lang w:val="de-DE"/>
                    </w:rPr>
                    <w:t>Moderate Symptome; Einschränkung der instrumentellen ATL</w:t>
                  </w:r>
                </w:p>
              </w:tc>
              <w:tc>
                <w:tcPr>
                  <w:tcW w:w="1872" w:type="dxa"/>
                </w:tcPr>
                <w:p w14:paraId="433FA353" w14:textId="77777777" w:rsidR="00A74A99" w:rsidRPr="00477F6F" w:rsidRDefault="00A74A99" w:rsidP="00E57A6B">
                  <w:pPr>
                    <w:framePr w:hSpace="141" w:wrap="around" w:vAnchor="text" w:hAnchor="margin" w:y="302"/>
                    <w:spacing w:line="240" w:lineRule="auto"/>
                    <w:jc w:val="left"/>
                    <w:rPr>
                      <w:sz w:val="16"/>
                      <w:szCs w:val="16"/>
                      <w:lang w:val="de-DE"/>
                    </w:rPr>
                  </w:pPr>
                  <w:r>
                    <w:rPr>
                      <w:sz w:val="16"/>
                      <w:szCs w:val="16"/>
                      <w:lang w:val="de-DE"/>
                    </w:rPr>
                    <w:t>Schwere Symptome; Einschränkung der selbstversorgenden ATL; mechanische Assistenz angezeigt</w:t>
                  </w:r>
                </w:p>
              </w:tc>
              <w:tc>
                <w:tcPr>
                  <w:tcW w:w="1559" w:type="dxa"/>
                </w:tcPr>
                <w:p w14:paraId="7B69742D" w14:textId="77777777" w:rsidR="00A74A99" w:rsidRPr="00477F6F" w:rsidRDefault="00A74A99" w:rsidP="00E57A6B">
                  <w:pPr>
                    <w:framePr w:hSpace="141" w:wrap="around" w:vAnchor="text" w:hAnchor="margin" w:y="302"/>
                    <w:spacing w:line="240" w:lineRule="auto"/>
                    <w:jc w:val="left"/>
                    <w:rPr>
                      <w:sz w:val="16"/>
                      <w:szCs w:val="16"/>
                      <w:lang w:val="de-DE"/>
                    </w:rPr>
                  </w:pPr>
                  <w:r>
                    <w:rPr>
                      <w:sz w:val="16"/>
                      <w:szCs w:val="16"/>
                      <w:lang w:val="de-DE"/>
                    </w:rPr>
                    <w:t>Lebensbedrohliche Folgen; Intervention dringend angezeigt</w:t>
                  </w:r>
                </w:p>
              </w:tc>
              <w:tc>
                <w:tcPr>
                  <w:tcW w:w="1216" w:type="dxa"/>
                </w:tcPr>
                <w:p w14:paraId="179AD810" w14:textId="77777777" w:rsidR="00A74A99" w:rsidRPr="00477F6F" w:rsidRDefault="00A74A99" w:rsidP="00E57A6B">
                  <w:pPr>
                    <w:framePr w:hSpace="141" w:wrap="around" w:vAnchor="text" w:hAnchor="margin" w:y="302"/>
                    <w:spacing w:line="240" w:lineRule="auto"/>
                    <w:jc w:val="left"/>
                    <w:rPr>
                      <w:sz w:val="16"/>
                      <w:szCs w:val="16"/>
                      <w:lang w:val="de-DE"/>
                    </w:rPr>
                  </w:pPr>
                  <w:r>
                    <w:rPr>
                      <w:sz w:val="16"/>
                      <w:szCs w:val="16"/>
                      <w:lang w:val="de-DE"/>
                    </w:rPr>
                    <w:t>Tod</w:t>
                  </w:r>
                </w:p>
              </w:tc>
            </w:tr>
          </w:tbl>
          <w:p w14:paraId="31667DC3" w14:textId="77777777" w:rsidR="00A74A99" w:rsidRPr="001405A0" w:rsidRDefault="00A74A99" w:rsidP="00A74A99">
            <w:pPr>
              <w:jc w:val="left"/>
              <w:rPr>
                <w:lang w:val="de-DE"/>
              </w:rPr>
            </w:pPr>
          </w:p>
        </w:tc>
      </w:tr>
    </w:tbl>
    <w:p w14:paraId="6A64875A" w14:textId="77777777" w:rsidR="00D2069D" w:rsidRDefault="00D2069D">
      <w:pPr>
        <w:spacing w:line="240" w:lineRule="auto"/>
        <w:jc w:val="left"/>
        <w:rPr>
          <w:rFonts w:asciiTheme="minorHAnsi" w:hAnsiTheme="minorHAnsi" w:cstheme="minorHAnsi"/>
          <w:szCs w:val="22"/>
        </w:rPr>
      </w:pPr>
      <w:bookmarkStart w:id="75" w:name="_Toc367183622"/>
      <w:bookmarkStart w:id="76" w:name="_Toc367183860"/>
      <w:r>
        <w:rPr>
          <w:rFonts w:asciiTheme="minorHAnsi" w:hAnsiTheme="minorHAnsi" w:cstheme="minorHAnsi"/>
          <w:szCs w:val="22"/>
        </w:rPr>
        <w:br w:type="page"/>
      </w:r>
    </w:p>
    <w:p w14:paraId="2DA97E02" w14:textId="77777777" w:rsidR="00ED24ED" w:rsidRPr="00187F58" w:rsidRDefault="00A6435E" w:rsidP="007374FB">
      <w:pPr>
        <w:pStyle w:val="berschrift1"/>
      </w:pPr>
      <w:bookmarkStart w:id="77" w:name="_Toc61379718"/>
      <w:r w:rsidRPr="00E344D4">
        <w:lastRenderedPageBreak/>
        <w:t>Anhang</w:t>
      </w:r>
      <w:r w:rsidR="00B96F18" w:rsidRPr="00E344D4">
        <w:t>:</w:t>
      </w:r>
      <w:r w:rsidRPr="00E344D4">
        <w:t xml:space="preserve"> Studienblatt</w:t>
      </w:r>
      <w:bookmarkEnd w:id="77"/>
      <w:r w:rsidR="00ED24ED">
        <w:t xml:space="preserve"> </w:t>
      </w:r>
      <w:bookmarkEnd w:id="75"/>
      <w:bookmarkEnd w:id="76"/>
    </w:p>
    <w:p w14:paraId="3962CEC3" w14:textId="421A4242" w:rsidR="007F3064" w:rsidRDefault="00B80459" w:rsidP="007374FB">
      <w:pPr>
        <w:pStyle w:val="Textkrper-Einzug2"/>
        <w:spacing w:line="276" w:lineRule="auto"/>
        <w:ind w:left="0"/>
        <w:jc w:val="left"/>
        <w:rPr>
          <w:rFonts w:asciiTheme="minorHAnsi" w:hAnsiTheme="minorHAnsi" w:cstheme="minorHAnsi"/>
          <w:szCs w:val="22"/>
        </w:rPr>
      </w:pPr>
      <w:r>
        <w:rPr>
          <w:rFonts w:asciiTheme="minorHAnsi" w:hAnsiTheme="minorHAnsi" w:cstheme="minorHAnsi"/>
          <w:b/>
          <w:szCs w:val="22"/>
        </w:rPr>
        <w:t>---</w:t>
      </w:r>
    </w:p>
    <w:p w14:paraId="1EA2D14E" w14:textId="77777777" w:rsidR="00A6435E" w:rsidRPr="00E344D4" w:rsidRDefault="00A6435E" w:rsidP="007374FB">
      <w:pPr>
        <w:pStyle w:val="berschrift1"/>
      </w:pPr>
      <w:bookmarkStart w:id="78" w:name="_Toc367183623"/>
      <w:bookmarkStart w:id="79" w:name="_Toc367183861"/>
      <w:bookmarkStart w:id="80" w:name="_Toc61379719"/>
      <w:r w:rsidRPr="00E344D4">
        <w:t>Anhang: Wirtschaftliche Analyse</w:t>
      </w:r>
      <w:r w:rsidR="00ED24ED">
        <w:t xml:space="preserve"> (optional)</w:t>
      </w:r>
      <w:bookmarkEnd w:id="78"/>
      <w:bookmarkEnd w:id="79"/>
      <w:bookmarkEnd w:id="80"/>
    </w:p>
    <w:p w14:paraId="6744553B" w14:textId="77777777" w:rsidR="00CF0EFD" w:rsidRPr="007F3064" w:rsidRDefault="00187F58" w:rsidP="007374FB">
      <w:pPr>
        <w:pStyle w:val="Textkrper-Einzug2"/>
        <w:spacing w:line="276" w:lineRule="auto"/>
        <w:ind w:left="0"/>
        <w:jc w:val="left"/>
        <w:rPr>
          <w:rFonts w:asciiTheme="minorHAnsi" w:hAnsiTheme="minorHAnsi" w:cstheme="minorHAnsi"/>
          <w:szCs w:val="22"/>
        </w:rPr>
      </w:pPr>
      <w:r>
        <w:rPr>
          <w:rFonts w:asciiTheme="minorHAnsi" w:hAnsiTheme="minorHAnsi" w:cstheme="minorHAnsi"/>
          <w:szCs w:val="22"/>
        </w:rPr>
        <w:t>---</w:t>
      </w:r>
    </w:p>
    <w:sectPr w:rsidR="00CF0EFD" w:rsidRPr="007F3064" w:rsidSect="00F91D4D">
      <w:headerReference w:type="even" r:id="rId29"/>
      <w:footerReference w:type="even" r:id="rId30"/>
      <w:headerReference w:type="first" r:id="rId31"/>
      <w:footerReference w:type="first" r:id="rId32"/>
      <w:pgSz w:w="11906" w:h="16838"/>
      <w:pgMar w:top="743" w:right="1106" w:bottom="1134" w:left="1418" w:header="567" w:footer="403"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12E15" w16cex:dateUtc="2022-01-30T14:32:00Z"/>
  <w16cex:commentExtensible w16cex:durableId="25A14200" w16cex:dateUtc="2022-01-30T15: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151D05" w16cid:durableId="25A12E15"/>
  <w16cid:commentId w16cid:paraId="35C03FED" w16cid:durableId="25A142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FD3E8" w14:textId="77777777" w:rsidR="006A2598" w:rsidRDefault="006A2598">
      <w:r>
        <w:separator/>
      </w:r>
    </w:p>
    <w:p w14:paraId="727162CA" w14:textId="77777777" w:rsidR="006A2598" w:rsidRDefault="006A2598"/>
  </w:endnote>
  <w:endnote w:type="continuationSeparator" w:id="0">
    <w:p w14:paraId="12DB61DD" w14:textId="77777777" w:rsidR="006A2598" w:rsidRDefault="006A2598">
      <w:r>
        <w:continuationSeparator/>
      </w:r>
    </w:p>
    <w:p w14:paraId="05462745" w14:textId="77777777" w:rsidR="006A2598" w:rsidRDefault="006A25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37484" w14:textId="0D3436DA" w:rsidR="006A2598" w:rsidRDefault="006A2598" w:rsidP="00951BE2">
    <w:pPr>
      <w:pStyle w:val="Fuzeile"/>
      <w:pBdr>
        <w:top w:val="single" w:sz="4" w:space="1" w:color="000000"/>
      </w:pBdr>
      <w:tabs>
        <w:tab w:val="clear" w:pos="9072"/>
        <w:tab w:val="right" w:pos="9356"/>
      </w:tabs>
    </w:pPr>
    <w:r>
      <w:rPr>
        <w:sz w:val="18"/>
        <w:szCs w:val="18"/>
      </w:rPr>
      <w:tab/>
    </w:r>
    <w:r>
      <w:rPr>
        <w:sz w:val="18"/>
        <w:szCs w:val="18"/>
      </w:rPr>
      <w:tab/>
      <w:t xml:space="preserve">Seite </w:t>
    </w:r>
    <w:r>
      <w:rPr>
        <w:sz w:val="18"/>
        <w:szCs w:val="18"/>
      </w:rPr>
      <w:fldChar w:fldCharType="begin"/>
    </w:r>
    <w:r>
      <w:rPr>
        <w:sz w:val="18"/>
        <w:szCs w:val="18"/>
      </w:rPr>
      <w:instrText xml:space="preserve"> PAGE </w:instrText>
    </w:r>
    <w:r>
      <w:rPr>
        <w:sz w:val="18"/>
        <w:szCs w:val="18"/>
      </w:rPr>
      <w:fldChar w:fldCharType="separate"/>
    </w:r>
    <w:r w:rsidR="00E57A6B">
      <w:rPr>
        <w:noProof/>
        <w:sz w:val="18"/>
        <w:szCs w:val="18"/>
      </w:rPr>
      <w:t>1</w:t>
    </w:r>
    <w:r>
      <w:rPr>
        <w:sz w:val="18"/>
        <w:szCs w:val="18"/>
      </w:rPr>
      <w:fldChar w:fldCharType="end"/>
    </w:r>
    <w:r>
      <w:rPr>
        <w:sz w:val="18"/>
        <w:szCs w:val="18"/>
      </w:rPr>
      <w:t xml:space="preserve"> von </w:t>
    </w:r>
    <w:r>
      <w:rPr>
        <w:sz w:val="18"/>
        <w:szCs w:val="18"/>
      </w:rPr>
      <w:fldChar w:fldCharType="begin"/>
    </w:r>
    <w:r>
      <w:rPr>
        <w:sz w:val="18"/>
        <w:szCs w:val="18"/>
      </w:rPr>
      <w:instrText xml:space="preserve"> NUMPAGES \*Arabic </w:instrText>
    </w:r>
    <w:r>
      <w:rPr>
        <w:sz w:val="18"/>
        <w:szCs w:val="18"/>
      </w:rPr>
      <w:fldChar w:fldCharType="separate"/>
    </w:r>
    <w:r w:rsidR="00E57A6B">
      <w:rPr>
        <w:noProof/>
        <w:sz w:val="18"/>
        <w:szCs w:val="18"/>
      </w:rPr>
      <w:t>24</w:t>
    </w:r>
    <w:r>
      <w:rPr>
        <w:sz w:val="18"/>
        <w:szCs w:val="18"/>
      </w:rPr>
      <w:fldChar w:fldCharType="end"/>
    </w:r>
  </w:p>
  <w:p w14:paraId="20A9D5C1" w14:textId="77777777" w:rsidR="006A2598" w:rsidRPr="00B6342E" w:rsidRDefault="006A2598" w:rsidP="00B6342E">
    <w:pPr>
      <w:pStyle w:val="Fuzeile"/>
      <w:jc w:val="both"/>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6A806" w14:textId="77777777" w:rsidR="006A2598" w:rsidRPr="00530141" w:rsidRDefault="006A2598">
    <w:pPr>
      <w:pStyle w:val="Fuzeile"/>
      <w:jc w:val="left"/>
    </w:pPr>
    <w:r w:rsidRPr="00530141">
      <w:rPr>
        <w:snapToGrid w:val="0"/>
        <w:sz w:val="18"/>
      </w:rPr>
      <w:t xml:space="preserve">Abgelegt in: </w:t>
    </w:r>
    <w:r>
      <w:rPr>
        <w:snapToGrid w:val="0"/>
        <w:sz w:val="18"/>
      </w:rPr>
      <w:fldChar w:fldCharType="begin"/>
    </w:r>
    <w:r w:rsidRPr="00530141">
      <w:rPr>
        <w:snapToGrid w:val="0"/>
        <w:sz w:val="18"/>
      </w:rPr>
      <w:instrText xml:space="preserve"> FILENAME \p </w:instrText>
    </w:r>
    <w:r>
      <w:rPr>
        <w:snapToGrid w:val="0"/>
        <w:sz w:val="18"/>
      </w:rPr>
      <w:fldChar w:fldCharType="separate"/>
    </w:r>
    <w:r>
      <w:rPr>
        <w:noProof/>
        <w:snapToGrid w:val="0"/>
        <w:sz w:val="18"/>
      </w:rPr>
      <w:t>https://ooeg.info/dokumente/Lists/KH_Tumorzentrum_Extern/Leitlinie Peripheres T-Zell-Lymphom.docx</w:t>
    </w:r>
    <w:r>
      <w:rPr>
        <w:snapToGrid w:val="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763C5" w14:textId="77777777" w:rsidR="006A2598" w:rsidRDefault="006A2598">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7B567" w14:textId="77777777" w:rsidR="006A2598" w:rsidRDefault="006A25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33FE8" w14:textId="77777777" w:rsidR="006A2598" w:rsidRDefault="006A2598">
      <w:r>
        <w:separator/>
      </w:r>
    </w:p>
    <w:p w14:paraId="0C47882B" w14:textId="77777777" w:rsidR="006A2598" w:rsidRDefault="006A2598"/>
  </w:footnote>
  <w:footnote w:type="continuationSeparator" w:id="0">
    <w:p w14:paraId="3348B2F0" w14:textId="77777777" w:rsidR="006A2598" w:rsidRDefault="006A2598">
      <w:r>
        <w:continuationSeparator/>
      </w:r>
    </w:p>
    <w:p w14:paraId="07056C45" w14:textId="77777777" w:rsidR="006A2598" w:rsidRDefault="006A259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A3EB7" w14:textId="77777777" w:rsidR="006A2598" w:rsidRDefault="006A2598">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23</w:t>
    </w:r>
    <w:r>
      <w:rPr>
        <w:rStyle w:val="Seitenzahl"/>
      </w:rPr>
      <w:fldChar w:fldCharType="end"/>
    </w:r>
  </w:p>
  <w:p w14:paraId="7444C606" w14:textId="77777777" w:rsidR="006A2598" w:rsidRDefault="006A2598">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348" w:type="dxa"/>
      <w:tblInd w:w="-567"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3687"/>
      <w:gridCol w:w="3118"/>
      <w:gridCol w:w="3543"/>
    </w:tblGrid>
    <w:tr w:rsidR="006A2598" w14:paraId="159A3E05" w14:textId="77777777" w:rsidTr="003F6EA9">
      <w:tc>
        <w:tcPr>
          <w:tcW w:w="3687" w:type="dxa"/>
        </w:tcPr>
        <w:p w14:paraId="46C4C497" w14:textId="77777777" w:rsidR="006A2598" w:rsidRDefault="006A2598" w:rsidP="00DC75F2">
          <w:pPr>
            <w:pStyle w:val="Kopfzeile"/>
            <w:tabs>
              <w:tab w:val="clear" w:pos="4536"/>
              <w:tab w:val="clear" w:pos="9072"/>
              <w:tab w:val="left" w:pos="7537"/>
            </w:tabs>
            <w:spacing w:line="240" w:lineRule="auto"/>
            <w:ind w:left="-74" w:right="357"/>
            <w:jc w:val="left"/>
          </w:pPr>
          <w:r>
            <w:rPr>
              <w:noProof/>
              <w:lang w:eastAsia="de-AT"/>
            </w:rPr>
            <w:drawing>
              <wp:inline distT="0" distB="0" distL="0" distR="0" wp14:anchorId="55BA6C00" wp14:editId="6BCE2293">
                <wp:extent cx="1080760" cy="469557"/>
                <wp:effectExtent l="0" t="0" r="5715" b="698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3312" b="12928"/>
                        <a:stretch/>
                      </pic:blipFill>
                      <pic:spPr bwMode="auto">
                        <a:xfrm>
                          <a:off x="0" y="0"/>
                          <a:ext cx="1106179" cy="4806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8" w:type="dxa"/>
          <w:vAlign w:val="center"/>
        </w:tcPr>
        <w:p w14:paraId="05B6B7EA" w14:textId="77777777" w:rsidR="006A2598" w:rsidRDefault="006A2598" w:rsidP="00DC75F2">
          <w:pPr>
            <w:tabs>
              <w:tab w:val="center" w:pos="4536"/>
              <w:tab w:val="right" w:pos="9072"/>
            </w:tabs>
            <w:spacing w:line="240" w:lineRule="auto"/>
            <w:rPr>
              <w:rFonts w:cs="Arial"/>
              <w:b/>
              <w:sz w:val="18"/>
              <w:szCs w:val="18"/>
              <w:lang w:val="de-DE" w:eastAsia="ar-SA"/>
            </w:rPr>
          </w:pPr>
          <w:r>
            <w:rPr>
              <w:rFonts w:cs="Arial"/>
              <w:b/>
              <w:sz w:val="18"/>
              <w:szCs w:val="18"/>
              <w:lang w:val="de-DE" w:eastAsia="ar-SA"/>
            </w:rPr>
            <w:t>Gültigkeitsbereich:</w:t>
          </w:r>
        </w:p>
        <w:p w14:paraId="4DBA446E" w14:textId="77777777" w:rsidR="006A2598" w:rsidRDefault="006A2598" w:rsidP="00DC75F2">
          <w:pPr>
            <w:tabs>
              <w:tab w:val="center" w:pos="4536"/>
              <w:tab w:val="right" w:pos="9072"/>
            </w:tabs>
            <w:spacing w:line="240" w:lineRule="auto"/>
          </w:pPr>
          <w:r>
            <w:rPr>
              <w:rFonts w:cs="Arial"/>
              <w:b/>
              <w:sz w:val="18"/>
              <w:szCs w:val="18"/>
              <w:lang w:val="de-DE" w:eastAsia="ar-SA"/>
            </w:rPr>
            <w:t>Tumorzentrum Oberösterreich</w:t>
          </w:r>
        </w:p>
      </w:tc>
      <w:tc>
        <w:tcPr>
          <w:tcW w:w="3543" w:type="dxa"/>
          <w:vAlign w:val="center"/>
        </w:tcPr>
        <w:p w14:paraId="7DE0012E" w14:textId="77777777" w:rsidR="006A2598" w:rsidRDefault="006A2598" w:rsidP="00DC75F2">
          <w:pPr>
            <w:pStyle w:val="Kopfzeile"/>
            <w:tabs>
              <w:tab w:val="clear" w:pos="4536"/>
              <w:tab w:val="clear" w:pos="9072"/>
              <w:tab w:val="left" w:pos="7537"/>
            </w:tabs>
            <w:spacing w:line="240" w:lineRule="auto"/>
            <w:jc w:val="right"/>
          </w:pPr>
          <w:r>
            <w:rPr>
              <w:rFonts w:cs="Arial"/>
              <w:b/>
              <w:sz w:val="18"/>
              <w:szCs w:val="18"/>
              <w:lang w:val="de-DE" w:eastAsia="ar-SA"/>
            </w:rPr>
            <w:t>Leitlinie</w:t>
          </w:r>
          <w:r w:rsidRPr="008544D2">
            <w:rPr>
              <w:rFonts w:cs="Arial"/>
              <w:b/>
              <w:sz w:val="18"/>
              <w:szCs w:val="18"/>
              <w:lang w:val="de-DE" w:eastAsia="ar-SA"/>
            </w:rPr>
            <w:br/>
          </w:r>
          <w:sdt>
            <w:sdtPr>
              <w:rPr>
                <w:rFonts w:cs="Arial"/>
                <w:sz w:val="18"/>
                <w:szCs w:val="18"/>
                <w:lang w:val="de-DE" w:eastAsia="ar-SA"/>
              </w:rPr>
              <w:alias w:val="Titel"/>
              <w:tag w:val=""/>
              <w:id w:val="-421801756"/>
              <w:dataBinding w:prefixMappings="xmlns:ns0='http://purl.org/dc/elements/1.1/' xmlns:ns1='http://schemas.openxmlformats.org/package/2006/metadata/core-properties' " w:xpath="/ns1:coreProperties[1]/ns0:title[1]" w:storeItemID="{6C3C8BC8-F283-45AE-878A-BAB7291924A1}"/>
              <w:text/>
            </w:sdtPr>
            <w:sdtEndPr/>
            <w:sdtContent>
              <w:r>
                <w:rPr>
                  <w:rFonts w:cs="Arial"/>
                  <w:sz w:val="18"/>
                  <w:szCs w:val="18"/>
                  <w:lang w:val="de-DE" w:eastAsia="ar-SA"/>
                </w:rPr>
                <w:t>PTCL</w:t>
              </w:r>
            </w:sdtContent>
          </w:sdt>
        </w:p>
      </w:tc>
    </w:tr>
  </w:tbl>
  <w:p w14:paraId="594A067A" w14:textId="77777777" w:rsidR="006A2598" w:rsidRDefault="006A2598" w:rsidP="00F74762">
    <w:pPr>
      <w:pStyle w:val="Kopfzeile"/>
      <w:tabs>
        <w:tab w:val="clear" w:pos="4536"/>
        <w:tab w:val="clear" w:pos="9072"/>
        <w:tab w:val="left" w:pos="7537"/>
      </w:tabs>
      <w:spacing w:line="240" w:lineRule="auto"/>
      <w:ind w:right="357"/>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2D2F9" w14:textId="77777777" w:rsidR="006A2598" w:rsidRDefault="006A2598">
    <w:pPr>
      <w:pStyle w:val="Kopfzeile"/>
      <w:jc w:val="right"/>
    </w:pPr>
    <w:r>
      <w:rPr>
        <w:noProof/>
        <w:sz w:val="20"/>
        <w:lang w:eastAsia="de-AT"/>
      </w:rPr>
      <w:drawing>
        <wp:anchor distT="0" distB="0" distL="114300" distR="114300" simplePos="0" relativeHeight="251657728" behindDoc="0" locked="0" layoutInCell="1" allowOverlap="1" wp14:anchorId="5E1154CA" wp14:editId="59EEBF18">
          <wp:simplePos x="0" y="0"/>
          <wp:positionH relativeFrom="column">
            <wp:posOffset>-48895</wp:posOffset>
          </wp:positionH>
          <wp:positionV relativeFrom="paragraph">
            <wp:posOffset>-14605</wp:posOffset>
          </wp:positionV>
          <wp:extent cx="1010920" cy="310515"/>
          <wp:effectExtent l="0" t="0" r="0" b="0"/>
          <wp:wrapSquare wrapText="bothSides"/>
          <wp:docPr id="5" name="Bild 1" descr="Logo Qualitaetsmanagemen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Qualitaetsmanagement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310515"/>
                  </a:xfrm>
                  <a:prstGeom prst="rect">
                    <a:avLst/>
                  </a:prstGeom>
                  <a:noFill/>
                  <a:ln>
                    <a:noFill/>
                  </a:ln>
                </pic:spPr>
              </pic:pic>
            </a:graphicData>
          </a:graphic>
        </wp:anchor>
      </w:drawing>
    </w:r>
    <w:r>
      <w:rPr>
        <w:rStyle w:val="Seitenzahl"/>
        <w:sz w:val="18"/>
      </w:rPr>
      <w:t xml:space="preserve">Seite </w:t>
    </w:r>
    <w:r>
      <w:rPr>
        <w:rStyle w:val="Seitenzahl"/>
        <w:sz w:val="18"/>
      </w:rPr>
      <w:fldChar w:fldCharType="begin"/>
    </w:r>
    <w:r>
      <w:rPr>
        <w:rStyle w:val="Seitenzahl"/>
        <w:sz w:val="18"/>
      </w:rPr>
      <w:instrText xml:space="preserve">PAGE  </w:instrText>
    </w:r>
    <w:r>
      <w:rPr>
        <w:rStyle w:val="Seitenzahl"/>
        <w:sz w:val="18"/>
      </w:rPr>
      <w:fldChar w:fldCharType="separate"/>
    </w:r>
    <w:r>
      <w:rPr>
        <w:rStyle w:val="Seitenzahl"/>
        <w:noProof/>
        <w:sz w:val="18"/>
      </w:rPr>
      <w:t>23</w:t>
    </w:r>
    <w:r>
      <w:rPr>
        <w:rStyle w:val="Seitenzahl"/>
        <w:sz w:val="18"/>
      </w:rPr>
      <w:fldChar w:fldCharType="end"/>
    </w:r>
    <w:r>
      <w:rPr>
        <w:rStyle w:val="Seitenzahl"/>
        <w:sz w:val="18"/>
      </w:rPr>
      <w:t xml:space="preserve"> von </w:t>
    </w:r>
    <w:r>
      <w:rPr>
        <w:rStyle w:val="Seitenzahl"/>
        <w:sz w:val="18"/>
      </w:rPr>
      <w:fldChar w:fldCharType="begin"/>
    </w:r>
    <w:r>
      <w:rPr>
        <w:rStyle w:val="Seitenzahl"/>
        <w:sz w:val="18"/>
      </w:rPr>
      <w:instrText xml:space="preserve"> NUMPAGES </w:instrText>
    </w:r>
    <w:r>
      <w:rPr>
        <w:rStyle w:val="Seitenzahl"/>
        <w:sz w:val="18"/>
      </w:rPr>
      <w:fldChar w:fldCharType="separate"/>
    </w:r>
    <w:r>
      <w:rPr>
        <w:rStyle w:val="Seitenzahl"/>
        <w:noProof/>
        <w:sz w:val="18"/>
      </w:rPr>
      <w:t>23</w:t>
    </w:r>
    <w:r>
      <w:rPr>
        <w:rStyle w:val="Seitenzahl"/>
        <w:sz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729F8" w14:textId="77777777" w:rsidR="006A2598" w:rsidRDefault="006A2598">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ECAD1" w14:textId="77777777" w:rsidR="006A2598" w:rsidRDefault="006A25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72475"/>
    <w:multiLevelType w:val="multilevel"/>
    <w:tmpl w:val="DA4E6842"/>
    <w:lvl w:ilvl="0">
      <w:start w:val="1"/>
      <w:numFmt w:val="decimal"/>
      <w:lvlText w:val="%1."/>
      <w:lvlJc w:val="left"/>
      <w:pPr>
        <w:tabs>
          <w:tab w:val="num" w:pos="1429"/>
        </w:tabs>
        <w:ind w:left="1069" w:hanging="360"/>
      </w:pPr>
      <w:rPr>
        <w:rFonts w:hint="default"/>
      </w:rPr>
    </w:lvl>
    <w:lvl w:ilvl="1">
      <w:start w:val="1"/>
      <w:numFmt w:val="decimal"/>
      <w:pStyle w:val="Formatvorlageberschrift212pt"/>
      <w:lvlText w:val="%1.%2."/>
      <w:lvlJc w:val="left"/>
      <w:pPr>
        <w:tabs>
          <w:tab w:val="num" w:pos="2509"/>
        </w:tabs>
        <w:ind w:left="1501" w:hanging="432"/>
      </w:pPr>
      <w:rPr>
        <w:rFonts w:hint="default"/>
      </w:rPr>
    </w:lvl>
    <w:lvl w:ilvl="2">
      <w:start w:val="1"/>
      <w:numFmt w:val="decimal"/>
      <w:lvlText w:val="%1.%2.%3."/>
      <w:lvlJc w:val="left"/>
      <w:pPr>
        <w:tabs>
          <w:tab w:val="num" w:pos="3589"/>
        </w:tabs>
        <w:ind w:left="1933" w:hanging="504"/>
      </w:pPr>
      <w:rPr>
        <w:rFonts w:hint="default"/>
      </w:rPr>
    </w:lvl>
    <w:lvl w:ilvl="3">
      <w:start w:val="1"/>
      <w:numFmt w:val="decimal"/>
      <w:lvlText w:val="%1.%2.%3.%4."/>
      <w:lvlJc w:val="left"/>
      <w:pPr>
        <w:tabs>
          <w:tab w:val="num" w:pos="4669"/>
        </w:tabs>
        <w:ind w:left="2437" w:hanging="648"/>
      </w:pPr>
      <w:rPr>
        <w:rFonts w:hint="default"/>
      </w:rPr>
    </w:lvl>
    <w:lvl w:ilvl="4">
      <w:start w:val="1"/>
      <w:numFmt w:val="decimal"/>
      <w:lvlText w:val="%1.%2.%3.%4.%5."/>
      <w:lvlJc w:val="left"/>
      <w:pPr>
        <w:tabs>
          <w:tab w:val="num" w:pos="5389"/>
        </w:tabs>
        <w:ind w:left="2941" w:hanging="792"/>
      </w:pPr>
      <w:rPr>
        <w:rFonts w:hint="default"/>
      </w:rPr>
    </w:lvl>
    <w:lvl w:ilvl="5">
      <w:start w:val="1"/>
      <w:numFmt w:val="decimal"/>
      <w:lvlText w:val="%1.%2.%3.%4.%5.%6."/>
      <w:lvlJc w:val="left"/>
      <w:pPr>
        <w:tabs>
          <w:tab w:val="num" w:pos="6469"/>
        </w:tabs>
        <w:ind w:left="3445" w:hanging="936"/>
      </w:pPr>
      <w:rPr>
        <w:rFonts w:hint="default"/>
      </w:rPr>
    </w:lvl>
    <w:lvl w:ilvl="6">
      <w:start w:val="1"/>
      <w:numFmt w:val="decimal"/>
      <w:lvlText w:val="%1.%2.%3.%4.%5.%6.%7."/>
      <w:lvlJc w:val="left"/>
      <w:pPr>
        <w:tabs>
          <w:tab w:val="num" w:pos="7549"/>
        </w:tabs>
        <w:ind w:left="3949" w:hanging="1080"/>
      </w:pPr>
      <w:rPr>
        <w:rFonts w:hint="default"/>
      </w:rPr>
    </w:lvl>
    <w:lvl w:ilvl="7">
      <w:start w:val="1"/>
      <w:numFmt w:val="decimal"/>
      <w:lvlText w:val="%1.%2.%3.%4.%5.%6.%7.%8."/>
      <w:lvlJc w:val="left"/>
      <w:pPr>
        <w:tabs>
          <w:tab w:val="num" w:pos="8629"/>
        </w:tabs>
        <w:ind w:left="4453" w:hanging="1224"/>
      </w:pPr>
      <w:rPr>
        <w:rFonts w:hint="default"/>
      </w:rPr>
    </w:lvl>
    <w:lvl w:ilvl="8">
      <w:start w:val="1"/>
      <w:numFmt w:val="decimal"/>
      <w:lvlText w:val="%1.%2.%3.%4.%5.%6.%7.%8.%9."/>
      <w:lvlJc w:val="left"/>
      <w:pPr>
        <w:tabs>
          <w:tab w:val="num" w:pos="9349"/>
        </w:tabs>
        <w:ind w:left="5029" w:hanging="1440"/>
      </w:pPr>
      <w:rPr>
        <w:rFonts w:hint="default"/>
      </w:rPr>
    </w:lvl>
  </w:abstractNum>
  <w:abstractNum w:abstractNumId="1" w15:restartNumberingAfterBreak="0">
    <w:nsid w:val="196D2160"/>
    <w:multiLevelType w:val="multilevel"/>
    <w:tmpl w:val="175C9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8227B3"/>
    <w:multiLevelType w:val="hybridMultilevel"/>
    <w:tmpl w:val="64EAD004"/>
    <w:lvl w:ilvl="0" w:tplc="0C070005">
      <w:start w:val="1"/>
      <w:numFmt w:val="bullet"/>
      <w:lvlText w:val=""/>
      <w:lvlJc w:val="left"/>
      <w:pPr>
        <w:ind w:left="720" w:hanging="360"/>
      </w:pPr>
      <w:rPr>
        <w:rFonts w:ascii="Wingdings" w:hAnsi="Wingdings" w:hint="default"/>
        <w:w w:val="100"/>
        <w:sz w:val="18"/>
        <w:szCs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44F1375"/>
    <w:multiLevelType w:val="hybridMultilevel"/>
    <w:tmpl w:val="3F4A611C"/>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353"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B0E7CA1"/>
    <w:multiLevelType w:val="hybridMultilevel"/>
    <w:tmpl w:val="13BED7CE"/>
    <w:lvl w:ilvl="0" w:tplc="0C070005">
      <w:start w:val="1"/>
      <w:numFmt w:val="bullet"/>
      <w:lvlText w:val=""/>
      <w:lvlJc w:val="left"/>
      <w:pPr>
        <w:ind w:left="720" w:hanging="360"/>
      </w:pPr>
      <w:rPr>
        <w:rFonts w:ascii="Wingdings" w:hAnsi="Wingdings" w:hint="default"/>
        <w:w w:val="100"/>
        <w:sz w:val="18"/>
        <w:szCs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2231682"/>
    <w:multiLevelType w:val="hybridMultilevel"/>
    <w:tmpl w:val="43706D6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62E4F45"/>
    <w:multiLevelType w:val="hybridMultilevel"/>
    <w:tmpl w:val="9EF21BD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40E1D6A"/>
    <w:multiLevelType w:val="hybridMultilevel"/>
    <w:tmpl w:val="32485BA2"/>
    <w:lvl w:ilvl="0" w:tplc="7D780856">
      <w:start w:val="1"/>
      <w:numFmt w:val="decimal"/>
      <w:lvlText w:val="%1"/>
      <w:lvlJc w:val="left"/>
      <w:pPr>
        <w:ind w:left="714" w:hanging="780"/>
      </w:pPr>
      <w:rPr>
        <w:rFonts w:hint="default"/>
      </w:rPr>
    </w:lvl>
    <w:lvl w:ilvl="1" w:tplc="0C070019" w:tentative="1">
      <w:start w:val="1"/>
      <w:numFmt w:val="lowerLetter"/>
      <w:lvlText w:val="%2."/>
      <w:lvlJc w:val="left"/>
      <w:pPr>
        <w:ind w:left="1014" w:hanging="360"/>
      </w:pPr>
    </w:lvl>
    <w:lvl w:ilvl="2" w:tplc="0C07001B" w:tentative="1">
      <w:start w:val="1"/>
      <w:numFmt w:val="lowerRoman"/>
      <w:lvlText w:val="%3."/>
      <w:lvlJc w:val="right"/>
      <w:pPr>
        <w:ind w:left="1734" w:hanging="180"/>
      </w:pPr>
    </w:lvl>
    <w:lvl w:ilvl="3" w:tplc="0C07000F" w:tentative="1">
      <w:start w:val="1"/>
      <w:numFmt w:val="decimal"/>
      <w:lvlText w:val="%4."/>
      <w:lvlJc w:val="left"/>
      <w:pPr>
        <w:ind w:left="2454" w:hanging="360"/>
      </w:pPr>
    </w:lvl>
    <w:lvl w:ilvl="4" w:tplc="0C070019" w:tentative="1">
      <w:start w:val="1"/>
      <w:numFmt w:val="lowerLetter"/>
      <w:lvlText w:val="%5."/>
      <w:lvlJc w:val="left"/>
      <w:pPr>
        <w:ind w:left="3174" w:hanging="360"/>
      </w:pPr>
    </w:lvl>
    <w:lvl w:ilvl="5" w:tplc="0C07001B" w:tentative="1">
      <w:start w:val="1"/>
      <w:numFmt w:val="lowerRoman"/>
      <w:lvlText w:val="%6."/>
      <w:lvlJc w:val="right"/>
      <w:pPr>
        <w:ind w:left="3894" w:hanging="180"/>
      </w:pPr>
    </w:lvl>
    <w:lvl w:ilvl="6" w:tplc="0C07000F" w:tentative="1">
      <w:start w:val="1"/>
      <w:numFmt w:val="decimal"/>
      <w:lvlText w:val="%7."/>
      <w:lvlJc w:val="left"/>
      <w:pPr>
        <w:ind w:left="4614" w:hanging="360"/>
      </w:pPr>
    </w:lvl>
    <w:lvl w:ilvl="7" w:tplc="0C070019" w:tentative="1">
      <w:start w:val="1"/>
      <w:numFmt w:val="lowerLetter"/>
      <w:lvlText w:val="%8."/>
      <w:lvlJc w:val="left"/>
      <w:pPr>
        <w:ind w:left="5334" w:hanging="360"/>
      </w:pPr>
    </w:lvl>
    <w:lvl w:ilvl="8" w:tplc="0C07001B" w:tentative="1">
      <w:start w:val="1"/>
      <w:numFmt w:val="lowerRoman"/>
      <w:lvlText w:val="%9."/>
      <w:lvlJc w:val="right"/>
      <w:pPr>
        <w:ind w:left="6054" w:hanging="180"/>
      </w:pPr>
    </w:lvl>
  </w:abstractNum>
  <w:abstractNum w:abstractNumId="8" w15:restartNumberingAfterBreak="0">
    <w:nsid w:val="4E3D34C1"/>
    <w:multiLevelType w:val="hybridMultilevel"/>
    <w:tmpl w:val="26B8AB70"/>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55932C7F"/>
    <w:multiLevelType w:val="multilevel"/>
    <w:tmpl w:val="68B8C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70169B"/>
    <w:multiLevelType w:val="hybridMultilevel"/>
    <w:tmpl w:val="BD68EC0E"/>
    <w:lvl w:ilvl="0" w:tplc="EBC219B6">
      <w:start w:val="3"/>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DF7194D"/>
    <w:multiLevelType w:val="multilevel"/>
    <w:tmpl w:val="928A2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1D1FCC"/>
    <w:multiLevelType w:val="multilevel"/>
    <w:tmpl w:val="5A0AC008"/>
    <w:lvl w:ilvl="0">
      <w:start w:val="1"/>
      <w:numFmt w:val="decimal"/>
      <w:lvlText w:val="%1"/>
      <w:lvlJc w:val="left"/>
      <w:pPr>
        <w:tabs>
          <w:tab w:val="num" w:pos="432"/>
        </w:tabs>
        <w:ind w:left="432" w:hanging="432"/>
      </w:pPr>
      <w:rPr>
        <w:rFonts w:hint="default"/>
        <w:b w:val="0"/>
        <w:i w:val="0"/>
      </w:rPr>
    </w:lvl>
    <w:lvl w:ilvl="1">
      <w:start w:val="1"/>
      <w:numFmt w:val="decimal"/>
      <w:lvlText w:val="%1.%2"/>
      <w:lvlJc w:val="left"/>
      <w:pPr>
        <w:tabs>
          <w:tab w:val="num" w:pos="576"/>
        </w:tabs>
        <w:ind w:left="576" w:hanging="576"/>
      </w:pPr>
      <w:rPr>
        <w:rFonts w:hint="default"/>
      </w:rPr>
    </w:lvl>
    <w:lvl w:ilvl="2">
      <w:start w:val="1"/>
      <w:numFmt w:val="decimal"/>
      <w:pStyle w:val="berschrift3"/>
      <w:lvlText w:val="%1.%2.%3"/>
      <w:lvlJc w:val="left"/>
      <w:pPr>
        <w:tabs>
          <w:tab w:val="num" w:pos="1004"/>
        </w:tabs>
        <w:ind w:left="1004"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8B52587"/>
    <w:multiLevelType w:val="hybridMultilevel"/>
    <w:tmpl w:val="ED28BD7C"/>
    <w:lvl w:ilvl="0" w:tplc="D5A834E6">
      <w:start w:val="1"/>
      <w:numFmt w:val="decimal"/>
      <w:lvlText w:val="(%1)"/>
      <w:lvlJc w:val="left"/>
      <w:pPr>
        <w:ind w:left="-66" w:hanging="360"/>
      </w:pPr>
      <w:rPr>
        <w:rFonts w:hint="default"/>
        <w:b/>
        <w:color w:val="FF0000"/>
      </w:rPr>
    </w:lvl>
    <w:lvl w:ilvl="1" w:tplc="0C070019" w:tentative="1">
      <w:start w:val="1"/>
      <w:numFmt w:val="lowerLetter"/>
      <w:lvlText w:val="%2."/>
      <w:lvlJc w:val="left"/>
      <w:pPr>
        <w:ind w:left="654" w:hanging="360"/>
      </w:pPr>
    </w:lvl>
    <w:lvl w:ilvl="2" w:tplc="0C07001B" w:tentative="1">
      <w:start w:val="1"/>
      <w:numFmt w:val="lowerRoman"/>
      <w:lvlText w:val="%3."/>
      <w:lvlJc w:val="right"/>
      <w:pPr>
        <w:ind w:left="1374" w:hanging="180"/>
      </w:pPr>
    </w:lvl>
    <w:lvl w:ilvl="3" w:tplc="0C07000F" w:tentative="1">
      <w:start w:val="1"/>
      <w:numFmt w:val="decimal"/>
      <w:lvlText w:val="%4."/>
      <w:lvlJc w:val="left"/>
      <w:pPr>
        <w:ind w:left="2094" w:hanging="360"/>
      </w:pPr>
    </w:lvl>
    <w:lvl w:ilvl="4" w:tplc="0C070019" w:tentative="1">
      <w:start w:val="1"/>
      <w:numFmt w:val="lowerLetter"/>
      <w:lvlText w:val="%5."/>
      <w:lvlJc w:val="left"/>
      <w:pPr>
        <w:ind w:left="2814" w:hanging="360"/>
      </w:pPr>
    </w:lvl>
    <w:lvl w:ilvl="5" w:tplc="0C07001B" w:tentative="1">
      <w:start w:val="1"/>
      <w:numFmt w:val="lowerRoman"/>
      <w:lvlText w:val="%6."/>
      <w:lvlJc w:val="right"/>
      <w:pPr>
        <w:ind w:left="3534" w:hanging="180"/>
      </w:pPr>
    </w:lvl>
    <w:lvl w:ilvl="6" w:tplc="0C07000F" w:tentative="1">
      <w:start w:val="1"/>
      <w:numFmt w:val="decimal"/>
      <w:lvlText w:val="%7."/>
      <w:lvlJc w:val="left"/>
      <w:pPr>
        <w:ind w:left="4254" w:hanging="360"/>
      </w:pPr>
    </w:lvl>
    <w:lvl w:ilvl="7" w:tplc="0C070019" w:tentative="1">
      <w:start w:val="1"/>
      <w:numFmt w:val="lowerLetter"/>
      <w:lvlText w:val="%8."/>
      <w:lvlJc w:val="left"/>
      <w:pPr>
        <w:ind w:left="4974" w:hanging="360"/>
      </w:pPr>
    </w:lvl>
    <w:lvl w:ilvl="8" w:tplc="0C07001B" w:tentative="1">
      <w:start w:val="1"/>
      <w:numFmt w:val="lowerRoman"/>
      <w:lvlText w:val="%9."/>
      <w:lvlJc w:val="right"/>
      <w:pPr>
        <w:ind w:left="5694" w:hanging="180"/>
      </w:pPr>
    </w:lvl>
  </w:abstractNum>
  <w:num w:numId="1">
    <w:abstractNumId w:val="0"/>
  </w:num>
  <w:num w:numId="2">
    <w:abstractNumId w:val="12"/>
  </w:num>
  <w:num w:numId="3">
    <w:abstractNumId w:val="3"/>
  </w:num>
  <w:num w:numId="4">
    <w:abstractNumId w:val="3"/>
  </w:num>
  <w:num w:numId="5">
    <w:abstractNumId w:val="10"/>
  </w:num>
  <w:num w:numId="6">
    <w:abstractNumId w:val="6"/>
  </w:num>
  <w:num w:numId="7">
    <w:abstractNumId w:val="13"/>
  </w:num>
  <w:num w:numId="8">
    <w:abstractNumId w:val="7"/>
  </w:num>
  <w:num w:numId="9">
    <w:abstractNumId w:val="2"/>
  </w:num>
  <w:num w:numId="10">
    <w:abstractNumId w:val="4"/>
  </w:num>
  <w:num w:numId="11">
    <w:abstractNumId w:val="8"/>
  </w:num>
  <w:num w:numId="12">
    <w:abstractNumId w:val="5"/>
  </w:num>
  <w:num w:numId="13">
    <w:abstractNumId w:val="11"/>
  </w:num>
  <w:num w:numId="14">
    <w:abstractNumId w:val="9"/>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AT"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A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47"/>
    <w:rsid w:val="000035FC"/>
    <w:rsid w:val="000046F3"/>
    <w:rsid w:val="00007A0D"/>
    <w:rsid w:val="00010882"/>
    <w:rsid w:val="000155EA"/>
    <w:rsid w:val="0002186C"/>
    <w:rsid w:val="000265DC"/>
    <w:rsid w:val="000272D9"/>
    <w:rsid w:val="00030631"/>
    <w:rsid w:val="00030D42"/>
    <w:rsid w:val="00032775"/>
    <w:rsid w:val="00033E40"/>
    <w:rsid w:val="000342DF"/>
    <w:rsid w:val="00035871"/>
    <w:rsid w:val="00036BCF"/>
    <w:rsid w:val="00041F40"/>
    <w:rsid w:val="00043818"/>
    <w:rsid w:val="00045ABC"/>
    <w:rsid w:val="0004733D"/>
    <w:rsid w:val="00047732"/>
    <w:rsid w:val="000509F2"/>
    <w:rsid w:val="00050A88"/>
    <w:rsid w:val="0005570D"/>
    <w:rsid w:val="00056EA7"/>
    <w:rsid w:val="00063886"/>
    <w:rsid w:val="000645BD"/>
    <w:rsid w:val="000660ED"/>
    <w:rsid w:val="000709A0"/>
    <w:rsid w:val="00074CF6"/>
    <w:rsid w:val="000755F0"/>
    <w:rsid w:val="000830AB"/>
    <w:rsid w:val="00090105"/>
    <w:rsid w:val="0009120A"/>
    <w:rsid w:val="0009476C"/>
    <w:rsid w:val="00096FA8"/>
    <w:rsid w:val="000A2694"/>
    <w:rsid w:val="000A605D"/>
    <w:rsid w:val="000B3CE0"/>
    <w:rsid w:val="000C1C85"/>
    <w:rsid w:val="000C50F9"/>
    <w:rsid w:val="000D0D9F"/>
    <w:rsid w:val="000D31FD"/>
    <w:rsid w:val="000D5C01"/>
    <w:rsid w:val="000D6539"/>
    <w:rsid w:val="000D7FDF"/>
    <w:rsid w:val="000E0AAA"/>
    <w:rsid w:val="000E0D14"/>
    <w:rsid w:val="000E3EFA"/>
    <w:rsid w:val="000E4A0B"/>
    <w:rsid w:val="000E5CE5"/>
    <w:rsid w:val="000F5536"/>
    <w:rsid w:val="000F7A80"/>
    <w:rsid w:val="000F7F28"/>
    <w:rsid w:val="001003AB"/>
    <w:rsid w:val="00101D9C"/>
    <w:rsid w:val="001073F0"/>
    <w:rsid w:val="00112917"/>
    <w:rsid w:val="00114628"/>
    <w:rsid w:val="00115BB4"/>
    <w:rsid w:val="0012482E"/>
    <w:rsid w:val="00124832"/>
    <w:rsid w:val="001259DC"/>
    <w:rsid w:val="00130F7C"/>
    <w:rsid w:val="00136693"/>
    <w:rsid w:val="00137388"/>
    <w:rsid w:val="001405A0"/>
    <w:rsid w:val="0014400F"/>
    <w:rsid w:val="001448E2"/>
    <w:rsid w:val="00144EB8"/>
    <w:rsid w:val="00145212"/>
    <w:rsid w:val="001459A2"/>
    <w:rsid w:val="00152B17"/>
    <w:rsid w:val="0015374A"/>
    <w:rsid w:val="00155E78"/>
    <w:rsid w:val="00156BD6"/>
    <w:rsid w:val="00156DFC"/>
    <w:rsid w:val="00170FFF"/>
    <w:rsid w:val="00173420"/>
    <w:rsid w:val="00175ED5"/>
    <w:rsid w:val="0017757B"/>
    <w:rsid w:val="00180123"/>
    <w:rsid w:val="00183CD1"/>
    <w:rsid w:val="001876E7"/>
    <w:rsid w:val="00187F58"/>
    <w:rsid w:val="00190D48"/>
    <w:rsid w:val="001927FC"/>
    <w:rsid w:val="00195521"/>
    <w:rsid w:val="0019728C"/>
    <w:rsid w:val="001A1751"/>
    <w:rsid w:val="001A18A1"/>
    <w:rsid w:val="001A2A02"/>
    <w:rsid w:val="001A30F6"/>
    <w:rsid w:val="001A336E"/>
    <w:rsid w:val="001B222A"/>
    <w:rsid w:val="001B2A45"/>
    <w:rsid w:val="001C1EE9"/>
    <w:rsid w:val="001D11C7"/>
    <w:rsid w:val="001D34A4"/>
    <w:rsid w:val="001D3A35"/>
    <w:rsid w:val="001D6ACC"/>
    <w:rsid w:val="001E131F"/>
    <w:rsid w:val="001F2BEC"/>
    <w:rsid w:val="001F4A4F"/>
    <w:rsid w:val="002017A5"/>
    <w:rsid w:val="00202B5A"/>
    <w:rsid w:val="0020724A"/>
    <w:rsid w:val="00212B87"/>
    <w:rsid w:val="0021423B"/>
    <w:rsid w:val="00215B4D"/>
    <w:rsid w:val="0021716F"/>
    <w:rsid w:val="00217C51"/>
    <w:rsid w:val="002201ED"/>
    <w:rsid w:val="002205CD"/>
    <w:rsid w:val="00223D79"/>
    <w:rsid w:val="002316AB"/>
    <w:rsid w:val="00232D4A"/>
    <w:rsid w:val="00240368"/>
    <w:rsid w:val="00245132"/>
    <w:rsid w:val="002454C2"/>
    <w:rsid w:val="00250E53"/>
    <w:rsid w:val="00257380"/>
    <w:rsid w:val="00263755"/>
    <w:rsid w:val="0026718C"/>
    <w:rsid w:val="002758C3"/>
    <w:rsid w:val="00277A00"/>
    <w:rsid w:val="00282D1E"/>
    <w:rsid w:val="002969E4"/>
    <w:rsid w:val="002A2023"/>
    <w:rsid w:val="002A4520"/>
    <w:rsid w:val="002A587C"/>
    <w:rsid w:val="002A6DFE"/>
    <w:rsid w:val="002B1EBD"/>
    <w:rsid w:val="002B27E4"/>
    <w:rsid w:val="002C1878"/>
    <w:rsid w:val="002D09BC"/>
    <w:rsid w:val="002E053F"/>
    <w:rsid w:val="002E4DD8"/>
    <w:rsid w:val="002E7743"/>
    <w:rsid w:val="002F094D"/>
    <w:rsid w:val="002F296D"/>
    <w:rsid w:val="002F7AF6"/>
    <w:rsid w:val="00303EC9"/>
    <w:rsid w:val="003040D1"/>
    <w:rsid w:val="003050D6"/>
    <w:rsid w:val="00305CDD"/>
    <w:rsid w:val="00313B47"/>
    <w:rsid w:val="003207EA"/>
    <w:rsid w:val="00326408"/>
    <w:rsid w:val="00327D55"/>
    <w:rsid w:val="00327F3C"/>
    <w:rsid w:val="00330AFE"/>
    <w:rsid w:val="00332A40"/>
    <w:rsid w:val="003357B8"/>
    <w:rsid w:val="00336828"/>
    <w:rsid w:val="00341AE8"/>
    <w:rsid w:val="0034474F"/>
    <w:rsid w:val="00346099"/>
    <w:rsid w:val="00346A85"/>
    <w:rsid w:val="0035013A"/>
    <w:rsid w:val="003609C9"/>
    <w:rsid w:val="00360A6E"/>
    <w:rsid w:val="00364FC2"/>
    <w:rsid w:val="00371343"/>
    <w:rsid w:val="0038211D"/>
    <w:rsid w:val="00382FA6"/>
    <w:rsid w:val="003909D5"/>
    <w:rsid w:val="00391BC8"/>
    <w:rsid w:val="0039525D"/>
    <w:rsid w:val="00397981"/>
    <w:rsid w:val="003A6348"/>
    <w:rsid w:val="003A6F8F"/>
    <w:rsid w:val="003A70E3"/>
    <w:rsid w:val="003B7687"/>
    <w:rsid w:val="003C182E"/>
    <w:rsid w:val="003C2F32"/>
    <w:rsid w:val="003C35BB"/>
    <w:rsid w:val="003C4308"/>
    <w:rsid w:val="003C59AD"/>
    <w:rsid w:val="003C6310"/>
    <w:rsid w:val="003D0B17"/>
    <w:rsid w:val="003D245A"/>
    <w:rsid w:val="003D256C"/>
    <w:rsid w:val="003D2DE7"/>
    <w:rsid w:val="003D4714"/>
    <w:rsid w:val="003E0845"/>
    <w:rsid w:val="003E0B16"/>
    <w:rsid w:val="003E30E9"/>
    <w:rsid w:val="003E3DA7"/>
    <w:rsid w:val="003E6DDD"/>
    <w:rsid w:val="003F0ED7"/>
    <w:rsid w:val="003F172A"/>
    <w:rsid w:val="003F430B"/>
    <w:rsid w:val="003F5F34"/>
    <w:rsid w:val="003F629C"/>
    <w:rsid w:val="003F6EA9"/>
    <w:rsid w:val="00410EAB"/>
    <w:rsid w:val="0041171F"/>
    <w:rsid w:val="004172AC"/>
    <w:rsid w:val="00422F52"/>
    <w:rsid w:val="004252AA"/>
    <w:rsid w:val="00427F30"/>
    <w:rsid w:val="00430963"/>
    <w:rsid w:val="00437783"/>
    <w:rsid w:val="00445C45"/>
    <w:rsid w:val="00445D6C"/>
    <w:rsid w:val="00446530"/>
    <w:rsid w:val="004501A9"/>
    <w:rsid w:val="004501B1"/>
    <w:rsid w:val="00450349"/>
    <w:rsid w:val="0045594E"/>
    <w:rsid w:val="004615DA"/>
    <w:rsid w:val="00461CD6"/>
    <w:rsid w:val="00465C0D"/>
    <w:rsid w:val="00470F84"/>
    <w:rsid w:val="00473770"/>
    <w:rsid w:val="004737A1"/>
    <w:rsid w:val="00477F6F"/>
    <w:rsid w:val="00480033"/>
    <w:rsid w:val="0048322A"/>
    <w:rsid w:val="00484E1B"/>
    <w:rsid w:val="00486C3A"/>
    <w:rsid w:val="004875BD"/>
    <w:rsid w:val="00491093"/>
    <w:rsid w:val="0049768A"/>
    <w:rsid w:val="004A3A80"/>
    <w:rsid w:val="004A7236"/>
    <w:rsid w:val="004B179E"/>
    <w:rsid w:val="004B5BE6"/>
    <w:rsid w:val="004D1626"/>
    <w:rsid w:val="004D2FC3"/>
    <w:rsid w:val="004D5CA7"/>
    <w:rsid w:val="004E0C96"/>
    <w:rsid w:val="004E7EBC"/>
    <w:rsid w:val="004F0B8A"/>
    <w:rsid w:val="004F0D6D"/>
    <w:rsid w:val="004F1722"/>
    <w:rsid w:val="004F49D9"/>
    <w:rsid w:val="00510B13"/>
    <w:rsid w:val="0051248A"/>
    <w:rsid w:val="005163F4"/>
    <w:rsid w:val="00516467"/>
    <w:rsid w:val="00517BAE"/>
    <w:rsid w:val="00522EE8"/>
    <w:rsid w:val="00522FFB"/>
    <w:rsid w:val="005232C2"/>
    <w:rsid w:val="00524A45"/>
    <w:rsid w:val="0052572C"/>
    <w:rsid w:val="00526E83"/>
    <w:rsid w:val="00530141"/>
    <w:rsid w:val="00534643"/>
    <w:rsid w:val="005444C8"/>
    <w:rsid w:val="00545067"/>
    <w:rsid w:val="00546985"/>
    <w:rsid w:val="0055153F"/>
    <w:rsid w:val="0055266D"/>
    <w:rsid w:val="00556FC4"/>
    <w:rsid w:val="00562CEE"/>
    <w:rsid w:val="00564DCB"/>
    <w:rsid w:val="005669B7"/>
    <w:rsid w:val="005716B3"/>
    <w:rsid w:val="00571ED7"/>
    <w:rsid w:val="00575F22"/>
    <w:rsid w:val="005824CC"/>
    <w:rsid w:val="005847E4"/>
    <w:rsid w:val="00590C52"/>
    <w:rsid w:val="005915C3"/>
    <w:rsid w:val="00591BA1"/>
    <w:rsid w:val="00592BA2"/>
    <w:rsid w:val="00594B72"/>
    <w:rsid w:val="0059552F"/>
    <w:rsid w:val="005973BD"/>
    <w:rsid w:val="005A1657"/>
    <w:rsid w:val="005A3EDD"/>
    <w:rsid w:val="005A5F87"/>
    <w:rsid w:val="005A6712"/>
    <w:rsid w:val="005B5DE6"/>
    <w:rsid w:val="005C2135"/>
    <w:rsid w:val="005C5568"/>
    <w:rsid w:val="005C5693"/>
    <w:rsid w:val="005C6EE4"/>
    <w:rsid w:val="005D23B9"/>
    <w:rsid w:val="005D5403"/>
    <w:rsid w:val="005D5CAE"/>
    <w:rsid w:val="005D767D"/>
    <w:rsid w:val="005D7D02"/>
    <w:rsid w:val="005E0058"/>
    <w:rsid w:val="005E2F5F"/>
    <w:rsid w:val="005E7EDC"/>
    <w:rsid w:val="005F2AEF"/>
    <w:rsid w:val="005F3424"/>
    <w:rsid w:val="005F49C0"/>
    <w:rsid w:val="005F5829"/>
    <w:rsid w:val="00601C83"/>
    <w:rsid w:val="00607096"/>
    <w:rsid w:val="0061795F"/>
    <w:rsid w:val="0062318C"/>
    <w:rsid w:val="006240B6"/>
    <w:rsid w:val="00624C9E"/>
    <w:rsid w:val="00625FDD"/>
    <w:rsid w:val="006266D8"/>
    <w:rsid w:val="00632D4B"/>
    <w:rsid w:val="00634937"/>
    <w:rsid w:val="006349A1"/>
    <w:rsid w:val="0065450E"/>
    <w:rsid w:val="00654B44"/>
    <w:rsid w:val="00656F2C"/>
    <w:rsid w:val="006601EC"/>
    <w:rsid w:val="00670B44"/>
    <w:rsid w:val="0067150E"/>
    <w:rsid w:val="00671A8B"/>
    <w:rsid w:val="00675D1F"/>
    <w:rsid w:val="00680134"/>
    <w:rsid w:val="006819C1"/>
    <w:rsid w:val="00682849"/>
    <w:rsid w:val="006909FD"/>
    <w:rsid w:val="006A0570"/>
    <w:rsid w:val="006A1758"/>
    <w:rsid w:val="006A2598"/>
    <w:rsid w:val="006A331B"/>
    <w:rsid w:val="006A3F66"/>
    <w:rsid w:val="006A51D9"/>
    <w:rsid w:val="006A5DF9"/>
    <w:rsid w:val="006A6F0E"/>
    <w:rsid w:val="006B05E4"/>
    <w:rsid w:val="006B07D3"/>
    <w:rsid w:val="006B0AA7"/>
    <w:rsid w:val="006B33FB"/>
    <w:rsid w:val="006B3BD7"/>
    <w:rsid w:val="006C03F2"/>
    <w:rsid w:val="006C27A0"/>
    <w:rsid w:val="006C5EB4"/>
    <w:rsid w:val="006D09CD"/>
    <w:rsid w:val="006D3B7B"/>
    <w:rsid w:val="006D452C"/>
    <w:rsid w:val="006D4DAC"/>
    <w:rsid w:val="006D508E"/>
    <w:rsid w:val="006D6C87"/>
    <w:rsid w:val="006E10FB"/>
    <w:rsid w:val="006E26C7"/>
    <w:rsid w:val="006E7A93"/>
    <w:rsid w:val="006F0A22"/>
    <w:rsid w:val="006F2770"/>
    <w:rsid w:val="006F5B21"/>
    <w:rsid w:val="006F62A1"/>
    <w:rsid w:val="006F64DF"/>
    <w:rsid w:val="00701184"/>
    <w:rsid w:val="00703B14"/>
    <w:rsid w:val="0070532E"/>
    <w:rsid w:val="007132F1"/>
    <w:rsid w:val="00713843"/>
    <w:rsid w:val="00713C07"/>
    <w:rsid w:val="007153C6"/>
    <w:rsid w:val="007172A6"/>
    <w:rsid w:val="00720855"/>
    <w:rsid w:val="00722A0C"/>
    <w:rsid w:val="00725E5D"/>
    <w:rsid w:val="00726D0F"/>
    <w:rsid w:val="0072703A"/>
    <w:rsid w:val="00730E6C"/>
    <w:rsid w:val="00733408"/>
    <w:rsid w:val="00734878"/>
    <w:rsid w:val="00737388"/>
    <w:rsid w:val="007374FB"/>
    <w:rsid w:val="0074609D"/>
    <w:rsid w:val="00746397"/>
    <w:rsid w:val="007473A8"/>
    <w:rsid w:val="007473D9"/>
    <w:rsid w:val="00747551"/>
    <w:rsid w:val="00750D7F"/>
    <w:rsid w:val="00752159"/>
    <w:rsid w:val="007703C3"/>
    <w:rsid w:val="007705D3"/>
    <w:rsid w:val="00770906"/>
    <w:rsid w:val="00772A00"/>
    <w:rsid w:val="00776D22"/>
    <w:rsid w:val="00784197"/>
    <w:rsid w:val="00784585"/>
    <w:rsid w:val="00786511"/>
    <w:rsid w:val="00793157"/>
    <w:rsid w:val="007942BF"/>
    <w:rsid w:val="00794700"/>
    <w:rsid w:val="007A00BE"/>
    <w:rsid w:val="007A4C84"/>
    <w:rsid w:val="007A5B4A"/>
    <w:rsid w:val="007A634C"/>
    <w:rsid w:val="007A73E0"/>
    <w:rsid w:val="007A7A46"/>
    <w:rsid w:val="007B0D0C"/>
    <w:rsid w:val="007B6E14"/>
    <w:rsid w:val="007C07C1"/>
    <w:rsid w:val="007C18C9"/>
    <w:rsid w:val="007C727F"/>
    <w:rsid w:val="007D0EAC"/>
    <w:rsid w:val="007D3BC9"/>
    <w:rsid w:val="007E07E9"/>
    <w:rsid w:val="007E3A99"/>
    <w:rsid w:val="007E5B23"/>
    <w:rsid w:val="007E6916"/>
    <w:rsid w:val="007F0A54"/>
    <w:rsid w:val="007F1EBF"/>
    <w:rsid w:val="007F2D7A"/>
    <w:rsid w:val="007F3064"/>
    <w:rsid w:val="007F34AF"/>
    <w:rsid w:val="007F3E79"/>
    <w:rsid w:val="007F70CF"/>
    <w:rsid w:val="00800B21"/>
    <w:rsid w:val="00804E0E"/>
    <w:rsid w:val="00806635"/>
    <w:rsid w:val="00813C5F"/>
    <w:rsid w:val="00822E59"/>
    <w:rsid w:val="00827B25"/>
    <w:rsid w:val="00831E6D"/>
    <w:rsid w:val="00836EC1"/>
    <w:rsid w:val="00837FDE"/>
    <w:rsid w:val="008456E6"/>
    <w:rsid w:val="00851CE4"/>
    <w:rsid w:val="008544D2"/>
    <w:rsid w:val="0086097E"/>
    <w:rsid w:val="00860A29"/>
    <w:rsid w:val="008618F6"/>
    <w:rsid w:val="00864E4B"/>
    <w:rsid w:val="00871E47"/>
    <w:rsid w:val="00876E5F"/>
    <w:rsid w:val="008770E9"/>
    <w:rsid w:val="008772E0"/>
    <w:rsid w:val="008775DC"/>
    <w:rsid w:val="00880141"/>
    <w:rsid w:val="00880B3B"/>
    <w:rsid w:val="00894643"/>
    <w:rsid w:val="00895F95"/>
    <w:rsid w:val="008A1E23"/>
    <w:rsid w:val="008A3694"/>
    <w:rsid w:val="008A394F"/>
    <w:rsid w:val="008A6BBC"/>
    <w:rsid w:val="008A7324"/>
    <w:rsid w:val="008B2595"/>
    <w:rsid w:val="008B2917"/>
    <w:rsid w:val="008B30B3"/>
    <w:rsid w:val="008B7BD0"/>
    <w:rsid w:val="008B7E62"/>
    <w:rsid w:val="008C1319"/>
    <w:rsid w:val="008C2027"/>
    <w:rsid w:val="008C3AC7"/>
    <w:rsid w:val="008C4874"/>
    <w:rsid w:val="008D1B1C"/>
    <w:rsid w:val="008E0DBE"/>
    <w:rsid w:val="008E2288"/>
    <w:rsid w:val="008E2521"/>
    <w:rsid w:val="008F3C62"/>
    <w:rsid w:val="008F428C"/>
    <w:rsid w:val="008F4744"/>
    <w:rsid w:val="008F4D5E"/>
    <w:rsid w:val="008F74DE"/>
    <w:rsid w:val="008F774B"/>
    <w:rsid w:val="00900461"/>
    <w:rsid w:val="00900C2C"/>
    <w:rsid w:val="009010F9"/>
    <w:rsid w:val="00902032"/>
    <w:rsid w:val="00903F20"/>
    <w:rsid w:val="00911F41"/>
    <w:rsid w:val="00913D1D"/>
    <w:rsid w:val="00913ED2"/>
    <w:rsid w:val="00914B1B"/>
    <w:rsid w:val="00914DA9"/>
    <w:rsid w:val="00915069"/>
    <w:rsid w:val="00920BFB"/>
    <w:rsid w:val="009229DF"/>
    <w:rsid w:val="009328DC"/>
    <w:rsid w:val="00932ADE"/>
    <w:rsid w:val="00934CFE"/>
    <w:rsid w:val="00942D0D"/>
    <w:rsid w:val="0094420E"/>
    <w:rsid w:val="00945287"/>
    <w:rsid w:val="0095092F"/>
    <w:rsid w:val="00951BE2"/>
    <w:rsid w:val="009612B5"/>
    <w:rsid w:val="0096572F"/>
    <w:rsid w:val="00965E89"/>
    <w:rsid w:val="00966867"/>
    <w:rsid w:val="0096742E"/>
    <w:rsid w:val="00971FD7"/>
    <w:rsid w:val="0098290C"/>
    <w:rsid w:val="0099254E"/>
    <w:rsid w:val="00993247"/>
    <w:rsid w:val="009952D0"/>
    <w:rsid w:val="00996D15"/>
    <w:rsid w:val="009A01D6"/>
    <w:rsid w:val="009A192F"/>
    <w:rsid w:val="009A4ED1"/>
    <w:rsid w:val="009B4148"/>
    <w:rsid w:val="009B4345"/>
    <w:rsid w:val="009B5634"/>
    <w:rsid w:val="009B619E"/>
    <w:rsid w:val="009C047F"/>
    <w:rsid w:val="009C1F85"/>
    <w:rsid w:val="009C3688"/>
    <w:rsid w:val="009C39DC"/>
    <w:rsid w:val="009D185C"/>
    <w:rsid w:val="009D64AE"/>
    <w:rsid w:val="009E14DC"/>
    <w:rsid w:val="009E1A70"/>
    <w:rsid w:val="009E64A7"/>
    <w:rsid w:val="009E6913"/>
    <w:rsid w:val="009E730D"/>
    <w:rsid w:val="009F31A4"/>
    <w:rsid w:val="009F3DFA"/>
    <w:rsid w:val="009F5852"/>
    <w:rsid w:val="00A029B0"/>
    <w:rsid w:val="00A11B6F"/>
    <w:rsid w:val="00A178EE"/>
    <w:rsid w:val="00A22EF7"/>
    <w:rsid w:val="00A24E96"/>
    <w:rsid w:val="00A2557F"/>
    <w:rsid w:val="00A27652"/>
    <w:rsid w:val="00A34AB1"/>
    <w:rsid w:val="00A36122"/>
    <w:rsid w:val="00A414BE"/>
    <w:rsid w:val="00A43EC9"/>
    <w:rsid w:val="00A47D1F"/>
    <w:rsid w:val="00A53E3B"/>
    <w:rsid w:val="00A621CC"/>
    <w:rsid w:val="00A6435E"/>
    <w:rsid w:val="00A67905"/>
    <w:rsid w:val="00A74A99"/>
    <w:rsid w:val="00A76551"/>
    <w:rsid w:val="00A83027"/>
    <w:rsid w:val="00A84E29"/>
    <w:rsid w:val="00A857C2"/>
    <w:rsid w:val="00A91873"/>
    <w:rsid w:val="00A97524"/>
    <w:rsid w:val="00AA0D47"/>
    <w:rsid w:val="00AA15A0"/>
    <w:rsid w:val="00AA4FC4"/>
    <w:rsid w:val="00AA5041"/>
    <w:rsid w:val="00AA6DF7"/>
    <w:rsid w:val="00AA77AC"/>
    <w:rsid w:val="00AA7B48"/>
    <w:rsid w:val="00AA7B86"/>
    <w:rsid w:val="00AB010D"/>
    <w:rsid w:val="00AB20C4"/>
    <w:rsid w:val="00AB3034"/>
    <w:rsid w:val="00AB5DD5"/>
    <w:rsid w:val="00AC1437"/>
    <w:rsid w:val="00AC4C1D"/>
    <w:rsid w:val="00AC5F6A"/>
    <w:rsid w:val="00AC704E"/>
    <w:rsid w:val="00AC7335"/>
    <w:rsid w:val="00AC7338"/>
    <w:rsid w:val="00AC7A5D"/>
    <w:rsid w:val="00AD1B8D"/>
    <w:rsid w:val="00AD423F"/>
    <w:rsid w:val="00AD5C48"/>
    <w:rsid w:val="00AE14C2"/>
    <w:rsid w:val="00AE59F7"/>
    <w:rsid w:val="00AF1E9D"/>
    <w:rsid w:val="00AF24DA"/>
    <w:rsid w:val="00AF258B"/>
    <w:rsid w:val="00AF4529"/>
    <w:rsid w:val="00AF5592"/>
    <w:rsid w:val="00B00865"/>
    <w:rsid w:val="00B00C98"/>
    <w:rsid w:val="00B032B7"/>
    <w:rsid w:val="00B039E8"/>
    <w:rsid w:val="00B05EB6"/>
    <w:rsid w:val="00B11453"/>
    <w:rsid w:val="00B22A25"/>
    <w:rsid w:val="00B31782"/>
    <w:rsid w:val="00B31AAA"/>
    <w:rsid w:val="00B35DFD"/>
    <w:rsid w:val="00B4442A"/>
    <w:rsid w:val="00B46AAD"/>
    <w:rsid w:val="00B514CF"/>
    <w:rsid w:val="00B51F6E"/>
    <w:rsid w:val="00B529EE"/>
    <w:rsid w:val="00B558AF"/>
    <w:rsid w:val="00B55CAF"/>
    <w:rsid w:val="00B63247"/>
    <w:rsid w:val="00B6342E"/>
    <w:rsid w:val="00B73ADC"/>
    <w:rsid w:val="00B76073"/>
    <w:rsid w:val="00B76C7B"/>
    <w:rsid w:val="00B80459"/>
    <w:rsid w:val="00B80ADF"/>
    <w:rsid w:val="00B80CD1"/>
    <w:rsid w:val="00B8236C"/>
    <w:rsid w:val="00B83D1C"/>
    <w:rsid w:val="00B91EA9"/>
    <w:rsid w:val="00B92DB0"/>
    <w:rsid w:val="00B954D1"/>
    <w:rsid w:val="00B96423"/>
    <w:rsid w:val="00B96F18"/>
    <w:rsid w:val="00B979AD"/>
    <w:rsid w:val="00BA019C"/>
    <w:rsid w:val="00BA0BE5"/>
    <w:rsid w:val="00BA253B"/>
    <w:rsid w:val="00BA6342"/>
    <w:rsid w:val="00BA6854"/>
    <w:rsid w:val="00BA6CA9"/>
    <w:rsid w:val="00BB0871"/>
    <w:rsid w:val="00BB2D1D"/>
    <w:rsid w:val="00BB5931"/>
    <w:rsid w:val="00BC6A2A"/>
    <w:rsid w:val="00BD259B"/>
    <w:rsid w:val="00BD2FE2"/>
    <w:rsid w:val="00BD35ED"/>
    <w:rsid w:val="00BE30C3"/>
    <w:rsid w:val="00BE50BB"/>
    <w:rsid w:val="00BE7BAA"/>
    <w:rsid w:val="00BF33C0"/>
    <w:rsid w:val="00BF6DA1"/>
    <w:rsid w:val="00C02676"/>
    <w:rsid w:val="00C1188E"/>
    <w:rsid w:val="00C11969"/>
    <w:rsid w:val="00C12E87"/>
    <w:rsid w:val="00C13E3E"/>
    <w:rsid w:val="00C206CC"/>
    <w:rsid w:val="00C26516"/>
    <w:rsid w:val="00C26F7E"/>
    <w:rsid w:val="00C31E0E"/>
    <w:rsid w:val="00C33330"/>
    <w:rsid w:val="00C34AEE"/>
    <w:rsid w:val="00C375CE"/>
    <w:rsid w:val="00C43598"/>
    <w:rsid w:val="00C46AF6"/>
    <w:rsid w:val="00C47A83"/>
    <w:rsid w:val="00C51FF2"/>
    <w:rsid w:val="00C520AA"/>
    <w:rsid w:val="00C529CA"/>
    <w:rsid w:val="00C52A85"/>
    <w:rsid w:val="00C64878"/>
    <w:rsid w:val="00C67039"/>
    <w:rsid w:val="00C709F4"/>
    <w:rsid w:val="00C71FA8"/>
    <w:rsid w:val="00C72AA9"/>
    <w:rsid w:val="00C75201"/>
    <w:rsid w:val="00C758E7"/>
    <w:rsid w:val="00C77DF8"/>
    <w:rsid w:val="00C80423"/>
    <w:rsid w:val="00C81BA8"/>
    <w:rsid w:val="00C86F05"/>
    <w:rsid w:val="00C90FB9"/>
    <w:rsid w:val="00C9261C"/>
    <w:rsid w:val="00CA5AAA"/>
    <w:rsid w:val="00CA75DF"/>
    <w:rsid w:val="00CB3CF1"/>
    <w:rsid w:val="00CB5A7D"/>
    <w:rsid w:val="00CC3D9E"/>
    <w:rsid w:val="00CC5E71"/>
    <w:rsid w:val="00CD291B"/>
    <w:rsid w:val="00CD6389"/>
    <w:rsid w:val="00CE0093"/>
    <w:rsid w:val="00CE09EE"/>
    <w:rsid w:val="00CE11FC"/>
    <w:rsid w:val="00CE4493"/>
    <w:rsid w:val="00CE58AC"/>
    <w:rsid w:val="00CE59DE"/>
    <w:rsid w:val="00CE716C"/>
    <w:rsid w:val="00CE78E3"/>
    <w:rsid w:val="00CF05E2"/>
    <w:rsid w:val="00CF0A8C"/>
    <w:rsid w:val="00CF0EFD"/>
    <w:rsid w:val="00CF3031"/>
    <w:rsid w:val="00CF62D5"/>
    <w:rsid w:val="00D00AB0"/>
    <w:rsid w:val="00D02334"/>
    <w:rsid w:val="00D02C31"/>
    <w:rsid w:val="00D0324E"/>
    <w:rsid w:val="00D03B7B"/>
    <w:rsid w:val="00D03D5C"/>
    <w:rsid w:val="00D2069D"/>
    <w:rsid w:val="00D21FF8"/>
    <w:rsid w:val="00D249B1"/>
    <w:rsid w:val="00D271C4"/>
    <w:rsid w:val="00D2772E"/>
    <w:rsid w:val="00D303CA"/>
    <w:rsid w:val="00D31BA4"/>
    <w:rsid w:val="00D32165"/>
    <w:rsid w:val="00D32CC4"/>
    <w:rsid w:val="00D33AF4"/>
    <w:rsid w:val="00D356B4"/>
    <w:rsid w:val="00D510A1"/>
    <w:rsid w:val="00D5114F"/>
    <w:rsid w:val="00D51210"/>
    <w:rsid w:val="00D51C5A"/>
    <w:rsid w:val="00D53F28"/>
    <w:rsid w:val="00D570ED"/>
    <w:rsid w:val="00D57F20"/>
    <w:rsid w:val="00D60E5E"/>
    <w:rsid w:val="00D66E4D"/>
    <w:rsid w:val="00D67E95"/>
    <w:rsid w:val="00D70529"/>
    <w:rsid w:val="00D70A3B"/>
    <w:rsid w:val="00D777C4"/>
    <w:rsid w:val="00D77908"/>
    <w:rsid w:val="00D81D6C"/>
    <w:rsid w:val="00D86107"/>
    <w:rsid w:val="00D87E7D"/>
    <w:rsid w:val="00D91137"/>
    <w:rsid w:val="00D923DA"/>
    <w:rsid w:val="00D9274A"/>
    <w:rsid w:val="00D935F3"/>
    <w:rsid w:val="00D93732"/>
    <w:rsid w:val="00D960A9"/>
    <w:rsid w:val="00DA784B"/>
    <w:rsid w:val="00DB3EB6"/>
    <w:rsid w:val="00DB6657"/>
    <w:rsid w:val="00DB67BC"/>
    <w:rsid w:val="00DC65EB"/>
    <w:rsid w:val="00DC75F2"/>
    <w:rsid w:val="00DC7D05"/>
    <w:rsid w:val="00DD0FA6"/>
    <w:rsid w:val="00DD4D00"/>
    <w:rsid w:val="00DD5559"/>
    <w:rsid w:val="00DD618D"/>
    <w:rsid w:val="00DD7B03"/>
    <w:rsid w:val="00DE2DF5"/>
    <w:rsid w:val="00DE66B6"/>
    <w:rsid w:val="00DF62C6"/>
    <w:rsid w:val="00DF7611"/>
    <w:rsid w:val="00E02C3F"/>
    <w:rsid w:val="00E036CC"/>
    <w:rsid w:val="00E10E01"/>
    <w:rsid w:val="00E10F45"/>
    <w:rsid w:val="00E12F9B"/>
    <w:rsid w:val="00E31013"/>
    <w:rsid w:val="00E321D5"/>
    <w:rsid w:val="00E33238"/>
    <w:rsid w:val="00E344D4"/>
    <w:rsid w:val="00E415CF"/>
    <w:rsid w:val="00E434B5"/>
    <w:rsid w:val="00E441E9"/>
    <w:rsid w:val="00E475D2"/>
    <w:rsid w:val="00E50074"/>
    <w:rsid w:val="00E55456"/>
    <w:rsid w:val="00E57A6B"/>
    <w:rsid w:val="00E61E11"/>
    <w:rsid w:val="00E62655"/>
    <w:rsid w:val="00E63272"/>
    <w:rsid w:val="00E67988"/>
    <w:rsid w:val="00E85A8F"/>
    <w:rsid w:val="00E92FF6"/>
    <w:rsid w:val="00EA2657"/>
    <w:rsid w:val="00EA7161"/>
    <w:rsid w:val="00EB02F3"/>
    <w:rsid w:val="00EB154A"/>
    <w:rsid w:val="00EB7902"/>
    <w:rsid w:val="00ED10DA"/>
    <w:rsid w:val="00ED24ED"/>
    <w:rsid w:val="00ED4EED"/>
    <w:rsid w:val="00ED65D3"/>
    <w:rsid w:val="00EE0C6D"/>
    <w:rsid w:val="00EE58F8"/>
    <w:rsid w:val="00EE78FE"/>
    <w:rsid w:val="00EE7DEC"/>
    <w:rsid w:val="00EF0F48"/>
    <w:rsid w:val="00EF2188"/>
    <w:rsid w:val="00EF46F8"/>
    <w:rsid w:val="00EF6A9E"/>
    <w:rsid w:val="00F05313"/>
    <w:rsid w:val="00F07628"/>
    <w:rsid w:val="00F151CD"/>
    <w:rsid w:val="00F20002"/>
    <w:rsid w:val="00F20CF3"/>
    <w:rsid w:val="00F306BE"/>
    <w:rsid w:val="00F31FAD"/>
    <w:rsid w:val="00F350A6"/>
    <w:rsid w:val="00F443D5"/>
    <w:rsid w:val="00F5251D"/>
    <w:rsid w:val="00F546F0"/>
    <w:rsid w:val="00F54D35"/>
    <w:rsid w:val="00F55814"/>
    <w:rsid w:val="00F55B3C"/>
    <w:rsid w:val="00F61082"/>
    <w:rsid w:val="00F671BF"/>
    <w:rsid w:val="00F70285"/>
    <w:rsid w:val="00F71461"/>
    <w:rsid w:val="00F72AC8"/>
    <w:rsid w:val="00F73C57"/>
    <w:rsid w:val="00F74762"/>
    <w:rsid w:val="00F74E28"/>
    <w:rsid w:val="00F76102"/>
    <w:rsid w:val="00F763B3"/>
    <w:rsid w:val="00F80211"/>
    <w:rsid w:val="00F910E7"/>
    <w:rsid w:val="00F91D4D"/>
    <w:rsid w:val="00F93D05"/>
    <w:rsid w:val="00F942CB"/>
    <w:rsid w:val="00FA0941"/>
    <w:rsid w:val="00FA5241"/>
    <w:rsid w:val="00FC53BB"/>
    <w:rsid w:val="00FC590D"/>
    <w:rsid w:val="00FC6980"/>
    <w:rsid w:val="00FC6FEE"/>
    <w:rsid w:val="00FD232F"/>
    <w:rsid w:val="00FD300A"/>
    <w:rsid w:val="00FD5A2F"/>
    <w:rsid w:val="00FD6259"/>
    <w:rsid w:val="00FD6D58"/>
    <w:rsid w:val="00FF3C35"/>
    <w:rsid w:val="00FF7A6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047406"/>
  <w15:docId w15:val="{2845BC1D-02E8-4F0C-858A-BD46E812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44D2"/>
    <w:pPr>
      <w:spacing w:line="360" w:lineRule="auto"/>
      <w:jc w:val="center"/>
    </w:pPr>
    <w:rPr>
      <w:rFonts w:ascii="Arial" w:hAnsi="Arial"/>
      <w:sz w:val="22"/>
      <w:lang w:eastAsia="de-DE"/>
    </w:rPr>
  </w:style>
  <w:style w:type="paragraph" w:styleId="berschrift1">
    <w:name w:val="heading 1"/>
    <w:aliases w:val="Überschrift 1 Leitlinien"/>
    <w:basedOn w:val="Standard"/>
    <w:next w:val="Standard"/>
    <w:qFormat/>
    <w:rsid w:val="007F3064"/>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line="240" w:lineRule="auto"/>
      <w:jc w:val="left"/>
      <w:outlineLvl w:val="0"/>
    </w:pPr>
    <w:rPr>
      <w:rFonts w:asciiTheme="minorHAnsi" w:hAnsiTheme="minorHAnsi" w:cs="Arial"/>
      <w:b/>
      <w:bCs/>
      <w:kern w:val="32"/>
      <w:szCs w:val="32"/>
    </w:rPr>
  </w:style>
  <w:style w:type="paragraph" w:styleId="berschrift2">
    <w:name w:val="heading 2"/>
    <w:basedOn w:val="Standard"/>
    <w:next w:val="Standard"/>
    <w:qFormat/>
    <w:rsid w:val="00CE0093"/>
    <w:pPr>
      <w:keepNext/>
      <w:spacing w:before="240" w:after="60"/>
      <w:ind w:left="576" w:hanging="576"/>
      <w:jc w:val="both"/>
      <w:outlineLvl w:val="1"/>
    </w:pPr>
    <w:rPr>
      <w:rFonts w:cs="Arial"/>
      <w:b/>
      <w:bCs/>
      <w:i/>
      <w:iCs/>
      <w:sz w:val="24"/>
      <w:szCs w:val="24"/>
    </w:rPr>
  </w:style>
  <w:style w:type="paragraph" w:styleId="berschrift3">
    <w:name w:val="heading 3"/>
    <w:basedOn w:val="Standard"/>
    <w:next w:val="Standard"/>
    <w:qFormat/>
    <w:rsid w:val="00BB2D1D"/>
    <w:pPr>
      <w:keepNext/>
      <w:numPr>
        <w:ilvl w:val="2"/>
        <w:numId w:val="2"/>
      </w:numPr>
      <w:jc w:val="left"/>
      <w:outlineLvl w:val="2"/>
    </w:pPr>
    <w:rPr>
      <w:b/>
      <w:bCs/>
    </w:rPr>
  </w:style>
  <w:style w:type="paragraph" w:styleId="berschrift4">
    <w:name w:val="heading 4"/>
    <w:basedOn w:val="Standard"/>
    <w:next w:val="Standard"/>
    <w:qFormat/>
    <w:rsid w:val="003C182E"/>
    <w:pPr>
      <w:keepNext/>
      <w:numPr>
        <w:ilvl w:val="3"/>
        <w:numId w:val="2"/>
      </w:numPr>
      <w:ind w:right="-142"/>
      <w:jc w:val="left"/>
      <w:outlineLvl w:val="3"/>
    </w:pPr>
    <w:rPr>
      <w:b/>
      <w:bCs/>
    </w:rPr>
  </w:style>
  <w:style w:type="paragraph" w:styleId="berschrift5">
    <w:name w:val="heading 5"/>
    <w:basedOn w:val="Standard"/>
    <w:next w:val="Standard"/>
    <w:qFormat/>
    <w:rsid w:val="003C182E"/>
    <w:pPr>
      <w:keepNext/>
      <w:numPr>
        <w:ilvl w:val="4"/>
        <w:numId w:val="2"/>
      </w:numPr>
      <w:tabs>
        <w:tab w:val="left" w:pos="2338"/>
        <w:tab w:val="left" w:pos="6449"/>
        <w:tab w:val="left" w:pos="9284"/>
      </w:tabs>
      <w:jc w:val="left"/>
      <w:outlineLvl w:val="4"/>
    </w:pPr>
    <w:rPr>
      <w:b/>
      <w:bCs/>
      <w:noProof/>
      <w:sz w:val="26"/>
    </w:rPr>
  </w:style>
  <w:style w:type="paragraph" w:styleId="berschrift6">
    <w:name w:val="heading 6"/>
    <w:basedOn w:val="Standard"/>
    <w:next w:val="Standard"/>
    <w:qFormat/>
    <w:rsid w:val="009952D0"/>
    <w:pPr>
      <w:numPr>
        <w:ilvl w:val="5"/>
        <w:numId w:val="2"/>
      </w:numPr>
      <w:spacing w:before="240" w:after="60"/>
      <w:outlineLvl w:val="5"/>
    </w:pPr>
    <w:rPr>
      <w:rFonts w:ascii="Times New Roman" w:hAnsi="Times New Roman"/>
      <w:b/>
      <w:bCs/>
      <w:szCs w:val="22"/>
    </w:rPr>
  </w:style>
  <w:style w:type="paragraph" w:styleId="berschrift7">
    <w:name w:val="heading 7"/>
    <w:basedOn w:val="Standard"/>
    <w:next w:val="Standard"/>
    <w:qFormat/>
    <w:rsid w:val="009952D0"/>
    <w:pPr>
      <w:numPr>
        <w:ilvl w:val="6"/>
        <w:numId w:val="2"/>
      </w:numPr>
      <w:spacing w:before="240" w:after="60"/>
      <w:outlineLvl w:val="6"/>
    </w:pPr>
    <w:rPr>
      <w:rFonts w:ascii="Times New Roman" w:hAnsi="Times New Roman"/>
      <w:sz w:val="24"/>
      <w:szCs w:val="24"/>
    </w:rPr>
  </w:style>
  <w:style w:type="paragraph" w:styleId="berschrift8">
    <w:name w:val="heading 8"/>
    <w:basedOn w:val="Standard"/>
    <w:next w:val="Standard"/>
    <w:qFormat/>
    <w:rsid w:val="009952D0"/>
    <w:pPr>
      <w:numPr>
        <w:ilvl w:val="7"/>
        <w:numId w:val="2"/>
      </w:numPr>
      <w:spacing w:before="240" w:after="60"/>
      <w:outlineLvl w:val="7"/>
    </w:pPr>
    <w:rPr>
      <w:rFonts w:ascii="Times New Roman" w:hAnsi="Times New Roman"/>
      <w:i/>
      <w:iCs/>
      <w:sz w:val="24"/>
      <w:szCs w:val="24"/>
    </w:rPr>
  </w:style>
  <w:style w:type="paragraph" w:styleId="berschrift9">
    <w:name w:val="heading 9"/>
    <w:aliases w:val="Überschrift Leitlinie"/>
    <w:basedOn w:val="Standard"/>
    <w:next w:val="Standard"/>
    <w:qFormat/>
    <w:rsid w:val="00ED24ED"/>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spacing w:before="240" w:after="60"/>
      <w:jc w:val="left"/>
      <w:outlineLvl w:val="8"/>
    </w:pPr>
    <w:rPr>
      <w:rFonts w:asciiTheme="minorHAnsi" w:hAnsiTheme="minorHAnsi"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C182E"/>
    <w:pPr>
      <w:tabs>
        <w:tab w:val="center" w:pos="4536"/>
        <w:tab w:val="right" w:pos="9072"/>
      </w:tabs>
    </w:pPr>
  </w:style>
  <w:style w:type="character" w:styleId="Seitenzahl">
    <w:name w:val="page number"/>
    <w:basedOn w:val="Absatz-Standardschriftart"/>
    <w:rsid w:val="003C182E"/>
  </w:style>
  <w:style w:type="paragraph" w:styleId="Fuzeile">
    <w:name w:val="footer"/>
    <w:basedOn w:val="Standard"/>
    <w:rsid w:val="003C182E"/>
    <w:pPr>
      <w:tabs>
        <w:tab w:val="center" w:pos="4536"/>
        <w:tab w:val="right" w:pos="9072"/>
      </w:tabs>
    </w:pPr>
  </w:style>
  <w:style w:type="table" w:styleId="Tabellenraster">
    <w:name w:val="Table Grid"/>
    <w:basedOn w:val="NormaleTabelle"/>
    <w:rsid w:val="003C1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F74E28"/>
    <w:pPr>
      <w:widowControl w:val="0"/>
      <w:spacing w:before="100" w:after="100"/>
      <w:ind w:left="2410" w:hanging="2410"/>
      <w:jc w:val="both"/>
    </w:pPr>
    <w:rPr>
      <w:bCs/>
      <w:sz w:val="26"/>
      <w:lang w:val="de-DE"/>
    </w:rPr>
  </w:style>
  <w:style w:type="paragraph" w:customStyle="1" w:styleId="Formatvorlageberschrift212pt">
    <w:name w:val="Formatvorlage Überschrift 2 + 12 pt"/>
    <w:basedOn w:val="Standard"/>
    <w:rsid w:val="00BB2D1D"/>
    <w:pPr>
      <w:numPr>
        <w:ilvl w:val="1"/>
        <w:numId w:val="1"/>
      </w:numPr>
    </w:pPr>
  </w:style>
  <w:style w:type="paragraph" w:styleId="Textkrper-Einzug2">
    <w:name w:val="Body Text Indent 2"/>
    <w:basedOn w:val="Standard"/>
    <w:link w:val="Textkrper-Einzug2Zchn"/>
    <w:rsid w:val="00F74E28"/>
    <w:pPr>
      <w:spacing w:after="120" w:line="480" w:lineRule="auto"/>
      <w:ind w:left="283"/>
    </w:pPr>
  </w:style>
  <w:style w:type="paragraph" w:styleId="Titel">
    <w:name w:val="Title"/>
    <w:basedOn w:val="Standard"/>
    <w:qFormat/>
    <w:rsid w:val="008A7324"/>
    <w:pPr>
      <w:overflowPunct w:val="0"/>
      <w:autoSpaceDE w:val="0"/>
      <w:autoSpaceDN w:val="0"/>
      <w:adjustRightInd w:val="0"/>
      <w:spacing w:line="240" w:lineRule="auto"/>
      <w:textAlignment w:val="baseline"/>
    </w:pPr>
    <w:rPr>
      <w:sz w:val="36"/>
      <w:lang w:val="de-DE"/>
    </w:rPr>
  </w:style>
  <w:style w:type="paragraph" w:styleId="Sprechblasentext">
    <w:name w:val="Balloon Text"/>
    <w:basedOn w:val="Standard"/>
    <w:link w:val="SprechblasentextZchn"/>
    <w:rsid w:val="00784585"/>
    <w:pPr>
      <w:spacing w:line="240" w:lineRule="auto"/>
    </w:pPr>
    <w:rPr>
      <w:rFonts w:ascii="Tahoma" w:hAnsi="Tahoma" w:cs="Tahoma"/>
      <w:sz w:val="16"/>
      <w:szCs w:val="16"/>
    </w:rPr>
  </w:style>
  <w:style w:type="character" w:customStyle="1" w:styleId="SprechblasentextZchn">
    <w:name w:val="Sprechblasentext Zchn"/>
    <w:link w:val="Sprechblasentext"/>
    <w:rsid w:val="00784585"/>
    <w:rPr>
      <w:rFonts w:ascii="Tahoma" w:hAnsi="Tahoma" w:cs="Tahoma"/>
      <w:sz w:val="16"/>
      <w:szCs w:val="16"/>
      <w:lang w:eastAsia="de-DE"/>
    </w:rPr>
  </w:style>
  <w:style w:type="character" w:styleId="Hyperlink">
    <w:name w:val="Hyperlink"/>
    <w:basedOn w:val="Absatz-Standardschriftart"/>
    <w:uiPriority w:val="99"/>
    <w:rsid w:val="00F54D35"/>
    <w:rPr>
      <w:color w:val="0000FF" w:themeColor="hyperlink"/>
      <w:u w:val="single"/>
    </w:rPr>
  </w:style>
  <w:style w:type="character" w:styleId="BesuchterLink">
    <w:name w:val="FollowedHyperlink"/>
    <w:basedOn w:val="Absatz-Standardschriftart"/>
    <w:rsid w:val="00F54D35"/>
    <w:rPr>
      <w:color w:val="800080" w:themeColor="followedHyperlink"/>
      <w:u w:val="single"/>
    </w:rPr>
  </w:style>
  <w:style w:type="character" w:customStyle="1" w:styleId="txtcontentsmall">
    <w:name w:val="txt_content_small"/>
    <w:basedOn w:val="Absatz-Standardschriftart"/>
    <w:rsid w:val="005163F4"/>
  </w:style>
  <w:style w:type="character" w:customStyle="1" w:styleId="Textkrper-Einzug2Zchn">
    <w:name w:val="Textkörper-Einzug 2 Zchn"/>
    <w:basedOn w:val="Absatz-Standardschriftart"/>
    <w:link w:val="Textkrper-Einzug2"/>
    <w:rsid w:val="005C5568"/>
    <w:rPr>
      <w:rFonts w:ascii="Arial" w:hAnsi="Arial"/>
      <w:sz w:val="22"/>
      <w:lang w:eastAsia="de-DE"/>
    </w:rPr>
  </w:style>
  <w:style w:type="table" w:customStyle="1" w:styleId="Tabellenraster1">
    <w:name w:val="Tabellenraster1"/>
    <w:basedOn w:val="NormaleTabelle"/>
    <w:next w:val="Tabellenraster"/>
    <w:rsid w:val="002E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07A0D"/>
    <w:rPr>
      <w:color w:val="808080"/>
    </w:rPr>
  </w:style>
  <w:style w:type="paragraph" w:styleId="Inhaltsverzeichnisberschrift">
    <w:name w:val="TOC Heading"/>
    <w:basedOn w:val="berschrift1"/>
    <w:next w:val="Standard"/>
    <w:uiPriority w:val="39"/>
    <w:unhideWhenUsed/>
    <w:qFormat/>
    <w:rsid w:val="00ED24ED"/>
    <w:pPr>
      <w:keepLines/>
      <w:pBdr>
        <w:top w:val="none" w:sz="0" w:space="0" w:color="auto"/>
        <w:left w:val="none" w:sz="0" w:space="0" w:color="auto"/>
        <w:bottom w:val="none" w:sz="0" w:space="0" w:color="auto"/>
        <w:right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Cs w:val="28"/>
      <w:lang w:eastAsia="de-AT"/>
    </w:rPr>
  </w:style>
  <w:style w:type="paragraph" w:styleId="Verzeichnis9">
    <w:name w:val="toc 9"/>
    <w:basedOn w:val="Standard"/>
    <w:next w:val="Standard"/>
    <w:autoRedefine/>
    <w:uiPriority w:val="39"/>
    <w:rsid w:val="007F3064"/>
    <w:pPr>
      <w:spacing w:after="100"/>
      <w:ind w:left="1760"/>
    </w:pPr>
  </w:style>
  <w:style w:type="paragraph" w:styleId="Verzeichnis1">
    <w:name w:val="toc 1"/>
    <w:basedOn w:val="Standard"/>
    <w:next w:val="Standard"/>
    <w:autoRedefine/>
    <w:uiPriority w:val="39"/>
    <w:qFormat/>
    <w:rsid w:val="00AA4FC4"/>
    <w:pPr>
      <w:tabs>
        <w:tab w:val="left" w:pos="440"/>
        <w:tab w:val="right" w:leader="dot" w:pos="9372"/>
      </w:tabs>
      <w:spacing w:line="240" w:lineRule="auto"/>
    </w:pPr>
  </w:style>
  <w:style w:type="paragraph" w:styleId="Listenabsatz">
    <w:name w:val="List Paragraph"/>
    <w:basedOn w:val="Standard"/>
    <w:uiPriority w:val="34"/>
    <w:qFormat/>
    <w:rsid w:val="00913D1D"/>
    <w:pPr>
      <w:ind w:left="720"/>
      <w:contextualSpacing/>
    </w:pPr>
  </w:style>
  <w:style w:type="paragraph" w:styleId="Verzeichnis2">
    <w:name w:val="toc 2"/>
    <w:basedOn w:val="Standard"/>
    <w:next w:val="Standard"/>
    <w:autoRedefine/>
    <w:uiPriority w:val="39"/>
    <w:qFormat/>
    <w:rsid w:val="006F5B21"/>
    <w:pPr>
      <w:tabs>
        <w:tab w:val="right" w:leader="dot" w:pos="9372"/>
      </w:tabs>
      <w:spacing w:after="100" w:line="276" w:lineRule="auto"/>
      <w:ind w:left="220"/>
    </w:pPr>
  </w:style>
  <w:style w:type="paragraph" w:styleId="Verzeichnis3">
    <w:name w:val="toc 3"/>
    <w:basedOn w:val="Standard"/>
    <w:next w:val="Standard"/>
    <w:autoRedefine/>
    <w:uiPriority w:val="39"/>
    <w:qFormat/>
    <w:rsid w:val="00D777C4"/>
    <w:pPr>
      <w:spacing w:after="100"/>
      <w:ind w:left="440"/>
    </w:pPr>
  </w:style>
  <w:style w:type="paragraph" w:styleId="StandardWeb">
    <w:name w:val="Normal (Web)"/>
    <w:basedOn w:val="Standard"/>
    <w:uiPriority w:val="99"/>
    <w:unhideWhenUsed/>
    <w:rsid w:val="00CE0093"/>
    <w:pPr>
      <w:spacing w:before="100" w:beforeAutospacing="1" w:after="100" w:afterAutospacing="1" w:line="240" w:lineRule="auto"/>
      <w:jc w:val="left"/>
    </w:pPr>
    <w:rPr>
      <w:rFonts w:ascii="Times New Roman" w:eastAsiaTheme="minorEastAsia" w:hAnsi="Times New Roman"/>
      <w:sz w:val="24"/>
      <w:szCs w:val="24"/>
      <w:lang w:eastAsia="de-AT"/>
    </w:rPr>
  </w:style>
  <w:style w:type="table" w:styleId="TabelleAktuell">
    <w:name w:val="Table Contemporary"/>
    <w:basedOn w:val="NormaleTabelle"/>
    <w:rsid w:val="006A51D9"/>
    <w:pPr>
      <w:spacing w:line="36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Fett">
    <w:name w:val="Strong"/>
    <w:basedOn w:val="Absatz-Standardschriftart"/>
    <w:uiPriority w:val="22"/>
    <w:qFormat/>
    <w:rsid w:val="00591BA1"/>
    <w:rPr>
      <w:b/>
      <w:bCs/>
    </w:rPr>
  </w:style>
  <w:style w:type="character" w:customStyle="1" w:styleId="c4">
    <w:name w:val="c4"/>
    <w:basedOn w:val="Absatz-Standardschriftart"/>
    <w:rsid w:val="009D64AE"/>
  </w:style>
  <w:style w:type="character" w:customStyle="1" w:styleId="ja50-ce-author">
    <w:name w:val="ja50-ce-author"/>
    <w:basedOn w:val="Absatz-Standardschriftart"/>
    <w:rsid w:val="00D86107"/>
  </w:style>
  <w:style w:type="character" w:customStyle="1" w:styleId="ja50-ce-sup">
    <w:name w:val="ja50-ce-sup"/>
    <w:basedOn w:val="Absatz-Standardschriftart"/>
    <w:rsid w:val="00D86107"/>
  </w:style>
  <w:style w:type="character" w:styleId="Kommentarzeichen">
    <w:name w:val="annotation reference"/>
    <w:basedOn w:val="Absatz-Standardschriftart"/>
    <w:semiHidden/>
    <w:unhideWhenUsed/>
    <w:rsid w:val="00D87E7D"/>
    <w:rPr>
      <w:sz w:val="16"/>
      <w:szCs w:val="16"/>
    </w:rPr>
  </w:style>
  <w:style w:type="paragraph" w:styleId="Kommentartext">
    <w:name w:val="annotation text"/>
    <w:basedOn w:val="Standard"/>
    <w:link w:val="KommentartextZchn"/>
    <w:unhideWhenUsed/>
    <w:rsid w:val="00D87E7D"/>
    <w:pPr>
      <w:spacing w:line="240" w:lineRule="auto"/>
    </w:pPr>
    <w:rPr>
      <w:sz w:val="20"/>
    </w:rPr>
  </w:style>
  <w:style w:type="character" w:customStyle="1" w:styleId="KommentartextZchn">
    <w:name w:val="Kommentartext Zchn"/>
    <w:basedOn w:val="Absatz-Standardschriftart"/>
    <w:link w:val="Kommentartext"/>
    <w:rsid w:val="00D87E7D"/>
    <w:rPr>
      <w:rFonts w:ascii="Arial" w:hAnsi="Arial"/>
      <w:lang w:eastAsia="de-DE"/>
    </w:rPr>
  </w:style>
  <w:style w:type="paragraph" w:styleId="Kommentarthema">
    <w:name w:val="annotation subject"/>
    <w:basedOn w:val="Kommentartext"/>
    <w:next w:val="Kommentartext"/>
    <w:link w:val="KommentarthemaZchn"/>
    <w:semiHidden/>
    <w:unhideWhenUsed/>
    <w:rsid w:val="00D87E7D"/>
    <w:rPr>
      <w:b/>
      <w:bCs/>
    </w:rPr>
  </w:style>
  <w:style w:type="character" w:customStyle="1" w:styleId="KommentarthemaZchn">
    <w:name w:val="Kommentarthema Zchn"/>
    <w:basedOn w:val="KommentartextZchn"/>
    <w:link w:val="Kommentarthema"/>
    <w:semiHidden/>
    <w:rsid w:val="00D87E7D"/>
    <w:rPr>
      <w:rFonts w:ascii="Arial" w:hAnsi="Arial"/>
      <w:b/>
      <w:bCs/>
      <w:lang w:eastAsia="de-DE"/>
    </w:rPr>
  </w:style>
  <w:style w:type="character" w:customStyle="1" w:styleId="highlight">
    <w:name w:val="highlight"/>
    <w:basedOn w:val="Absatz-Standardschriftart"/>
    <w:rsid w:val="006E10FB"/>
  </w:style>
  <w:style w:type="paragraph" w:customStyle="1" w:styleId="bulletindent1">
    <w:name w:val="bulletindent1"/>
    <w:basedOn w:val="Standard"/>
    <w:rsid w:val="007B0D0C"/>
    <w:pPr>
      <w:spacing w:before="100" w:beforeAutospacing="1" w:after="100" w:afterAutospacing="1" w:line="240" w:lineRule="auto"/>
      <w:jc w:val="left"/>
    </w:pPr>
    <w:rPr>
      <w:rFonts w:ascii="Times New Roman" w:hAnsi="Times New Roman"/>
      <w:sz w:val="24"/>
      <w:szCs w:val="24"/>
      <w:lang w:eastAsia="de-AT"/>
    </w:rPr>
  </w:style>
  <w:style w:type="character" w:customStyle="1" w:styleId="glyph">
    <w:name w:val="glyph"/>
    <w:basedOn w:val="Absatz-Standardschriftart"/>
    <w:rsid w:val="007B0D0C"/>
  </w:style>
  <w:style w:type="character" w:customStyle="1" w:styleId="nowrap">
    <w:name w:val="nowrap"/>
    <w:basedOn w:val="Absatz-Standardschriftart"/>
    <w:rsid w:val="007B0D0C"/>
  </w:style>
  <w:style w:type="character" w:customStyle="1" w:styleId="highwire-cite-metadata-volume-pages">
    <w:name w:val="highwire-cite-metadata-volume-pages"/>
    <w:basedOn w:val="Absatz-Standardschriftart"/>
    <w:rsid w:val="00D00AB0"/>
  </w:style>
  <w:style w:type="character" w:styleId="Hervorhebung">
    <w:name w:val="Emphasis"/>
    <w:basedOn w:val="Absatz-Standardschriftart"/>
    <w:uiPriority w:val="20"/>
    <w:qFormat/>
    <w:rsid w:val="00CF0A8C"/>
    <w:rPr>
      <w:i/>
      <w:iCs/>
    </w:rPr>
  </w:style>
  <w:style w:type="character" w:customStyle="1" w:styleId="KopfzeileZchn">
    <w:name w:val="Kopfzeile Zchn"/>
    <w:basedOn w:val="Absatz-Standardschriftart"/>
    <w:link w:val="Kopfzeile"/>
    <w:rsid w:val="00DC75F2"/>
    <w:rPr>
      <w:rFonts w:ascii="Arial" w:hAnsi="Arial"/>
      <w:sz w:val="22"/>
      <w:lang w:eastAsia="de-DE"/>
    </w:rPr>
  </w:style>
  <w:style w:type="character" w:styleId="Buchtitel">
    <w:name w:val="Book Title"/>
    <w:uiPriority w:val="33"/>
    <w:qFormat/>
    <w:rsid w:val="00DC75F2"/>
    <w:rPr>
      <w:rFonts w:asciiTheme="minorHAnsi" w:hAnsiTheme="minorHAnsi"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2551">
      <w:bodyDiv w:val="1"/>
      <w:marLeft w:val="0"/>
      <w:marRight w:val="0"/>
      <w:marTop w:val="0"/>
      <w:marBottom w:val="0"/>
      <w:divBdr>
        <w:top w:val="none" w:sz="0" w:space="0" w:color="auto"/>
        <w:left w:val="none" w:sz="0" w:space="0" w:color="auto"/>
        <w:bottom w:val="none" w:sz="0" w:space="0" w:color="auto"/>
        <w:right w:val="none" w:sz="0" w:space="0" w:color="auto"/>
      </w:divBdr>
    </w:div>
    <w:div w:id="51662737">
      <w:bodyDiv w:val="1"/>
      <w:marLeft w:val="0"/>
      <w:marRight w:val="0"/>
      <w:marTop w:val="0"/>
      <w:marBottom w:val="0"/>
      <w:divBdr>
        <w:top w:val="none" w:sz="0" w:space="0" w:color="auto"/>
        <w:left w:val="none" w:sz="0" w:space="0" w:color="auto"/>
        <w:bottom w:val="none" w:sz="0" w:space="0" w:color="auto"/>
        <w:right w:val="none" w:sz="0" w:space="0" w:color="auto"/>
      </w:divBdr>
    </w:div>
    <w:div w:id="65224384">
      <w:bodyDiv w:val="1"/>
      <w:marLeft w:val="0"/>
      <w:marRight w:val="0"/>
      <w:marTop w:val="0"/>
      <w:marBottom w:val="0"/>
      <w:divBdr>
        <w:top w:val="none" w:sz="0" w:space="0" w:color="auto"/>
        <w:left w:val="none" w:sz="0" w:space="0" w:color="auto"/>
        <w:bottom w:val="none" w:sz="0" w:space="0" w:color="auto"/>
        <w:right w:val="none" w:sz="0" w:space="0" w:color="auto"/>
      </w:divBdr>
    </w:div>
    <w:div w:id="80027146">
      <w:bodyDiv w:val="1"/>
      <w:marLeft w:val="0"/>
      <w:marRight w:val="0"/>
      <w:marTop w:val="0"/>
      <w:marBottom w:val="0"/>
      <w:divBdr>
        <w:top w:val="none" w:sz="0" w:space="0" w:color="auto"/>
        <w:left w:val="none" w:sz="0" w:space="0" w:color="auto"/>
        <w:bottom w:val="none" w:sz="0" w:space="0" w:color="auto"/>
        <w:right w:val="none" w:sz="0" w:space="0" w:color="auto"/>
      </w:divBdr>
    </w:div>
    <w:div w:id="99689189">
      <w:bodyDiv w:val="1"/>
      <w:marLeft w:val="0"/>
      <w:marRight w:val="0"/>
      <w:marTop w:val="0"/>
      <w:marBottom w:val="0"/>
      <w:divBdr>
        <w:top w:val="none" w:sz="0" w:space="0" w:color="auto"/>
        <w:left w:val="none" w:sz="0" w:space="0" w:color="auto"/>
        <w:bottom w:val="none" w:sz="0" w:space="0" w:color="auto"/>
        <w:right w:val="none" w:sz="0" w:space="0" w:color="auto"/>
      </w:divBdr>
    </w:div>
    <w:div w:id="125661336">
      <w:bodyDiv w:val="1"/>
      <w:marLeft w:val="0"/>
      <w:marRight w:val="0"/>
      <w:marTop w:val="0"/>
      <w:marBottom w:val="0"/>
      <w:divBdr>
        <w:top w:val="none" w:sz="0" w:space="0" w:color="auto"/>
        <w:left w:val="none" w:sz="0" w:space="0" w:color="auto"/>
        <w:bottom w:val="none" w:sz="0" w:space="0" w:color="auto"/>
        <w:right w:val="none" w:sz="0" w:space="0" w:color="auto"/>
      </w:divBdr>
      <w:divsChild>
        <w:div w:id="1575354652">
          <w:marLeft w:val="0"/>
          <w:marRight w:val="0"/>
          <w:marTop w:val="0"/>
          <w:marBottom w:val="0"/>
          <w:divBdr>
            <w:top w:val="none" w:sz="0" w:space="0" w:color="auto"/>
            <w:left w:val="none" w:sz="0" w:space="0" w:color="auto"/>
            <w:bottom w:val="none" w:sz="0" w:space="0" w:color="auto"/>
            <w:right w:val="none" w:sz="0" w:space="0" w:color="auto"/>
          </w:divBdr>
          <w:divsChild>
            <w:div w:id="1327511338">
              <w:marLeft w:val="0"/>
              <w:marRight w:val="0"/>
              <w:marTop w:val="0"/>
              <w:marBottom w:val="0"/>
              <w:divBdr>
                <w:top w:val="none" w:sz="0" w:space="0" w:color="auto"/>
                <w:left w:val="none" w:sz="0" w:space="0" w:color="auto"/>
                <w:bottom w:val="none" w:sz="0" w:space="0" w:color="auto"/>
                <w:right w:val="none" w:sz="0" w:space="0" w:color="auto"/>
              </w:divBdr>
              <w:divsChild>
                <w:div w:id="21337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54158">
      <w:bodyDiv w:val="1"/>
      <w:marLeft w:val="0"/>
      <w:marRight w:val="0"/>
      <w:marTop w:val="0"/>
      <w:marBottom w:val="0"/>
      <w:divBdr>
        <w:top w:val="none" w:sz="0" w:space="0" w:color="auto"/>
        <w:left w:val="none" w:sz="0" w:space="0" w:color="auto"/>
        <w:bottom w:val="none" w:sz="0" w:space="0" w:color="auto"/>
        <w:right w:val="none" w:sz="0" w:space="0" w:color="auto"/>
      </w:divBdr>
    </w:div>
    <w:div w:id="345520970">
      <w:bodyDiv w:val="1"/>
      <w:marLeft w:val="0"/>
      <w:marRight w:val="0"/>
      <w:marTop w:val="0"/>
      <w:marBottom w:val="0"/>
      <w:divBdr>
        <w:top w:val="none" w:sz="0" w:space="0" w:color="auto"/>
        <w:left w:val="none" w:sz="0" w:space="0" w:color="auto"/>
        <w:bottom w:val="none" w:sz="0" w:space="0" w:color="auto"/>
        <w:right w:val="none" w:sz="0" w:space="0" w:color="auto"/>
      </w:divBdr>
    </w:div>
    <w:div w:id="377096008">
      <w:bodyDiv w:val="1"/>
      <w:marLeft w:val="0"/>
      <w:marRight w:val="0"/>
      <w:marTop w:val="0"/>
      <w:marBottom w:val="0"/>
      <w:divBdr>
        <w:top w:val="none" w:sz="0" w:space="0" w:color="auto"/>
        <w:left w:val="none" w:sz="0" w:space="0" w:color="auto"/>
        <w:bottom w:val="none" w:sz="0" w:space="0" w:color="auto"/>
        <w:right w:val="none" w:sz="0" w:space="0" w:color="auto"/>
      </w:divBdr>
    </w:div>
    <w:div w:id="396125522">
      <w:bodyDiv w:val="1"/>
      <w:marLeft w:val="0"/>
      <w:marRight w:val="0"/>
      <w:marTop w:val="0"/>
      <w:marBottom w:val="0"/>
      <w:divBdr>
        <w:top w:val="none" w:sz="0" w:space="0" w:color="auto"/>
        <w:left w:val="none" w:sz="0" w:space="0" w:color="auto"/>
        <w:bottom w:val="none" w:sz="0" w:space="0" w:color="auto"/>
        <w:right w:val="none" w:sz="0" w:space="0" w:color="auto"/>
      </w:divBdr>
    </w:div>
    <w:div w:id="588194947">
      <w:bodyDiv w:val="1"/>
      <w:marLeft w:val="0"/>
      <w:marRight w:val="0"/>
      <w:marTop w:val="0"/>
      <w:marBottom w:val="0"/>
      <w:divBdr>
        <w:top w:val="none" w:sz="0" w:space="0" w:color="auto"/>
        <w:left w:val="none" w:sz="0" w:space="0" w:color="auto"/>
        <w:bottom w:val="none" w:sz="0" w:space="0" w:color="auto"/>
        <w:right w:val="none" w:sz="0" w:space="0" w:color="auto"/>
      </w:divBdr>
    </w:div>
    <w:div w:id="651838426">
      <w:bodyDiv w:val="1"/>
      <w:marLeft w:val="0"/>
      <w:marRight w:val="0"/>
      <w:marTop w:val="0"/>
      <w:marBottom w:val="0"/>
      <w:divBdr>
        <w:top w:val="none" w:sz="0" w:space="0" w:color="auto"/>
        <w:left w:val="none" w:sz="0" w:space="0" w:color="auto"/>
        <w:bottom w:val="none" w:sz="0" w:space="0" w:color="auto"/>
        <w:right w:val="none" w:sz="0" w:space="0" w:color="auto"/>
      </w:divBdr>
    </w:div>
    <w:div w:id="792134082">
      <w:bodyDiv w:val="1"/>
      <w:marLeft w:val="0"/>
      <w:marRight w:val="0"/>
      <w:marTop w:val="0"/>
      <w:marBottom w:val="0"/>
      <w:divBdr>
        <w:top w:val="none" w:sz="0" w:space="0" w:color="auto"/>
        <w:left w:val="none" w:sz="0" w:space="0" w:color="auto"/>
        <w:bottom w:val="none" w:sz="0" w:space="0" w:color="auto"/>
        <w:right w:val="none" w:sz="0" w:space="0" w:color="auto"/>
      </w:divBdr>
    </w:div>
    <w:div w:id="870192213">
      <w:bodyDiv w:val="1"/>
      <w:marLeft w:val="0"/>
      <w:marRight w:val="0"/>
      <w:marTop w:val="0"/>
      <w:marBottom w:val="0"/>
      <w:divBdr>
        <w:top w:val="none" w:sz="0" w:space="0" w:color="auto"/>
        <w:left w:val="none" w:sz="0" w:space="0" w:color="auto"/>
        <w:bottom w:val="none" w:sz="0" w:space="0" w:color="auto"/>
        <w:right w:val="none" w:sz="0" w:space="0" w:color="auto"/>
      </w:divBdr>
    </w:div>
    <w:div w:id="904803612">
      <w:bodyDiv w:val="1"/>
      <w:marLeft w:val="0"/>
      <w:marRight w:val="0"/>
      <w:marTop w:val="0"/>
      <w:marBottom w:val="0"/>
      <w:divBdr>
        <w:top w:val="none" w:sz="0" w:space="0" w:color="auto"/>
        <w:left w:val="none" w:sz="0" w:space="0" w:color="auto"/>
        <w:bottom w:val="none" w:sz="0" w:space="0" w:color="auto"/>
        <w:right w:val="none" w:sz="0" w:space="0" w:color="auto"/>
      </w:divBdr>
    </w:div>
    <w:div w:id="927155200">
      <w:bodyDiv w:val="1"/>
      <w:marLeft w:val="0"/>
      <w:marRight w:val="0"/>
      <w:marTop w:val="0"/>
      <w:marBottom w:val="0"/>
      <w:divBdr>
        <w:top w:val="none" w:sz="0" w:space="0" w:color="auto"/>
        <w:left w:val="none" w:sz="0" w:space="0" w:color="auto"/>
        <w:bottom w:val="none" w:sz="0" w:space="0" w:color="auto"/>
        <w:right w:val="none" w:sz="0" w:space="0" w:color="auto"/>
      </w:divBdr>
    </w:div>
    <w:div w:id="1016931232">
      <w:bodyDiv w:val="1"/>
      <w:marLeft w:val="0"/>
      <w:marRight w:val="0"/>
      <w:marTop w:val="0"/>
      <w:marBottom w:val="0"/>
      <w:divBdr>
        <w:top w:val="none" w:sz="0" w:space="0" w:color="auto"/>
        <w:left w:val="none" w:sz="0" w:space="0" w:color="auto"/>
        <w:bottom w:val="none" w:sz="0" w:space="0" w:color="auto"/>
        <w:right w:val="none" w:sz="0" w:space="0" w:color="auto"/>
      </w:divBdr>
    </w:div>
    <w:div w:id="1034769934">
      <w:bodyDiv w:val="1"/>
      <w:marLeft w:val="0"/>
      <w:marRight w:val="0"/>
      <w:marTop w:val="0"/>
      <w:marBottom w:val="0"/>
      <w:divBdr>
        <w:top w:val="none" w:sz="0" w:space="0" w:color="auto"/>
        <w:left w:val="none" w:sz="0" w:space="0" w:color="auto"/>
        <w:bottom w:val="none" w:sz="0" w:space="0" w:color="auto"/>
        <w:right w:val="none" w:sz="0" w:space="0" w:color="auto"/>
      </w:divBdr>
    </w:div>
    <w:div w:id="1093404196">
      <w:bodyDiv w:val="1"/>
      <w:marLeft w:val="0"/>
      <w:marRight w:val="0"/>
      <w:marTop w:val="0"/>
      <w:marBottom w:val="0"/>
      <w:divBdr>
        <w:top w:val="none" w:sz="0" w:space="0" w:color="auto"/>
        <w:left w:val="none" w:sz="0" w:space="0" w:color="auto"/>
        <w:bottom w:val="none" w:sz="0" w:space="0" w:color="auto"/>
        <w:right w:val="none" w:sz="0" w:space="0" w:color="auto"/>
      </w:divBdr>
    </w:div>
    <w:div w:id="1201895602">
      <w:bodyDiv w:val="1"/>
      <w:marLeft w:val="0"/>
      <w:marRight w:val="0"/>
      <w:marTop w:val="0"/>
      <w:marBottom w:val="0"/>
      <w:divBdr>
        <w:top w:val="none" w:sz="0" w:space="0" w:color="auto"/>
        <w:left w:val="none" w:sz="0" w:space="0" w:color="auto"/>
        <w:bottom w:val="none" w:sz="0" w:space="0" w:color="auto"/>
        <w:right w:val="none" w:sz="0" w:space="0" w:color="auto"/>
      </w:divBdr>
    </w:div>
    <w:div w:id="1224367724">
      <w:bodyDiv w:val="1"/>
      <w:marLeft w:val="0"/>
      <w:marRight w:val="0"/>
      <w:marTop w:val="0"/>
      <w:marBottom w:val="0"/>
      <w:divBdr>
        <w:top w:val="none" w:sz="0" w:space="0" w:color="auto"/>
        <w:left w:val="none" w:sz="0" w:space="0" w:color="auto"/>
        <w:bottom w:val="none" w:sz="0" w:space="0" w:color="auto"/>
        <w:right w:val="none" w:sz="0" w:space="0" w:color="auto"/>
      </w:divBdr>
    </w:div>
    <w:div w:id="1252159326">
      <w:bodyDiv w:val="1"/>
      <w:marLeft w:val="0"/>
      <w:marRight w:val="0"/>
      <w:marTop w:val="0"/>
      <w:marBottom w:val="0"/>
      <w:divBdr>
        <w:top w:val="none" w:sz="0" w:space="0" w:color="auto"/>
        <w:left w:val="none" w:sz="0" w:space="0" w:color="auto"/>
        <w:bottom w:val="none" w:sz="0" w:space="0" w:color="auto"/>
        <w:right w:val="none" w:sz="0" w:space="0" w:color="auto"/>
      </w:divBdr>
    </w:div>
    <w:div w:id="1316303544">
      <w:bodyDiv w:val="1"/>
      <w:marLeft w:val="0"/>
      <w:marRight w:val="0"/>
      <w:marTop w:val="0"/>
      <w:marBottom w:val="0"/>
      <w:divBdr>
        <w:top w:val="none" w:sz="0" w:space="0" w:color="auto"/>
        <w:left w:val="none" w:sz="0" w:space="0" w:color="auto"/>
        <w:bottom w:val="none" w:sz="0" w:space="0" w:color="auto"/>
        <w:right w:val="none" w:sz="0" w:space="0" w:color="auto"/>
      </w:divBdr>
    </w:div>
    <w:div w:id="1403024995">
      <w:bodyDiv w:val="1"/>
      <w:marLeft w:val="0"/>
      <w:marRight w:val="0"/>
      <w:marTop w:val="0"/>
      <w:marBottom w:val="0"/>
      <w:divBdr>
        <w:top w:val="none" w:sz="0" w:space="0" w:color="auto"/>
        <w:left w:val="none" w:sz="0" w:space="0" w:color="auto"/>
        <w:bottom w:val="none" w:sz="0" w:space="0" w:color="auto"/>
        <w:right w:val="none" w:sz="0" w:space="0" w:color="auto"/>
      </w:divBdr>
    </w:div>
    <w:div w:id="1506901689">
      <w:bodyDiv w:val="1"/>
      <w:marLeft w:val="0"/>
      <w:marRight w:val="0"/>
      <w:marTop w:val="0"/>
      <w:marBottom w:val="0"/>
      <w:divBdr>
        <w:top w:val="none" w:sz="0" w:space="0" w:color="auto"/>
        <w:left w:val="none" w:sz="0" w:space="0" w:color="auto"/>
        <w:bottom w:val="none" w:sz="0" w:space="0" w:color="auto"/>
        <w:right w:val="none" w:sz="0" w:space="0" w:color="auto"/>
      </w:divBdr>
    </w:div>
    <w:div w:id="1579554532">
      <w:bodyDiv w:val="1"/>
      <w:marLeft w:val="0"/>
      <w:marRight w:val="0"/>
      <w:marTop w:val="0"/>
      <w:marBottom w:val="0"/>
      <w:divBdr>
        <w:top w:val="none" w:sz="0" w:space="0" w:color="auto"/>
        <w:left w:val="none" w:sz="0" w:space="0" w:color="auto"/>
        <w:bottom w:val="none" w:sz="0" w:space="0" w:color="auto"/>
        <w:right w:val="none" w:sz="0" w:space="0" w:color="auto"/>
      </w:divBdr>
    </w:div>
    <w:div w:id="1584533019">
      <w:bodyDiv w:val="1"/>
      <w:marLeft w:val="0"/>
      <w:marRight w:val="0"/>
      <w:marTop w:val="0"/>
      <w:marBottom w:val="0"/>
      <w:divBdr>
        <w:top w:val="none" w:sz="0" w:space="0" w:color="auto"/>
        <w:left w:val="none" w:sz="0" w:space="0" w:color="auto"/>
        <w:bottom w:val="none" w:sz="0" w:space="0" w:color="auto"/>
        <w:right w:val="none" w:sz="0" w:space="0" w:color="auto"/>
      </w:divBdr>
    </w:div>
    <w:div w:id="1596741451">
      <w:bodyDiv w:val="1"/>
      <w:marLeft w:val="0"/>
      <w:marRight w:val="0"/>
      <w:marTop w:val="0"/>
      <w:marBottom w:val="0"/>
      <w:divBdr>
        <w:top w:val="none" w:sz="0" w:space="0" w:color="auto"/>
        <w:left w:val="none" w:sz="0" w:space="0" w:color="auto"/>
        <w:bottom w:val="none" w:sz="0" w:space="0" w:color="auto"/>
        <w:right w:val="none" w:sz="0" w:space="0" w:color="auto"/>
      </w:divBdr>
    </w:div>
    <w:div w:id="1667661709">
      <w:bodyDiv w:val="1"/>
      <w:marLeft w:val="0"/>
      <w:marRight w:val="0"/>
      <w:marTop w:val="0"/>
      <w:marBottom w:val="0"/>
      <w:divBdr>
        <w:top w:val="none" w:sz="0" w:space="0" w:color="auto"/>
        <w:left w:val="none" w:sz="0" w:space="0" w:color="auto"/>
        <w:bottom w:val="none" w:sz="0" w:space="0" w:color="auto"/>
        <w:right w:val="none" w:sz="0" w:space="0" w:color="auto"/>
      </w:divBdr>
      <w:divsChild>
        <w:div w:id="1272086292">
          <w:marLeft w:val="0"/>
          <w:marRight w:val="0"/>
          <w:marTop w:val="0"/>
          <w:marBottom w:val="0"/>
          <w:divBdr>
            <w:top w:val="none" w:sz="0" w:space="0" w:color="auto"/>
            <w:left w:val="none" w:sz="0" w:space="0" w:color="auto"/>
            <w:bottom w:val="none" w:sz="0" w:space="0" w:color="auto"/>
            <w:right w:val="none" w:sz="0" w:space="0" w:color="auto"/>
          </w:divBdr>
          <w:divsChild>
            <w:div w:id="1135560060">
              <w:marLeft w:val="0"/>
              <w:marRight w:val="0"/>
              <w:marTop w:val="0"/>
              <w:marBottom w:val="0"/>
              <w:divBdr>
                <w:top w:val="none" w:sz="0" w:space="0" w:color="auto"/>
                <w:left w:val="none" w:sz="0" w:space="0" w:color="auto"/>
                <w:bottom w:val="none" w:sz="0" w:space="0" w:color="auto"/>
                <w:right w:val="none" w:sz="0" w:space="0" w:color="auto"/>
              </w:divBdr>
              <w:divsChild>
                <w:div w:id="1151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95583">
      <w:bodyDiv w:val="1"/>
      <w:marLeft w:val="0"/>
      <w:marRight w:val="0"/>
      <w:marTop w:val="0"/>
      <w:marBottom w:val="0"/>
      <w:divBdr>
        <w:top w:val="none" w:sz="0" w:space="0" w:color="auto"/>
        <w:left w:val="none" w:sz="0" w:space="0" w:color="auto"/>
        <w:bottom w:val="none" w:sz="0" w:space="0" w:color="auto"/>
        <w:right w:val="none" w:sz="0" w:space="0" w:color="auto"/>
      </w:divBdr>
    </w:div>
    <w:div w:id="1787965367">
      <w:bodyDiv w:val="1"/>
      <w:marLeft w:val="0"/>
      <w:marRight w:val="0"/>
      <w:marTop w:val="0"/>
      <w:marBottom w:val="0"/>
      <w:divBdr>
        <w:top w:val="none" w:sz="0" w:space="0" w:color="auto"/>
        <w:left w:val="none" w:sz="0" w:space="0" w:color="auto"/>
        <w:bottom w:val="none" w:sz="0" w:space="0" w:color="auto"/>
        <w:right w:val="none" w:sz="0" w:space="0" w:color="auto"/>
      </w:divBdr>
      <w:divsChild>
        <w:div w:id="2058386156">
          <w:marLeft w:val="0"/>
          <w:marRight w:val="0"/>
          <w:marTop w:val="0"/>
          <w:marBottom w:val="0"/>
          <w:divBdr>
            <w:top w:val="none" w:sz="0" w:space="0" w:color="auto"/>
            <w:left w:val="none" w:sz="0" w:space="0" w:color="auto"/>
            <w:bottom w:val="none" w:sz="0" w:space="0" w:color="auto"/>
            <w:right w:val="none" w:sz="0" w:space="0" w:color="auto"/>
          </w:divBdr>
          <w:divsChild>
            <w:div w:id="65077952">
              <w:marLeft w:val="0"/>
              <w:marRight w:val="0"/>
              <w:marTop w:val="0"/>
              <w:marBottom w:val="0"/>
              <w:divBdr>
                <w:top w:val="none" w:sz="0" w:space="0" w:color="auto"/>
                <w:left w:val="none" w:sz="0" w:space="0" w:color="auto"/>
                <w:bottom w:val="none" w:sz="0" w:space="0" w:color="auto"/>
                <w:right w:val="none" w:sz="0" w:space="0" w:color="auto"/>
              </w:divBdr>
              <w:divsChild>
                <w:div w:id="16131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0741">
      <w:bodyDiv w:val="1"/>
      <w:marLeft w:val="0"/>
      <w:marRight w:val="0"/>
      <w:marTop w:val="0"/>
      <w:marBottom w:val="0"/>
      <w:divBdr>
        <w:top w:val="none" w:sz="0" w:space="0" w:color="auto"/>
        <w:left w:val="none" w:sz="0" w:space="0" w:color="auto"/>
        <w:bottom w:val="none" w:sz="0" w:space="0" w:color="auto"/>
        <w:right w:val="none" w:sz="0" w:space="0" w:color="auto"/>
      </w:divBdr>
      <w:divsChild>
        <w:div w:id="515077288">
          <w:marLeft w:val="0"/>
          <w:marRight w:val="0"/>
          <w:marTop w:val="0"/>
          <w:marBottom w:val="0"/>
          <w:divBdr>
            <w:top w:val="none" w:sz="0" w:space="0" w:color="auto"/>
            <w:left w:val="none" w:sz="0" w:space="0" w:color="auto"/>
            <w:bottom w:val="none" w:sz="0" w:space="0" w:color="auto"/>
            <w:right w:val="none" w:sz="0" w:space="0" w:color="auto"/>
          </w:divBdr>
        </w:div>
        <w:div w:id="1455365069">
          <w:marLeft w:val="0"/>
          <w:marRight w:val="0"/>
          <w:marTop w:val="0"/>
          <w:marBottom w:val="0"/>
          <w:divBdr>
            <w:top w:val="none" w:sz="0" w:space="0" w:color="auto"/>
            <w:left w:val="none" w:sz="0" w:space="0" w:color="auto"/>
            <w:bottom w:val="none" w:sz="0" w:space="0" w:color="auto"/>
            <w:right w:val="none" w:sz="0" w:space="0" w:color="auto"/>
          </w:divBdr>
        </w:div>
      </w:divsChild>
    </w:div>
    <w:div w:id="1841969577">
      <w:bodyDiv w:val="1"/>
      <w:marLeft w:val="0"/>
      <w:marRight w:val="0"/>
      <w:marTop w:val="0"/>
      <w:marBottom w:val="0"/>
      <w:divBdr>
        <w:top w:val="none" w:sz="0" w:space="0" w:color="auto"/>
        <w:left w:val="none" w:sz="0" w:space="0" w:color="auto"/>
        <w:bottom w:val="none" w:sz="0" w:space="0" w:color="auto"/>
        <w:right w:val="none" w:sz="0" w:space="0" w:color="auto"/>
      </w:divBdr>
      <w:divsChild>
        <w:div w:id="1767073542">
          <w:marLeft w:val="0"/>
          <w:marRight w:val="0"/>
          <w:marTop w:val="100"/>
          <w:marBottom w:val="100"/>
          <w:divBdr>
            <w:top w:val="none" w:sz="0" w:space="0" w:color="auto"/>
            <w:left w:val="none" w:sz="0" w:space="0" w:color="auto"/>
            <w:bottom w:val="none" w:sz="0" w:space="0" w:color="auto"/>
            <w:right w:val="none" w:sz="0" w:space="0" w:color="auto"/>
          </w:divBdr>
          <w:divsChild>
            <w:div w:id="674695475">
              <w:marLeft w:val="0"/>
              <w:marRight w:val="0"/>
              <w:marTop w:val="0"/>
              <w:marBottom w:val="0"/>
              <w:divBdr>
                <w:top w:val="none" w:sz="0" w:space="0" w:color="auto"/>
                <w:left w:val="none" w:sz="0" w:space="0" w:color="auto"/>
                <w:bottom w:val="none" w:sz="0" w:space="0" w:color="auto"/>
                <w:right w:val="none" w:sz="0" w:space="0" w:color="auto"/>
              </w:divBdr>
              <w:divsChild>
                <w:div w:id="300765888">
                  <w:marLeft w:val="105"/>
                  <w:marRight w:val="105"/>
                  <w:marTop w:val="105"/>
                  <w:marBottom w:val="105"/>
                  <w:divBdr>
                    <w:top w:val="none" w:sz="0" w:space="0" w:color="auto"/>
                    <w:left w:val="none" w:sz="0" w:space="0" w:color="auto"/>
                    <w:bottom w:val="none" w:sz="0" w:space="0" w:color="auto"/>
                    <w:right w:val="none" w:sz="0" w:space="0" w:color="auto"/>
                  </w:divBdr>
                  <w:divsChild>
                    <w:div w:id="445396359">
                      <w:marLeft w:val="0"/>
                      <w:marRight w:val="0"/>
                      <w:marTop w:val="0"/>
                      <w:marBottom w:val="0"/>
                      <w:divBdr>
                        <w:top w:val="none" w:sz="0" w:space="0" w:color="auto"/>
                        <w:left w:val="none" w:sz="0" w:space="0" w:color="auto"/>
                        <w:bottom w:val="none" w:sz="0" w:space="0" w:color="auto"/>
                        <w:right w:val="none" w:sz="0" w:space="0" w:color="auto"/>
                      </w:divBdr>
                      <w:divsChild>
                        <w:div w:id="523831621">
                          <w:marLeft w:val="0"/>
                          <w:marRight w:val="0"/>
                          <w:marTop w:val="0"/>
                          <w:marBottom w:val="0"/>
                          <w:divBdr>
                            <w:top w:val="none" w:sz="0" w:space="0" w:color="auto"/>
                            <w:left w:val="none" w:sz="0" w:space="0" w:color="auto"/>
                            <w:bottom w:val="none" w:sz="0" w:space="0" w:color="auto"/>
                            <w:right w:val="none" w:sz="0" w:space="0" w:color="auto"/>
                          </w:divBdr>
                          <w:divsChild>
                            <w:div w:id="819493437">
                              <w:marLeft w:val="0"/>
                              <w:marRight w:val="0"/>
                              <w:marTop w:val="0"/>
                              <w:marBottom w:val="0"/>
                              <w:divBdr>
                                <w:top w:val="none" w:sz="0" w:space="0" w:color="auto"/>
                                <w:left w:val="none" w:sz="0" w:space="0" w:color="auto"/>
                                <w:bottom w:val="none" w:sz="0" w:space="0" w:color="auto"/>
                                <w:right w:val="none" w:sz="0" w:space="0" w:color="auto"/>
                              </w:divBdr>
                              <w:divsChild>
                                <w:div w:id="126702199">
                                  <w:marLeft w:val="0"/>
                                  <w:marRight w:val="0"/>
                                  <w:marTop w:val="0"/>
                                  <w:marBottom w:val="0"/>
                                  <w:divBdr>
                                    <w:top w:val="none" w:sz="0" w:space="0" w:color="auto"/>
                                    <w:left w:val="none" w:sz="0" w:space="0" w:color="auto"/>
                                    <w:bottom w:val="none" w:sz="0" w:space="0" w:color="auto"/>
                                    <w:right w:val="none" w:sz="0" w:space="0" w:color="auto"/>
                                  </w:divBdr>
                                  <w:divsChild>
                                    <w:div w:id="734356357">
                                      <w:marLeft w:val="105"/>
                                      <w:marRight w:val="105"/>
                                      <w:marTop w:val="105"/>
                                      <w:marBottom w:val="105"/>
                                      <w:divBdr>
                                        <w:top w:val="none" w:sz="0" w:space="0" w:color="auto"/>
                                        <w:left w:val="none" w:sz="0" w:space="0" w:color="auto"/>
                                        <w:bottom w:val="none" w:sz="0" w:space="0" w:color="auto"/>
                                        <w:right w:val="none" w:sz="0" w:space="0" w:color="auto"/>
                                      </w:divBdr>
                                      <w:divsChild>
                                        <w:div w:id="1603344250">
                                          <w:marLeft w:val="0"/>
                                          <w:marRight w:val="0"/>
                                          <w:marTop w:val="0"/>
                                          <w:marBottom w:val="0"/>
                                          <w:divBdr>
                                            <w:top w:val="none" w:sz="0" w:space="0" w:color="auto"/>
                                            <w:left w:val="none" w:sz="0" w:space="0" w:color="auto"/>
                                            <w:bottom w:val="none" w:sz="0" w:space="0" w:color="auto"/>
                                            <w:right w:val="none" w:sz="0" w:space="0" w:color="auto"/>
                                          </w:divBdr>
                                          <w:divsChild>
                                            <w:div w:id="1841120490">
                                              <w:marLeft w:val="0"/>
                                              <w:marRight w:val="0"/>
                                              <w:marTop w:val="0"/>
                                              <w:marBottom w:val="0"/>
                                              <w:divBdr>
                                                <w:top w:val="none" w:sz="0" w:space="0" w:color="auto"/>
                                                <w:left w:val="none" w:sz="0" w:space="0" w:color="auto"/>
                                                <w:bottom w:val="none" w:sz="0" w:space="0" w:color="auto"/>
                                                <w:right w:val="none" w:sz="0" w:space="0" w:color="auto"/>
                                              </w:divBdr>
                                              <w:divsChild>
                                                <w:div w:id="94332728">
                                                  <w:marLeft w:val="105"/>
                                                  <w:marRight w:val="105"/>
                                                  <w:marTop w:val="105"/>
                                                  <w:marBottom w:val="105"/>
                                                  <w:divBdr>
                                                    <w:top w:val="none" w:sz="0" w:space="0" w:color="auto"/>
                                                    <w:left w:val="none" w:sz="0" w:space="0" w:color="auto"/>
                                                    <w:bottom w:val="none" w:sz="0" w:space="0" w:color="auto"/>
                                                    <w:right w:val="none" w:sz="0" w:space="0" w:color="auto"/>
                                                  </w:divBdr>
                                                  <w:divsChild>
                                                    <w:div w:id="1141462626">
                                                      <w:marLeft w:val="0"/>
                                                      <w:marRight w:val="0"/>
                                                      <w:marTop w:val="0"/>
                                                      <w:marBottom w:val="0"/>
                                                      <w:divBdr>
                                                        <w:top w:val="none" w:sz="0" w:space="0" w:color="auto"/>
                                                        <w:left w:val="none" w:sz="0" w:space="0" w:color="auto"/>
                                                        <w:bottom w:val="none" w:sz="0" w:space="0" w:color="auto"/>
                                                        <w:right w:val="none" w:sz="0" w:space="0" w:color="auto"/>
                                                      </w:divBdr>
                                                      <w:divsChild>
                                                        <w:div w:id="841745070">
                                                          <w:marLeft w:val="0"/>
                                                          <w:marRight w:val="0"/>
                                                          <w:marTop w:val="0"/>
                                                          <w:marBottom w:val="0"/>
                                                          <w:divBdr>
                                                            <w:top w:val="none" w:sz="0" w:space="0" w:color="auto"/>
                                                            <w:left w:val="none" w:sz="0" w:space="0" w:color="auto"/>
                                                            <w:bottom w:val="none" w:sz="0" w:space="0" w:color="auto"/>
                                                            <w:right w:val="none" w:sz="0" w:space="0" w:color="auto"/>
                                                          </w:divBdr>
                                                          <w:divsChild>
                                                            <w:div w:id="1738432627">
                                                              <w:marLeft w:val="0"/>
                                                              <w:marRight w:val="0"/>
                                                              <w:marTop w:val="0"/>
                                                              <w:marBottom w:val="0"/>
                                                              <w:divBdr>
                                                                <w:top w:val="none" w:sz="0" w:space="0" w:color="auto"/>
                                                                <w:left w:val="none" w:sz="0" w:space="0" w:color="auto"/>
                                                                <w:bottom w:val="none" w:sz="0" w:space="0" w:color="auto"/>
                                                                <w:right w:val="none" w:sz="0" w:space="0" w:color="auto"/>
                                                              </w:divBdr>
                                                              <w:divsChild>
                                                                <w:div w:id="1988968812">
                                                                  <w:marLeft w:val="0"/>
                                                                  <w:marRight w:val="0"/>
                                                                  <w:marTop w:val="0"/>
                                                                  <w:marBottom w:val="0"/>
                                                                  <w:divBdr>
                                                                    <w:top w:val="none" w:sz="0" w:space="0" w:color="auto"/>
                                                                    <w:left w:val="none" w:sz="0" w:space="0" w:color="auto"/>
                                                                    <w:bottom w:val="none" w:sz="0" w:space="0" w:color="auto"/>
                                                                    <w:right w:val="none" w:sz="0" w:space="0" w:color="auto"/>
                                                                  </w:divBdr>
                                                                  <w:divsChild>
                                                                    <w:div w:id="973682855">
                                                                      <w:marLeft w:val="0"/>
                                                                      <w:marRight w:val="0"/>
                                                                      <w:marTop w:val="0"/>
                                                                      <w:marBottom w:val="0"/>
                                                                      <w:divBdr>
                                                                        <w:top w:val="none" w:sz="0" w:space="0" w:color="auto"/>
                                                                        <w:left w:val="none" w:sz="0" w:space="0" w:color="auto"/>
                                                                        <w:bottom w:val="none" w:sz="0" w:space="0" w:color="auto"/>
                                                                        <w:right w:val="none" w:sz="0" w:space="0" w:color="auto"/>
                                                                      </w:divBdr>
                                                                      <w:divsChild>
                                                                        <w:div w:id="1024524803">
                                                                          <w:marLeft w:val="105"/>
                                                                          <w:marRight w:val="105"/>
                                                                          <w:marTop w:val="105"/>
                                                                          <w:marBottom w:val="105"/>
                                                                          <w:divBdr>
                                                                            <w:top w:val="none" w:sz="0" w:space="0" w:color="auto"/>
                                                                            <w:left w:val="none" w:sz="0" w:space="0" w:color="auto"/>
                                                                            <w:bottom w:val="none" w:sz="0" w:space="0" w:color="auto"/>
                                                                            <w:right w:val="none" w:sz="0" w:space="0" w:color="auto"/>
                                                                          </w:divBdr>
                                                                          <w:divsChild>
                                                                            <w:div w:id="1203637767">
                                                                              <w:marLeft w:val="0"/>
                                                                              <w:marRight w:val="0"/>
                                                                              <w:marTop w:val="0"/>
                                                                              <w:marBottom w:val="0"/>
                                                                              <w:divBdr>
                                                                                <w:top w:val="none" w:sz="0" w:space="0" w:color="auto"/>
                                                                                <w:left w:val="none" w:sz="0" w:space="0" w:color="auto"/>
                                                                                <w:bottom w:val="none" w:sz="0" w:space="0" w:color="auto"/>
                                                                                <w:right w:val="none" w:sz="0" w:space="0" w:color="auto"/>
                                                                              </w:divBdr>
                                                                              <w:divsChild>
                                                                                <w:div w:id="923030419">
                                                                                  <w:marLeft w:val="0"/>
                                                                                  <w:marRight w:val="0"/>
                                                                                  <w:marTop w:val="0"/>
                                                                                  <w:marBottom w:val="0"/>
                                                                                  <w:divBdr>
                                                                                    <w:top w:val="none" w:sz="0" w:space="0" w:color="auto"/>
                                                                                    <w:left w:val="none" w:sz="0" w:space="0" w:color="auto"/>
                                                                                    <w:bottom w:val="none" w:sz="0" w:space="0" w:color="auto"/>
                                                                                    <w:right w:val="none" w:sz="0" w:space="0" w:color="auto"/>
                                                                                  </w:divBdr>
                                                                                  <w:divsChild>
                                                                                    <w:div w:id="736124752">
                                                                                      <w:marLeft w:val="0"/>
                                                                                      <w:marRight w:val="0"/>
                                                                                      <w:marTop w:val="0"/>
                                                                                      <w:marBottom w:val="0"/>
                                                                                      <w:divBdr>
                                                                                        <w:top w:val="none" w:sz="0" w:space="0" w:color="auto"/>
                                                                                        <w:left w:val="none" w:sz="0" w:space="0" w:color="auto"/>
                                                                                        <w:bottom w:val="none" w:sz="0" w:space="0" w:color="auto"/>
                                                                                        <w:right w:val="none" w:sz="0" w:space="0" w:color="auto"/>
                                                                                      </w:divBdr>
                                                                                      <w:divsChild>
                                                                                        <w:div w:id="1695421819">
                                                                                          <w:marLeft w:val="0"/>
                                                                                          <w:marRight w:val="0"/>
                                                                                          <w:marTop w:val="0"/>
                                                                                          <w:marBottom w:val="0"/>
                                                                                          <w:divBdr>
                                                                                            <w:top w:val="none" w:sz="0" w:space="0" w:color="auto"/>
                                                                                            <w:left w:val="none" w:sz="0" w:space="0" w:color="auto"/>
                                                                                            <w:bottom w:val="none" w:sz="0" w:space="0" w:color="auto"/>
                                                                                            <w:right w:val="none" w:sz="0" w:space="0" w:color="auto"/>
                                                                                          </w:divBdr>
                                                                                          <w:divsChild>
                                                                                            <w:div w:id="2072776351">
                                                                                              <w:marLeft w:val="0"/>
                                                                                              <w:marRight w:val="0"/>
                                                                                              <w:marTop w:val="0"/>
                                                                                              <w:marBottom w:val="0"/>
                                                                                              <w:divBdr>
                                                                                                <w:top w:val="none" w:sz="0" w:space="0" w:color="auto"/>
                                                                                                <w:left w:val="none" w:sz="0" w:space="0" w:color="auto"/>
                                                                                                <w:bottom w:val="none" w:sz="0" w:space="0" w:color="auto"/>
                                                                                                <w:right w:val="none" w:sz="0" w:space="0" w:color="auto"/>
                                                                                              </w:divBdr>
                                                                                              <w:divsChild>
                                                                                                <w:div w:id="502280749">
                                                                                                  <w:marLeft w:val="0"/>
                                                                                                  <w:marRight w:val="0"/>
                                                                                                  <w:marTop w:val="0"/>
                                                                                                  <w:marBottom w:val="0"/>
                                                                                                  <w:divBdr>
                                                                                                    <w:top w:val="none" w:sz="0" w:space="0" w:color="auto"/>
                                                                                                    <w:left w:val="none" w:sz="0" w:space="0" w:color="auto"/>
                                                                                                    <w:bottom w:val="none" w:sz="0" w:space="0" w:color="auto"/>
                                                                                                    <w:right w:val="none" w:sz="0" w:space="0" w:color="auto"/>
                                                                                                  </w:divBdr>
                                                                                                  <w:divsChild>
                                                                                                    <w:div w:id="1392077142">
                                                                                                      <w:marLeft w:val="0"/>
                                                                                                      <w:marRight w:val="0"/>
                                                                                                      <w:marTop w:val="0"/>
                                                                                                      <w:marBottom w:val="0"/>
                                                                                                      <w:divBdr>
                                                                                                        <w:top w:val="none" w:sz="0" w:space="0" w:color="auto"/>
                                                                                                        <w:left w:val="none" w:sz="0" w:space="0" w:color="auto"/>
                                                                                                        <w:bottom w:val="none" w:sz="0" w:space="0" w:color="auto"/>
                                                                                                        <w:right w:val="none" w:sz="0" w:space="0" w:color="auto"/>
                                                                                                      </w:divBdr>
                                                                                                      <w:divsChild>
                                                                                                        <w:div w:id="1193877815">
                                                                                                          <w:marLeft w:val="0"/>
                                                                                                          <w:marRight w:val="0"/>
                                                                                                          <w:marTop w:val="0"/>
                                                                                                          <w:marBottom w:val="0"/>
                                                                                                          <w:divBdr>
                                                                                                            <w:top w:val="none" w:sz="0" w:space="0" w:color="auto"/>
                                                                                                            <w:left w:val="none" w:sz="0" w:space="0" w:color="auto"/>
                                                                                                            <w:bottom w:val="none" w:sz="0" w:space="0" w:color="auto"/>
                                                                                                            <w:right w:val="none" w:sz="0" w:space="0" w:color="auto"/>
                                                                                                          </w:divBdr>
                                                                                                          <w:divsChild>
                                                                                                            <w:div w:id="598828658">
                                                                                                              <w:marLeft w:val="0"/>
                                                                                                              <w:marRight w:val="0"/>
                                                                                                              <w:marTop w:val="0"/>
                                                                                                              <w:marBottom w:val="0"/>
                                                                                                              <w:divBdr>
                                                                                                                <w:top w:val="single" w:sz="6" w:space="23" w:color="666666"/>
                                                                                                                <w:left w:val="single" w:sz="6" w:space="23" w:color="666666"/>
                                                                                                                <w:bottom w:val="single" w:sz="6" w:space="23" w:color="666666"/>
                                                                                                                <w:right w:val="single" w:sz="6" w:space="23" w:color="666666"/>
                                                                                                              </w:divBdr>
                                                                                                              <w:divsChild>
                                                                                                                <w:div w:id="1057555507">
                                                                                                                  <w:marLeft w:val="0"/>
                                                                                                                  <w:marRight w:val="0"/>
                                                                                                                  <w:marTop w:val="0"/>
                                                                                                                  <w:marBottom w:val="0"/>
                                                                                                                  <w:divBdr>
                                                                                                                    <w:top w:val="none" w:sz="0" w:space="0" w:color="auto"/>
                                                                                                                    <w:left w:val="none" w:sz="0" w:space="0" w:color="auto"/>
                                                                                                                    <w:bottom w:val="none" w:sz="0" w:space="0" w:color="auto"/>
                                                                                                                    <w:right w:val="none" w:sz="0" w:space="0" w:color="auto"/>
                                                                                                                  </w:divBdr>
                                                                                                                  <w:divsChild>
                                                                                                                    <w:div w:id="1175875967">
                                                                                                                      <w:marLeft w:val="0"/>
                                                                                                                      <w:marRight w:val="0"/>
                                                                                                                      <w:marTop w:val="0"/>
                                                                                                                      <w:marBottom w:val="0"/>
                                                                                                                      <w:divBdr>
                                                                                                                        <w:top w:val="none" w:sz="0" w:space="0" w:color="auto"/>
                                                                                                                        <w:left w:val="none" w:sz="0" w:space="0" w:color="auto"/>
                                                                                                                        <w:bottom w:val="none" w:sz="0" w:space="0" w:color="auto"/>
                                                                                                                        <w:right w:val="none" w:sz="0" w:space="0" w:color="auto"/>
                                                                                                                      </w:divBdr>
                                                                                                                      <w:divsChild>
                                                                                                                        <w:div w:id="607661468">
                                                                                                                          <w:marLeft w:val="0"/>
                                                                                                                          <w:marRight w:val="0"/>
                                                                                                                          <w:marTop w:val="0"/>
                                                                                                                          <w:marBottom w:val="0"/>
                                                                                                                          <w:divBdr>
                                                                                                                            <w:top w:val="none" w:sz="0" w:space="0" w:color="auto"/>
                                                                                                                            <w:left w:val="none" w:sz="0" w:space="0" w:color="auto"/>
                                                                                                                            <w:bottom w:val="none" w:sz="0" w:space="0" w:color="auto"/>
                                                                                                                            <w:right w:val="none" w:sz="0" w:space="0" w:color="auto"/>
                                                                                                                          </w:divBdr>
                                                                                                                        </w:div>
                                                                                                                        <w:div w:id="779762358">
                                                                                                                          <w:marLeft w:val="0"/>
                                                                                                                          <w:marRight w:val="0"/>
                                                                                                                          <w:marTop w:val="0"/>
                                                                                                                          <w:marBottom w:val="0"/>
                                                                                                                          <w:divBdr>
                                                                                                                            <w:top w:val="none" w:sz="0" w:space="0" w:color="auto"/>
                                                                                                                            <w:left w:val="none" w:sz="0" w:space="0" w:color="auto"/>
                                                                                                                            <w:bottom w:val="none" w:sz="0" w:space="0" w:color="auto"/>
                                                                                                                            <w:right w:val="none" w:sz="0" w:space="0" w:color="auto"/>
                                                                                                                          </w:divBdr>
                                                                                                                        </w:div>
                                                                                                                        <w:div w:id="18683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617959">
      <w:bodyDiv w:val="1"/>
      <w:marLeft w:val="0"/>
      <w:marRight w:val="0"/>
      <w:marTop w:val="0"/>
      <w:marBottom w:val="0"/>
      <w:divBdr>
        <w:top w:val="none" w:sz="0" w:space="0" w:color="auto"/>
        <w:left w:val="none" w:sz="0" w:space="0" w:color="auto"/>
        <w:bottom w:val="none" w:sz="0" w:space="0" w:color="auto"/>
        <w:right w:val="none" w:sz="0" w:space="0" w:color="auto"/>
      </w:divBdr>
    </w:div>
    <w:div w:id="1893155100">
      <w:bodyDiv w:val="1"/>
      <w:marLeft w:val="0"/>
      <w:marRight w:val="0"/>
      <w:marTop w:val="0"/>
      <w:marBottom w:val="0"/>
      <w:divBdr>
        <w:top w:val="none" w:sz="0" w:space="0" w:color="auto"/>
        <w:left w:val="none" w:sz="0" w:space="0" w:color="auto"/>
        <w:bottom w:val="none" w:sz="0" w:space="0" w:color="auto"/>
        <w:right w:val="none" w:sz="0" w:space="0" w:color="auto"/>
      </w:divBdr>
      <w:divsChild>
        <w:div w:id="136849867">
          <w:marLeft w:val="0"/>
          <w:marRight w:val="0"/>
          <w:marTop w:val="0"/>
          <w:marBottom w:val="0"/>
          <w:divBdr>
            <w:top w:val="none" w:sz="0" w:space="0" w:color="auto"/>
            <w:left w:val="none" w:sz="0" w:space="0" w:color="auto"/>
            <w:bottom w:val="none" w:sz="0" w:space="0" w:color="auto"/>
            <w:right w:val="none" w:sz="0" w:space="0" w:color="auto"/>
          </w:divBdr>
          <w:divsChild>
            <w:div w:id="1900091110">
              <w:marLeft w:val="0"/>
              <w:marRight w:val="0"/>
              <w:marTop w:val="0"/>
              <w:marBottom w:val="0"/>
              <w:divBdr>
                <w:top w:val="none" w:sz="0" w:space="0" w:color="auto"/>
                <w:left w:val="none" w:sz="0" w:space="0" w:color="auto"/>
                <w:bottom w:val="none" w:sz="0" w:space="0" w:color="auto"/>
                <w:right w:val="none" w:sz="0" w:space="0" w:color="auto"/>
              </w:divBdr>
              <w:divsChild>
                <w:div w:id="877352615">
                  <w:marLeft w:val="-150"/>
                  <w:marRight w:val="-150"/>
                  <w:marTop w:val="0"/>
                  <w:marBottom w:val="0"/>
                  <w:divBdr>
                    <w:top w:val="none" w:sz="0" w:space="0" w:color="auto"/>
                    <w:left w:val="none" w:sz="0" w:space="0" w:color="auto"/>
                    <w:bottom w:val="none" w:sz="0" w:space="0" w:color="auto"/>
                    <w:right w:val="none" w:sz="0" w:space="0" w:color="auto"/>
                  </w:divBdr>
                  <w:divsChild>
                    <w:div w:id="1704674180">
                      <w:marLeft w:val="0"/>
                      <w:marRight w:val="0"/>
                      <w:marTop w:val="0"/>
                      <w:marBottom w:val="0"/>
                      <w:divBdr>
                        <w:top w:val="none" w:sz="0" w:space="0" w:color="auto"/>
                        <w:left w:val="none" w:sz="0" w:space="0" w:color="auto"/>
                        <w:bottom w:val="none" w:sz="0" w:space="0" w:color="auto"/>
                        <w:right w:val="none" w:sz="0" w:space="0" w:color="auto"/>
                      </w:divBdr>
                      <w:divsChild>
                        <w:div w:id="1515455831">
                          <w:marLeft w:val="0"/>
                          <w:marRight w:val="0"/>
                          <w:marTop w:val="0"/>
                          <w:marBottom w:val="300"/>
                          <w:divBdr>
                            <w:top w:val="none" w:sz="0" w:space="0" w:color="auto"/>
                            <w:left w:val="none" w:sz="0" w:space="0" w:color="auto"/>
                            <w:bottom w:val="none" w:sz="0" w:space="0" w:color="auto"/>
                            <w:right w:val="none" w:sz="0" w:space="0" w:color="auto"/>
                          </w:divBdr>
                          <w:divsChild>
                            <w:div w:id="617218651">
                              <w:marLeft w:val="0"/>
                              <w:marRight w:val="0"/>
                              <w:marTop w:val="0"/>
                              <w:marBottom w:val="300"/>
                              <w:divBdr>
                                <w:top w:val="none" w:sz="0" w:space="0" w:color="auto"/>
                                <w:left w:val="none" w:sz="0" w:space="0" w:color="auto"/>
                                <w:bottom w:val="none" w:sz="0" w:space="0" w:color="auto"/>
                                <w:right w:val="none" w:sz="0" w:space="0" w:color="auto"/>
                              </w:divBdr>
                              <w:divsChild>
                                <w:div w:id="121653431">
                                  <w:marLeft w:val="0"/>
                                  <w:marRight w:val="0"/>
                                  <w:marTop w:val="0"/>
                                  <w:marBottom w:val="0"/>
                                  <w:divBdr>
                                    <w:top w:val="none" w:sz="0" w:space="0" w:color="auto"/>
                                    <w:left w:val="none" w:sz="0" w:space="0" w:color="auto"/>
                                    <w:bottom w:val="none" w:sz="0" w:space="0" w:color="auto"/>
                                    <w:right w:val="none" w:sz="0" w:space="0" w:color="auto"/>
                                  </w:divBdr>
                                  <w:divsChild>
                                    <w:div w:id="11167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jpeg"/><Relationship Id="rId26" Type="http://schemas.openxmlformats.org/officeDocument/2006/relationships/hyperlink" Target="https://www.tumorzentrum.at/leitlinien/supportive-therapien" TargetMode="External"/><Relationship Id="rId3" Type="http://schemas.openxmlformats.org/officeDocument/2006/relationships/customXml" Target="../customXml/item3.xml"/><Relationship Id="rId21" Type="http://schemas.openxmlformats.org/officeDocument/2006/relationships/image" Target="media/image8.emf"/><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image" Target="media/image12.gi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1.gif"/><Relationship Id="rId32" Type="http://schemas.openxmlformats.org/officeDocument/2006/relationships/footer" Target="footer4.xml"/><Relationship Id="rId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10.gif"/><Relationship Id="rId28" Type="http://schemas.openxmlformats.org/officeDocument/2006/relationships/hyperlink" Target="https://www.dgho.de/publikationen/stellungnahmen/gute-aerztliche-praxis/coronavirus/covid-19-vakzine-20210107.pdf" TargetMode="External"/><Relationship Id="rId36" Type="http://schemas.microsoft.com/office/2016/09/relationships/commentsIds" Target="commentsIds.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9.emf"/><Relationship Id="rId27" Type="http://schemas.openxmlformats.org/officeDocument/2006/relationships/hyperlink" Target="https://www.onkopedia.com/de/onkopedia/de/onkopedia/guidelines/coronavirus-infektion-covid-19-bei-patienten-mit-blut-und-krebserkrankungen/@@guideline/html/index.html" TargetMode="External"/><Relationship Id="rId30" Type="http://schemas.openxmlformats.org/officeDocument/2006/relationships/footer" Target="footer3.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51CD9AAA8D4651B2F1E88EC3F37254"/>
        <w:category>
          <w:name w:val="Allgemein"/>
          <w:gallery w:val="placeholder"/>
        </w:category>
        <w:types>
          <w:type w:val="bbPlcHdr"/>
        </w:types>
        <w:behaviors>
          <w:behavior w:val="content"/>
        </w:behaviors>
        <w:guid w:val="{FED90E4C-8C59-41B4-98FC-5B0767FAB110}"/>
      </w:docPartPr>
      <w:docPartBody>
        <w:p w:rsidR="00C9385A" w:rsidRDefault="00741567">
          <w:pPr>
            <w:pStyle w:val="2051CD9AAA8D4651B2F1E88EC3F37254"/>
          </w:pPr>
          <w:r w:rsidRPr="00EC3CFE">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C9385A"/>
    <w:rsid w:val="00006B6C"/>
    <w:rsid w:val="000E07B4"/>
    <w:rsid w:val="000F0598"/>
    <w:rsid w:val="00175ABC"/>
    <w:rsid w:val="0017795C"/>
    <w:rsid w:val="001A13F2"/>
    <w:rsid w:val="001F20D5"/>
    <w:rsid w:val="001F2CDF"/>
    <w:rsid w:val="0026459D"/>
    <w:rsid w:val="00274C82"/>
    <w:rsid w:val="002835D0"/>
    <w:rsid w:val="003207F8"/>
    <w:rsid w:val="003833D6"/>
    <w:rsid w:val="00391932"/>
    <w:rsid w:val="003A13AC"/>
    <w:rsid w:val="003F1F53"/>
    <w:rsid w:val="0040230D"/>
    <w:rsid w:val="004066F2"/>
    <w:rsid w:val="00445BA5"/>
    <w:rsid w:val="00461662"/>
    <w:rsid w:val="00473981"/>
    <w:rsid w:val="004801A9"/>
    <w:rsid w:val="004B2EAF"/>
    <w:rsid w:val="00524819"/>
    <w:rsid w:val="00565034"/>
    <w:rsid w:val="00573472"/>
    <w:rsid w:val="00612245"/>
    <w:rsid w:val="00674FB5"/>
    <w:rsid w:val="006C2A75"/>
    <w:rsid w:val="006D4632"/>
    <w:rsid w:val="006D463F"/>
    <w:rsid w:val="006E7D94"/>
    <w:rsid w:val="00741567"/>
    <w:rsid w:val="007C3A8C"/>
    <w:rsid w:val="008013CD"/>
    <w:rsid w:val="00817758"/>
    <w:rsid w:val="008546F8"/>
    <w:rsid w:val="008602F5"/>
    <w:rsid w:val="008A45B2"/>
    <w:rsid w:val="008C3531"/>
    <w:rsid w:val="009411A9"/>
    <w:rsid w:val="009A477B"/>
    <w:rsid w:val="00A1265E"/>
    <w:rsid w:val="00A1692E"/>
    <w:rsid w:val="00A31DCC"/>
    <w:rsid w:val="00A428A6"/>
    <w:rsid w:val="00A61E89"/>
    <w:rsid w:val="00AB0FF3"/>
    <w:rsid w:val="00AB1857"/>
    <w:rsid w:val="00AE236F"/>
    <w:rsid w:val="00AE5044"/>
    <w:rsid w:val="00B02359"/>
    <w:rsid w:val="00B47852"/>
    <w:rsid w:val="00B66A9F"/>
    <w:rsid w:val="00B70C50"/>
    <w:rsid w:val="00C14CA1"/>
    <w:rsid w:val="00C20F21"/>
    <w:rsid w:val="00C302CC"/>
    <w:rsid w:val="00C9385A"/>
    <w:rsid w:val="00CD20D4"/>
    <w:rsid w:val="00CF7160"/>
    <w:rsid w:val="00D00887"/>
    <w:rsid w:val="00D42846"/>
    <w:rsid w:val="00D46953"/>
    <w:rsid w:val="00D529B3"/>
    <w:rsid w:val="00D97A6B"/>
    <w:rsid w:val="00DB703F"/>
    <w:rsid w:val="00DD2F08"/>
    <w:rsid w:val="00DF404A"/>
    <w:rsid w:val="00DF78DE"/>
    <w:rsid w:val="00E12A01"/>
    <w:rsid w:val="00E23FF0"/>
    <w:rsid w:val="00E33278"/>
    <w:rsid w:val="00E47F5A"/>
    <w:rsid w:val="00E56E2A"/>
    <w:rsid w:val="00E60B57"/>
    <w:rsid w:val="00E62305"/>
    <w:rsid w:val="00EB57B1"/>
    <w:rsid w:val="00EB5C45"/>
    <w:rsid w:val="00ED4D16"/>
    <w:rsid w:val="00EF4FAD"/>
    <w:rsid w:val="00F53AA4"/>
    <w:rsid w:val="00F547E3"/>
    <w:rsid w:val="00F777FC"/>
    <w:rsid w:val="00F93C60"/>
    <w:rsid w:val="00F9782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07F8"/>
    <w:rPr>
      <w:color w:val="808080"/>
    </w:rPr>
  </w:style>
  <w:style w:type="paragraph" w:customStyle="1" w:styleId="2051CD9AAA8D4651B2F1E88EC3F37254">
    <w:name w:val="2051CD9AAA8D4651B2F1E88EC3F37254"/>
    <w:rsid w:val="003207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eitlinie" ma:contentTypeID="0x010100702417A06B9047CAB652CC4AA8856879007A6474B24F3947A8AB0E117FB186CABB009255144ACA0D4F4497381DBA8E2574A4" ma:contentTypeVersion="30" ma:contentTypeDescription="" ma:contentTypeScope="" ma:versionID="1f7a6b31271d44cc590f845a31a803e4">
  <xsd:schema xmlns:xsd="http://www.w3.org/2001/XMLSchema" xmlns:xs="http://www.w3.org/2001/XMLSchema" xmlns:p="http://schemas.microsoft.com/office/2006/metadata/properties" xmlns:ns1="http://schemas.microsoft.com/sharepoint/v3" xmlns:ns2="18c45198-6fc7-4da6-aad9-951c94b71f4f" xmlns:ns3="824990fe-55f0-45e8-a37e-05db7cf8aedc" targetNamespace="http://schemas.microsoft.com/office/2006/metadata/properties" ma:root="true" ma:fieldsID="d4c57224080659064694c2fc513c7b38" ns1:_="" ns2:_="" ns3:_="">
    <xsd:import namespace="http://schemas.microsoft.com/sharepoint/v3"/>
    <xsd:import namespace="18c45198-6fc7-4da6-aad9-951c94b71f4f"/>
    <xsd:import namespace="824990fe-55f0-45e8-a37e-05db7cf8aedc"/>
    <xsd:element name="properties">
      <xsd:complexType>
        <xsd:sequence>
          <xsd:element name="documentManagement">
            <xsd:complexType>
              <xsd:all>
                <xsd:element ref="ns1:dfr_actionlink" minOccurs="0"/>
                <xsd:element ref="ns1:dfr_finishedtecapprovers" minOccurs="0"/>
                <xsd:element ref="ns1:dfr_finishedcheckers" minOccurs="0"/>
                <xsd:element ref="ns1:dfr_finishedorgapprovers" minOccurs="0"/>
                <xsd:element ref="ns1:dfr_approvalid" minOccurs="0"/>
                <xsd:element ref="ns1:dfr_archived" minOccurs="0"/>
                <xsd:element ref="ns1:dfr_comments" minOccurs="0"/>
                <xsd:element ref="ns1:dfr_contenttype" minOccurs="0"/>
                <xsd:element ref="ns1:dfr_headernote" minOccurs="0"/>
                <xsd:element ref="ns1:dfr_lastnotification" minOccurs="0"/>
                <xsd:element ref="ns1:dfr_lastrevision" minOccurs="0"/>
                <xsd:element ref="ns1:dfr_nextrevision" minOccurs="0"/>
                <xsd:element ref="ns1:dfr_revision" minOccurs="0"/>
                <xsd:element ref="ns1:dfr_pendingtecapprovers" minOccurs="0"/>
                <xsd:element ref="ns1:dfr_pendingcheckers" minOccurs="0"/>
                <xsd:element ref="ns1:dfr_pendingorgapprovers" minOccurs="0"/>
                <xsd:element ref="ns1:dfr_department" minOccurs="0"/>
                <xsd:element ref="ns1:dfr_prevdepartment" minOccurs="0"/>
                <xsd:element ref="ns1:dfr_taskid" minOccurs="0"/>
                <xsd:element ref="ns1:dfr_taskowner" minOccurs="0"/>
                <xsd:element ref="ns1:dfr_taskinitializer" minOccurs="0"/>
                <xsd:element ref="ns1:dfr_creator" minOccurs="0"/>
                <xsd:element ref="ns1:dfr_defaultcheckers" minOccurs="0"/>
                <xsd:element ref="ns1:dfr_defaultorgapprovers" minOccurs="0"/>
                <xsd:element ref="ns1:dfr_orgunit" minOccurs="0"/>
                <xsd:element ref="ns1:dfr_orgscope" minOccurs="0"/>
                <xsd:element ref="ns1:dfr_taskownerresponsibility" minOccurs="0"/>
                <xsd:element ref="ns1:dfr_publisheddate" minOccurs="0"/>
                <xsd:element ref="ns2:dfr_classification" minOccurs="0"/>
                <xsd:element ref="ns1:dfr_location" minOccurs="0"/>
                <xsd:element ref="ns2:dfr_majorversion" minOccurs="0"/>
                <xsd:element ref="ns2:dfr_nextasknotification" minOccurs="0"/>
                <xsd:element ref="ns1:dfr_inforecipients" minOccurs="0"/>
                <xsd:element ref="ns1:dfr_infodistributionlist" minOccurs="0"/>
                <xsd:element ref="ns3:TaxKeywordTaxHTField" minOccurs="0"/>
                <xsd:element ref="ns3:TaxCatchAll" minOccurs="0"/>
                <xsd:element ref="ns3:TaxCatchAllLabel" minOccurs="0"/>
                <xsd:element ref="ns1:customfield_major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fr_actionlink" ma:index="2" nillable="true" ma:displayName="Aktion" ma:description="" ma:format="Hyperlink" ma:hidden="true" ma:internalName="dfr_actionlink">
      <xsd:simpleType>
        <xsd:restriction base="dms:Unknown"/>
      </xsd:simpleType>
    </xsd:element>
    <xsd:element name="dfr_finishedtecapprovers" ma:index="3" nillable="true" ma:displayName="wurde fachl. freig. durch" ma:description="" ma:hidden="true" ma:list="UserInfo" ma:internalName="dfr_finishedtec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finishedcheckers" ma:index="4" nillable="true" ma:displayName="wurde geprüft durch" ma:description="" ma:hidden="true" ma:list="UserInfo" ma:internalName="dfr_finished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finishedorgapprovers" ma:index="5" nillable="true" ma:displayName="wurde org. freig. durch" ma:description="" ma:hidden="true" ma:list="UserInfo" ma:internalName="dfr_finished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approvalid" ma:index="6" nillable="true" ma:displayName="Freigabe ID" ma:description="-" ma:hidden="true" ma:internalName="dfr_approvalid">
      <xsd:simpleType>
        <xsd:restriction base="dms:Text">
          <xsd:maxLength value="512"/>
        </xsd:restriction>
      </xsd:simpleType>
    </xsd:element>
    <xsd:element name="dfr_archived" ma:index="7" nillable="true" ma:displayName="Archiviert" ma:description="" ma:hidden="true" ma:internalName="dfr_archived">
      <xsd:simpleType>
        <xsd:restriction base="dms:Text"/>
      </xsd:simpleType>
    </xsd:element>
    <xsd:element name="dfr_comments" ma:index="8" nillable="true" ma:displayName="Kommentare" ma:description="-" ma:hidden="true" ma:internalName="dfr_comments">
      <xsd:simpleType>
        <xsd:restriction base="dms:Note"/>
      </xsd:simpleType>
    </xsd:element>
    <xsd:element name="dfr_contenttype" ma:index="9" nillable="true" ma:displayName="Inhalt" ma:description="" ma:hidden="true" ma:internalName="dfr_contenttype">
      <xsd:simpleType>
        <xsd:restriction base="dms:Text">
          <xsd:maxLength value="255"/>
        </xsd:restriction>
      </xsd:simpleType>
    </xsd:element>
    <xsd:element name="dfr_headernote" ma:index="10" nillable="true" ma:displayName="Vermerk" ma:description="" ma:format="Dropdown" ma:hidden="true" ma:internalName="dfr_headernote" ma:readOnly="false">
      <xsd:simpleType>
        <xsd:restriction base="dms:Choice">
          <xsd:enumeration value="Kein Vermerk"/>
          <xsd:enumeration value="Freigabe Geschäftsführung"/>
          <xsd:enumeration value="Freigabe KOFÜ"/>
        </xsd:restriction>
      </xsd:simpleType>
    </xsd:element>
    <xsd:element name="dfr_lastnotification" ma:index="11" nillable="true" ma:displayName="Rev. Benachrichtigung" ma:description="Beschreibt, wann die letzte Revisionsbenachrichtigung gesendet wurde. " ma:format="DateTime" ma:hidden="true" ma:internalName="dfr_lastnotification" ma:readOnly="false">
      <xsd:simpleType>
        <xsd:restriction base="dms:DateTime"/>
      </xsd:simpleType>
    </xsd:element>
    <xsd:element name="dfr_lastrevision" ma:index="12" nillable="true" ma:displayName="letzte Revision" ma:description="" ma:format="DateOnly" ma:hidden="true" ma:internalName="dfr_lastrevision">
      <xsd:simpleType>
        <xsd:restriction base="dms:DateTime"/>
      </xsd:simpleType>
    </xsd:element>
    <xsd:element name="dfr_nextrevision" ma:index="13" nillable="true" ma:displayName="nächste Revision" ma:description="" ma:format="DateOnly" ma:hidden="true" ma:internalName="dfr_nextrevision">
      <xsd:simpleType>
        <xsd:restriction base="dms:DateTime"/>
      </xsd:simpleType>
    </xsd:element>
    <xsd:element name="dfr_revision" ma:index="14" nillable="true" ma:displayName="Revision" ma:description="" ma:hidden="true" ma:internalName="dfr_revision" ma:readOnly="false">
      <xsd:simpleType>
        <xsd:restriction base="dms:Text">
          <xsd:maxLength value="255"/>
        </xsd:restriction>
      </xsd:simpleType>
    </xsd:element>
    <xsd:element name="dfr_pendingtecapprovers" ma:index="15" nillable="true" ma:displayName="wird fachl. freig. durch" ma:description="-" ma:hidden="true" ma:list="UserInfo" ma:internalName="dfr_pendingtec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pendingcheckers" ma:index="16" nillable="true" ma:displayName="wird geprüft durch" ma:description="" ma:hidden="true" ma:list="UserInfo" ma:internalName="dfr_pending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pendingorgapprovers" ma:index="17" nillable="true" ma:displayName="wird org. freig. durch" ma:description="-" ma:hidden="true" ma:list="UserInfo" ma:internalName="dfr_pending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partment" ma:index="18" nillable="true" ma:displayName="Bereich" ma:default="zu setzen" ma:description="" ma:format="Dropdown" ma:internalName="dfr_department" ma:readOnly="false">
      <xsd:simpleType>
        <xsd:restriction base="dms:Choice">
          <xsd:enumeration value="Brustgesundheitszentrum"/>
          <xsd:enumeration value="CATO"/>
          <xsd:enumeration value="Celsius 37"/>
          <xsd:enumeration value="Forschung"/>
          <xsd:enumeration value="Hepatobiläres Board"/>
          <xsd:enumeration value="Leitlinien Hämatologie"/>
          <xsd:enumeration value="Leitlinien solide Tumore"/>
          <xsd:enumeration value="Leitlinien sonstige"/>
          <xsd:enumeration value="Organisation"/>
          <xsd:enumeration value="zu setzen"/>
        </xsd:restriction>
      </xsd:simpleType>
    </xsd:element>
    <xsd:element name="dfr_prevdepartment" ma:index="19" nillable="true" ma:displayName="Bereich (vor Archiv)" ma:description="" ma:hidden="true" ma:internalName="dfr_prevdepartment">
      <xsd:simpleType>
        <xsd:restriction base="dms:Text">
          <xsd:maxLength value="255"/>
        </xsd:restriction>
      </xsd:simpleType>
    </xsd:element>
    <xsd:element name="dfr_taskid" ma:index="20" nillable="true" ma:displayName="Aufgabe ID" ma:description="-" ma:hidden="true" ma:internalName="dfr_taskid" ma:percentage="FALSE">
      <xsd:simpleType>
        <xsd:restriction base="dms:Number">
          <xsd:maxInclusive value="9999999999999"/>
          <xsd:minInclusive value="0"/>
        </xsd:restriction>
      </xsd:simpleType>
    </xsd:element>
    <xsd:element name="dfr_taskowner" ma:index="21" nillable="true" ma:displayName="Aktueller Prüfer/Freigeber" ma:description="" ma:hidden="true" ma:list="UserInfo" ma:internalName="dfr_task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taskinitializer" ma:index="22" nillable="true" ma:displayName="Freigabe eingeleitet durch" ma:description="" ma:hidden="true" ma:list="UserInfo" ma:internalName="dfr_taskinitializ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creator" ma:index="23" nillable="true" ma:displayName="Ersteller" ma:description="" ma:list="UserInfo" ma:SearchPeopleOnly="false" ma:SharePointGroup="0" ma:internalName="dfr_crea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faultcheckers" ma:index="24" nillable="true" ma:displayName="Prüfer" ma:description="" ma:hidden="true" ma:list="UserInfo" ma:internalName="dfr_default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faultorgapprovers" ma:index="25" nillable="true" ma:displayName="Freigeber" ma:description="" ma:hidden="true" ma:list="UserInfo" ma:internalName="dfr_default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orgunit" ma:index="26" nillable="true" ma:displayName="Organisationseinheit" ma:default="OÖG" ma:format="Dropdown" ma:internalName="dfr_orgunit" ma:readOnly="false">
      <xsd:simpleType>
        <xsd:union memberTypes="dms:Text">
          <xsd:simpleType>
            <xsd:restriction base="dms:Choice">
              <xsd:enumeration value="Alle Organisationseinheiten"/>
              <xsd:enumeration value="OÖG"/>
              <xsd:enumeration value="Tumorzentrum"/>
            </xsd:restriction>
          </xsd:simpleType>
        </xsd:union>
      </xsd:simpleType>
    </xsd:element>
    <xsd:element name="dfr_orgscope" ma:index="27" nillable="true" ma:displayName="Gültigkeitsbereich" ma:internalName="dfr_orgscope" ma:readOnly="false">
      <xsd:complexType>
        <xsd:complexContent>
          <xsd:extension base="dms:MultiChoice">
            <xsd:sequence>
              <xsd:element name="Value" maxOccurs="unbounded" minOccurs="0" nillable="true">
                <xsd:simpleType>
                  <xsd:restriction base="dms:Choice">
                    <xsd:enumeration value="OÖG"/>
                    <xsd:enumeration value="Kepler Universitätsklinikum"/>
                    <xsd:enumeration value="Finanzdirektion"/>
                    <xsd:enumeration value="Konzernrevision"/>
                    <xsd:enumeration value="Klinikum Freistadt"/>
                    <xsd:enumeration value="Klinikum Rohrbach"/>
                    <xsd:enumeration value="Klinikum Schärding"/>
                    <xsd:enumeration value="Kompetenzmanagement Pflege"/>
                    <xsd:enumeration value="Medizinische Direktion"/>
                    <xsd:enumeration value="Personaldirektion"/>
                    <xsd:enumeration value="Public Relations und Kommunikation"/>
                    <xsd:enumeration value="Pyhrn-Eisenwurzen Klinikum"/>
                    <xsd:enumeration value="Pyhrn-Eisenwurzen Klinikum Kirchdorf"/>
                    <xsd:enumeration value="Pyhrn-Eisenwurzen Klinikum Steyr"/>
                    <xsd:enumeration value="Recht"/>
                    <xsd:enumeration value="Salzkammergut Klinikum"/>
                    <xsd:enumeration value="SK Bad Ischl"/>
                    <xsd:enumeration value="SK Gmunden"/>
                    <xsd:enumeration value="SK Vöcklabruck"/>
                    <xsd:enumeration value="Technische Direktion"/>
                    <xsd:enumeration value="Tumorzentrum"/>
                  </xsd:restriction>
                </xsd:simpleType>
              </xsd:element>
            </xsd:sequence>
          </xsd:extension>
        </xsd:complexContent>
      </xsd:complexType>
    </xsd:element>
    <xsd:element name="dfr_taskownerresponsibility" ma:index="28" nillable="true" ma:displayName="Zuständigkeit" ma:description="" ma:hidden="true" ma:internalName="dfr_taskownerresponsibility">
      <xsd:simpleType>
        <xsd:restriction base="dms:Text">
          <xsd:maxLength value="255"/>
        </xsd:restriction>
      </xsd:simpleType>
    </xsd:element>
    <xsd:element name="dfr_publisheddate" ma:index="29" nillable="true" ma:displayName="Veröffentlichungsdatum" ma:description="" ma:format="DateTime" ma:hidden="true" ma:internalName="dfr_publisheddate">
      <xsd:simpleType>
        <xsd:restriction base="dms:DateTime"/>
      </xsd:simpleType>
    </xsd:element>
    <xsd:element name="dfr_location" ma:index="31" nillable="true" ma:displayName="Standort Kürzel" ma:description="Wird automatisch befüllt." ma:hidden="true" ma:internalName="dfr_location">
      <xsd:simpleType>
        <xsd:restriction base="dms:Text">
          <xsd:maxLength value="255"/>
        </xsd:restriction>
      </xsd:simpleType>
    </xsd:element>
    <xsd:element name="dfr_inforecipients" ma:index="34" nillable="true" ma:displayName="Empfängerkreis" ma:description="Diese Personen erhalten nach jeder Veröffentlichung des Dokuments eine Informationsmail." ma:hidden="true" ma:list="UserInfo" ma:internalName="dfr_inforecipien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infodistributionlist" ma:index="40" nillable="true" ma:displayName="Verteilerliste" ma:description="" ma:format="Dropdown" ma:hidden="true" ma:internalName="dfr_infodistributionlist" ma:readOnly="false">
      <xsd:simpleType>
        <xsd:restriction base="dms:Choice">
          <xsd:enumeration value="Beschreibung der 1. Liste (webmaster@gespag.at)"/>
          <xsd:enumeration value="Beschreibung der 2. Liste (webmaster@gespag.at)"/>
          <xsd:enumeration value="Beschreibung der 3. Liste (webmaster@gespag.at)"/>
        </xsd:restriction>
      </xsd:simpleType>
    </xsd:element>
    <xsd:element name="customfield_majorversion" ma:index="44" nillable="true" ma:displayName="Link zur Hauptversion" ma:description="" ma:format="Hyperlink" ma:hidden="true" ma:internalName="customfield_major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45198-6fc7-4da6-aad9-951c94b71f4f" elementFormDefault="qualified">
    <xsd:import namespace="http://schemas.microsoft.com/office/2006/documentManagement/types"/>
    <xsd:import namespace="http://schemas.microsoft.com/office/infopath/2007/PartnerControls"/>
    <xsd:element name="dfr_classification" ma:index="30" nillable="true" ma:displayName="Klassifizierung" ma:default="eingeschränkt" ma:description="" ma:format="Dropdown" ma:internalName="dfr_classification" ma:readOnly="false">
      <xsd:simpleType>
        <xsd:restriction base="dms:Choice">
          <xsd:enumeration value="geheim"/>
          <xsd:enumeration value="vertraulich"/>
          <xsd:enumeration value="eingeschränkt"/>
          <xsd:enumeration value="öffentlich"/>
        </xsd:restriction>
      </xsd:simpleType>
    </xsd:element>
    <xsd:element name="dfr_majorversion" ma:index="32" nillable="true" ma:displayName="HVersion" ma:description="" ma:hidden="true" ma:internalName="dfr_majorversion">
      <xsd:simpleType>
        <xsd:restriction base="dms:Text"/>
      </xsd:simpleType>
    </xsd:element>
    <xsd:element name="dfr_nextasknotification" ma:index="33" nillable="true" ma:displayName="Aufgabenbenachrichtigung ab" ma:description="" ma:format="DateTime" ma:hidden="true" ma:internalName="dfr_nextasknotifica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4990fe-55f0-45e8-a37e-05db7cf8aedc" elementFormDefault="qualified">
    <xsd:import namespace="http://schemas.microsoft.com/office/2006/documentManagement/types"/>
    <xsd:import namespace="http://schemas.microsoft.com/office/infopath/2007/PartnerControls"/>
    <xsd:element name="TaxKeywordTaxHTField" ma:index="41" nillable="true" ma:taxonomy="true" ma:internalName="TaxKeywordTaxHTField" ma:taxonomyFieldName="TaxKeyword" ma:displayName="Schlagwört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42" nillable="true" ma:displayName="Taxonomy Catch All Column" ma:description="" ma:hidden="true" ma:list="{4243b168-8c6c-410f-98ef-1db402bfb9eb}" ma:internalName="TaxCatchAll" ma:showField="CatchAllData" ma:web="824990fe-55f0-45e8-a37e-05db7cf8aedc">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description="" ma:hidden="true" ma:list="{4243b168-8c6c-410f-98ef-1db402bfb9eb}" ma:internalName="TaxCatchAllLabel" ma:readOnly="true" ma:showField="CatchAllDataLabel" ma:web="824990fe-55f0-45e8-a37e-05db7cf8ae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dfr_finishedtecapprovers xmlns="http://schemas.microsoft.com/sharepoint/v3">
      <UserInfo>
        <DisplayName/>
        <AccountId xsi:nil="true"/>
        <AccountType/>
      </UserInfo>
    </dfr_finishedtecapprovers>
    <dfr_publisheddate xmlns="http://schemas.microsoft.com/sharepoint/v3">2022-05-16T12:51:59+00:00</dfr_publisheddate>
    <dfr_actionlink xmlns="http://schemas.microsoft.com/sharepoint/v3">https://ooeg.info/dokumente/_layouts/gespag.dfr/revise.aspx?IsDlg=1&amp;listID=18c45198-6fc7-4da6-aad9-951c94b71f4f&amp;itemID=375, revisionieren</dfr_actionlink>
    <dfr_prevdepartment xmlns="http://schemas.microsoft.com/sharepoint/v3" xsi:nil="true"/>
    <dfr_creator xmlns="http://schemas.microsoft.com/sharepoint/v3">
      <UserInfo>
        <DisplayName>Kaynak Emine</DisplayName>
        <AccountId>36627</AccountId>
        <AccountType/>
      </UserInfo>
    </dfr_creator>
    <dfr_approvalid xmlns="http://schemas.microsoft.com/sharepoint/v3">cd4f43d8-fc00-4004-ac7a-627d1042c830</dfr_approvalid>
    <dfr_taskinitializer xmlns="http://schemas.microsoft.com/sharepoint/v3">
      <UserInfo>
        <DisplayName>Pichler Thomas</DisplayName>
        <AccountId>28327</AccountId>
        <AccountType/>
      </UserInfo>
    </dfr_taskinitializer>
    <dfr_taskownerresponsibility xmlns="http://schemas.microsoft.com/sharepoint/v3" xsi:nil="true"/>
    <dfr_finishedorgapprovers xmlns="http://schemas.microsoft.com/sharepoint/v3">
      <UserInfo>
        <DisplayName>Pichler Thomas</DisplayName>
        <AccountId>28327</AccountId>
        <AccountType/>
      </UserInfo>
    </dfr_finishedorgapprovers>
    <dfr_contenttype xmlns="http://schemas.microsoft.com/sharepoint/v3">Leitlinie</dfr_contenttype>
    <dfr_taskid xmlns="http://schemas.microsoft.com/sharepoint/v3" xsi:nil="true"/>
    <dfr_orgunit xmlns="http://schemas.microsoft.com/sharepoint/v3">Tumorzentrum</dfr_orgunit>
    <dfr_taskowner xmlns="http://schemas.microsoft.com/sharepoint/v3">
      <UserInfo>
        <DisplayName/>
        <AccountId xsi:nil="true"/>
        <AccountType/>
      </UserInfo>
    </dfr_taskowner>
    <dfr_pendingtecapprovers xmlns="http://schemas.microsoft.com/sharepoint/v3">
      <UserInfo>
        <DisplayName/>
        <AccountId xsi:nil="true"/>
        <AccountType/>
      </UserInfo>
    </dfr_pendingtecapprovers>
    <dfr_archived xmlns="http://schemas.microsoft.com/sharepoint/v3" xsi:nil="true"/>
    <dfr_comments xmlns="http://schemas.microsoft.com/sharepoint/v3">16.05.2022 14:51:47 Pichler Thomas (Initiator) : Freigabe der Revision Dr. Kaynak per Mail vom 16.05.2022
16.05.2022 14:51:59 Pichler Thomas (Freigeber) : .
</dfr_comments>
    <dfr_lastnotification xmlns="http://schemas.microsoft.com/sharepoint/v3" xsi:nil="true"/>
    <dfr_lastrevision xmlns="http://schemas.microsoft.com/sharepoint/v3" xsi:nil="true"/>
    <dfr_finishedcheckers xmlns="http://schemas.microsoft.com/sharepoint/v3">
      <UserInfo>
        <DisplayName/>
        <AccountId xsi:nil="true"/>
        <AccountType/>
      </UserInfo>
    </dfr_finishedcheckers>
    <dfr_pendingcheckers xmlns="http://schemas.microsoft.com/sharepoint/v3">
      <UserInfo>
        <DisplayName/>
        <AccountId xsi:nil="true"/>
        <AccountType/>
      </UserInfo>
    </dfr_pendingcheckers>
    <dfr_headernote xmlns="http://schemas.microsoft.com/sharepoint/v3" xsi:nil="true"/>
    <dfr_nextrevision xmlns="http://schemas.microsoft.com/sharepoint/v3">2023-05-16T12:52:02+00:00</dfr_nextrevision>
    <dfr_pendingorgapprovers xmlns="http://schemas.microsoft.com/sharepoint/v3">
      <UserInfo>
        <DisplayName/>
        <AccountId xsi:nil="true"/>
        <AccountType/>
      </UserInfo>
    </dfr_pendingorgapprovers>
    <dfr_orgscope xmlns="http://schemas.microsoft.com/sharepoint/v3">
      <Value>Tumorzentrum</Value>
    </dfr_orgscope>
    <dfr_revision xmlns="http://schemas.microsoft.com/sharepoint/v3">0</dfr_revision>
    <dfr_department xmlns="http://schemas.microsoft.com/sharepoint/v3">Leitlinien Hämatologie</dfr_department>
    <customfield_majorversion xmlns="http://schemas.microsoft.com/sharepoint/v3" xsi:nil="true"/>
    <dfr_location xmlns="http://schemas.microsoft.com/sharepoint/v3">KH</dfr_location>
    <dfr_majorversion xmlns="18c45198-6fc7-4da6-aad9-951c94b71f4f">4.0</dfr_majorversion>
    <dfr_nextasknotification xmlns="18c45198-6fc7-4da6-aad9-951c94b71f4f" xsi:nil="true"/>
    <dfr_inforecipients xmlns="http://schemas.microsoft.com/sharepoint/v3">
      <UserInfo>
        <DisplayName/>
        <AccountId xsi:nil="true"/>
        <AccountType/>
      </UserInfo>
    </dfr_inforecipients>
    <TaxCatchAll xmlns="824990fe-55f0-45e8-a37e-05db7cf8aedc"/>
    <dfr_defaultorgapprovers xmlns="http://schemas.microsoft.com/sharepoint/v3">
      <UserInfo>
        <DisplayName>Pichler Thomas</DisplayName>
        <AccountId>28327</AccountId>
        <AccountType/>
      </UserInfo>
    </dfr_defaultorgapprovers>
    <dfr_defaultcheckers xmlns="http://schemas.microsoft.com/sharepoint/v3">
      <UserInfo>
        <DisplayName/>
        <AccountId xsi:nil="true"/>
        <AccountType/>
      </UserInfo>
    </dfr_defaultcheckers>
    <TaxKeywordTaxHTField xmlns="824990fe-55f0-45e8-a37e-05db7cf8aedc">
      <Terms xmlns="http://schemas.microsoft.com/office/infopath/2007/PartnerControls"/>
    </TaxKeywordTaxHTField>
    <dfr_infodistributionlist xmlns="http://schemas.microsoft.com/sharepoint/v3" xsi:nil="true"/>
    <dfr_classification xmlns="18c45198-6fc7-4da6-aad9-951c94b71f4f">öffentlich</dfr_classification>
  </documentManagement>
</p:properties>
</file>

<file path=customXml/itemProps1.xml><?xml version="1.0" encoding="utf-8"?>
<ds:datastoreItem xmlns:ds="http://schemas.openxmlformats.org/officeDocument/2006/customXml" ds:itemID="{0292D683-BC78-46C0-9D06-BC5019191F69}"/>
</file>

<file path=customXml/itemProps2.xml><?xml version="1.0" encoding="utf-8"?>
<ds:datastoreItem xmlns:ds="http://schemas.openxmlformats.org/officeDocument/2006/customXml" ds:itemID="{274BC783-A813-4297-99AD-9E9E8A1521E2}"/>
</file>

<file path=customXml/itemProps3.xml><?xml version="1.0" encoding="utf-8"?>
<ds:datastoreItem xmlns:ds="http://schemas.openxmlformats.org/officeDocument/2006/customXml" ds:itemID="{B6CEEA57-81DF-433A-8CC4-C9895D0986F7}"/>
</file>

<file path=customXml/itemProps4.xml><?xml version="1.0" encoding="utf-8"?>
<ds:datastoreItem xmlns:ds="http://schemas.openxmlformats.org/officeDocument/2006/customXml" ds:itemID="{E20FE06A-E31F-40A7-8894-4B5B42C79A73}"/>
</file>

<file path=docProps/app.xml><?xml version="1.0" encoding="utf-8"?>
<Properties xmlns="http://schemas.openxmlformats.org/officeDocument/2006/extended-properties" xmlns:vt="http://schemas.openxmlformats.org/officeDocument/2006/docPropsVTypes">
  <Template>Normal</Template>
  <TotalTime>0</TotalTime>
  <Pages>24</Pages>
  <Words>5401</Words>
  <Characters>34031</Characters>
  <Application>Microsoft Office Word</Application>
  <DocSecurity>0</DocSecurity>
  <Lines>283</Lines>
  <Paragraphs>78</Paragraphs>
  <ScaleCrop>false</ScaleCrop>
  <HeadingPairs>
    <vt:vector size="2" baseType="variant">
      <vt:variant>
        <vt:lpstr>Titel</vt:lpstr>
      </vt:variant>
      <vt:variant>
        <vt:i4>1</vt:i4>
      </vt:variant>
    </vt:vector>
  </HeadingPairs>
  <TitlesOfParts>
    <vt:vector size="1" baseType="lpstr">
      <vt:lpstr>PTCL</vt:lpstr>
    </vt:vector>
  </TitlesOfParts>
  <Company>gespag</Company>
  <LinksUpToDate>false</LinksUpToDate>
  <CharactersWithSpaces>39354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PTCL</dc:title>
  <dc:creator>Mag. Pichler (KI), (71)20090, kipichth</dc:creator>
  <cp:keywords/>
  <cp:lastModifiedBy>Pichler, Thomas</cp:lastModifiedBy>
  <cp:revision>5</cp:revision>
  <cp:lastPrinted>2021-08-02T12:56:00Z</cp:lastPrinted>
  <dcterms:created xsi:type="dcterms:W3CDTF">2022-04-25T06:48:00Z</dcterms:created>
  <dcterms:modified xsi:type="dcterms:W3CDTF">2022-05-16T12:48:00Z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hemen">
    <vt:lpwstr>118;#Medizin;#119;#Pflege</vt:lpwstr>
  </property>
  <property fmtid="{D5CDD505-2E9C-101B-9397-08002B2CF9AE}" pid="3" name="Hauptthemen">
    <vt:lpwstr>4;#QM</vt:lpwstr>
  </property>
  <property fmtid="{D5CDD505-2E9C-101B-9397-08002B2CF9AE}" pid="4" name="Absenderauswahl">
    <vt:lpwstr>ul</vt:lpwstr>
  </property>
  <property fmtid="{D5CDD505-2E9C-101B-9397-08002B2CF9AE}" pid="5" name="Dokumenten_Stichwoerter">
    <vt:lpwstr>Standard; Vorlage; Muster; gespag</vt:lpwstr>
  </property>
  <property fmtid="{D5CDD505-2E9C-101B-9397-08002B2CF9AE}" pid="6" name="Vertraulich">
    <vt:lpwstr>0</vt:lpwstr>
  </property>
  <property fmtid="{D5CDD505-2E9C-101B-9397-08002B2CF9AE}" pid="7" name="Audience">
    <vt:lpwstr/>
  </property>
  <property fmtid="{D5CDD505-2E9C-101B-9397-08002B2CF9AE}" pid="8" name="ContentType">
    <vt:lpwstr>Formulare</vt:lpwstr>
  </property>
  <property fmtid="{D5CDD505-2E9C-101B-9397-08002B2CF9AE}" pid="9" name="ContentTypeId">
    <vt:lpwstr>0x010100702417A06B9047CAB652CC4AA8856879007A6474B24F3947A8AB0E117FB186CABB009255144ACA0D4F4497381DBA8E2574A4</vt:lpwstr>
  </property>
  <property fmtid="{D5CDD505-2E9C-101B-9397-08002B2CF9AE}" pid="10" name="Themenauswahl">
    <vt:lpwstr>118;119;</vt:lpwstr>
  </property>
  <property fmtid="{D5CDD505-2E9C-101B-9397-08002B2CF9AE}" pid="11" name="Absender">
    <vt:lpwstr>11</vt:lpwstr>
  </property>
  <property fmtid="{D5CDD505-2E9C-101B-9397-08002B2CF9AE}" pid="12" name="TemplateUrl">
    <vt:lpwstr/>
  </property>
  <property fmtid="{D5CDD505-2E9C-101B-9397-08002B2CF9AE}" pid="13" name="xd_ProgID">
    <vt:lpwstr/>
  </property>
  <property fmtid="{D5CDD505-2E9C-101B-9397-08002B2CF9AE}" pid="14" name="_CopySource">
    <vt:lpwstr/>
  </property>
  <property fmtid="{D5CDD505-2E9C-101B-9397-08002B2CF9AE}" pid="15" name="Order">
    <vt:lpwstr>4900.00000000000</vt:lpwstr>
  </property>
  <property fmtid="{D5CDD505-2E9C-101B-9397-08002B2CF9AE}" pid="16" name="URL">
    <vt:lpwstr/>
  </property>
  <property fmtid="{D5CDD505-2E9C-101B-9397-08002B2CF9AE}" pid="17" name="Zielgruppenauswahl">
    <vt:lpwstr>;;;;</vt:lpwstr>
  </property>
  <property fmtid="{D5CDD505-2E9C-101B-9397-08002B2CF9AE}" pid="18" name="DLCPolicyLabelValue">
    <vt:lpwstr>Version: 0.1 Status: Entwurf</vt:lpwstr>
  </property>
  <property fmtid="{D5CDD505-2E9C-101B-9397-08002B2CF9AE}" pid="19" name="_dlc_ExpireDate">
    <vt:filetime>2013-12-17T15:13:37Z</vt:filetime>
  </property>
  <property fmtid="{D5CDD505-2E9C-101B-9397-08002B2CF9AE}" pid="20" name="Kernprozess">
    <vt:lpwstr>Leitlinien Onkologie</vt:lpwstr>
  </property>
  <property fmtid="{D5CDD505-2E9C-101B-9397-08002B2CF9AE}" pid="21" name="archiviert">
    <vt:lpwstr>Nein</vt:lpwstr>
  </property>
  <property fmtid="{D5CDD505-2E9C-101B-9397-08002B2CF9AE}" pid="22" name="Bereich">
    <vt:lpwstr>Vorlagen</vt:lpwstr>
  </property>
  <property fmtid="{D5CDD505-2E9C-101B-9397-08002B2CF9AE}" pid="23" name="Archivieren">
    <vt:lpwstr>Nein</vt:lpwstr>
  </property>
  <property fmtid="{D5CDD505-2E9C-101B-9397-08002B2CF9AE}" pid="24" name="läuft ab am">
    <vt:lpwstr>2098-12-31T23:00:00+00:00</vt:lpwstr>
  </property>
  <property fmtid="{D5CDD505-2E9C-101B-9397-08002B2CF9AE}" pid="25" name="TaxKeyword">
    <vt:lpwstr/>
  </property>
</Properties>
</file>