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CE83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23B7CE84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23B7CE85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23B7CE86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23B7CE87" w14:textId="77777777" w:rsidR="00B6342E" w:rsidRDefault="00B6342E" w:rsidP="00B6342E">
      <w:pPr>
        <w:pStyle w:val="Titel"/>
        <w:jc w:val="left"/>
        <w:rPr>
          <w:b/>
          <w:sz w:val="48"/>
          <w:szCs w:val="48"/>
        </w:rPr>
      </w:pPr>
    </w:p>
    <w:p w14:paraId="23B7CE88" w14:textId="77777777" w:rsidR="00E67988" w:rsidRDefault="00E67988" w:rsidP="00B6342E">
      <w:pPr>
        <w:pStyle w:val="Titel"/>
        <w:jc w:val="left"/>
        <w:rPr>
          <w:b/>
          <w:sz w:val="48"/>
          <w:szCs w:val="48"/>
        </w:rPr>
      </w:pPr>
    </w:p>
    <w:p w14:paraId="23B7CE89" w14:textId="77777777" w:rsidR="00250E53" w:rsidRDefault="00250E53" w:rsidP="00B6342E">
      <w:pPr>
        <w:pStyle w:val="Titel"/>
        <w:jc w:val="left"/>
        <w:rPr>
          <w:b/>
          <w:sz w:val="48"/>
          <w:szCs w:val="48"/>
        </w:rPr>
      </w:pPr>
    </w:p>
    <w:p w14:paraId="23B7CE8A" w14:textId="77777777" w:rsidR="008A7324" w:rsidRPr="00E344D4" w:rsidRDefault="007C7079" w:rsidP="00B6342E">
      <w:pPr>
        <w:pStyle w:val="Titel"/>
        <w:jc w:val="left"/>
        <w:rPr>
          <w:b/>
          <w:sz w:val="48"/>
          <w:szCs w:val="48"/>
        </w:rPr>
      </w:pPr>
      <w:sdt>
        <w:sdtPr>
          <w:rPr>
            <w:b/>
            <w:sz w:val="48"/>
            <w:szCs w:val="48"/>
          </w:rPr>
          <w:alias w:val="Titel"/>
          <w:tag w:val=""/>
          <w:id w:val="710549034"/>
          <w:placeholder>
            <w:docPart w:val="2051CD9AAA8D4651B2F1E88EC3F372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6A20">
            <w:rPr>
              <w:b/>
              <w:sz w:val="48"/>
              <w:szCs w:val="48"/>
              <w:lang w:val="de-AT"/>
            </w:rPr>
            <w:t>Ösophaguskarzinom</w:t>
          </w:r>
        </w:sdtContent>
      </w:sdt>
    </w:p>
    <w:p w14:paraId="23B7CE8B" w14:textId="77777777" w:rsidR="008A7324" w:rsidRPr="00B6342E" w:rsidRDefault="008A7324" w:rsidP="005E0058">
      <w:pPr>
        <w:pStyle w:val="Titel"/>
        <w:ind w:left="-56"/>
        <w:jc w:val="left"/>
        <w:rPr>
          <w:sz w:val="28"/>
          <w:szCs w:val="28"/>
        </w:rPr>
      </w:pPr>
    </w:p>
    <w:p w14:paraId="23B7CE8C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8D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8E" w14:textId="77777777" w:rsidR="00B6342E" w:rsidRPr="0062716A" w:rsidRDefault="00A6435E" w:rsidP="00B6342E">
      <w:pPr>
        <w:spacing w:line="276" w:lineRule="auto"/>
        <w:jc w:val="both"/>
        <w:rPr>
          <w:rFonts w:cs="Arial"/>
          <w:b/>
          <w:sz w:val="40"/>
          <w:szCs w:val="40"/>
        </w:rPr>
      </w:pPr>
      <w:r w:rsidRPr="0067150E">
        <w:rPr>
          <w:rFonts w:cs="Arial"/>
          <w:b/>
          <w:sz w:val="40"/>
          <w:szCs w:val="40"/>
        </w:rPr>
        <w:t xml:space="preserve">Medizinische </w:t>
      </w:r>
      <w:r w:rsidR="00B6342E" w:rsidRPr="0067150E">
        <w:rPr>
          <w:rFonts w:cs="Arial"/>
          <w:b/>
          <w:sz w:val="40"/>
          <w:szCs w:val="40"/>
        </w:rPr>
        <w:t>Leitlinie</w:t>
      </w:r>
    </w:p>
    <w:p w14:paraId="23B7CE8F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0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1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2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3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4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23B7CE95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tbl>
      <w:tblPr>
        <w:tblStyle w:val="Tabellenraster1"/>
        <w:tblW w:w="9690" w:type="dxa"/>
        <w:tblInd w:w="-84" w:type="dxa"/>
        <w:tblLook w:val="04A0" w:firstRow="1" w:lastRow="0" w:firstColumn="1" w:lastColumn="0" w:noHBand="0" w:noVBand="1"/>
      </w:tblPr>
      <w:tblGrid>
        <w:gridCol w:w="2744"/>
        <w:gridCol w:w="6946"/>
      </w:tblGrid>
      <w:tr w:rsidR="002E7743" w:rsidRPr="00746A20" w14:paraId="23B7CE99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23B7CE96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erstellt von:</w:t>
            </w:r>
          </w:p>
        </w:tc>
        <w:tc>
          <w:tcPr>
            <w:tcW w:w="6946" w:type="dxa"/>
            <w:vAlign w:val="center"/>
          </w:tcPr>
          <w:p w14:paraId="23B7CE97" w14:textId="77777777" w:rsidR="00C70AA2" w:rsidRDefault="00746A20" w:rsidP="00C70AA2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06BFA">
              <w:rPr>
                <w:rFonts w:asciiTheme="minorHAnsi" w:hAnsiTheme="minorHAnsi" w:cstheme="minorHAnsi"/>
              </w:rPr>
              <w:t xml:space="preserve">OA Dr. </w:t>
            </w:r>
            <w:r w:rsidR="00F06BFA" w:rsidRPr="00F06BFA">
              <w:rPr>
                <w:rFonts w:asciiTheme="minorHAnsi" w:hAnsiTheme="minorHAnsi" w:cstheme="minorHAnsi"/>
              </w:rPr>
              <w:t>Jürgen Huber</w:t>
            </w:r>
            <w:r w:rsidRPr="00F06BFA">
              <w:rPr>
                <w:rFonts w:asciiTheme="minorHAnsi" w:hAnsiTheme="minorHAnsi" w:cstheme="minorHAnsi"/>
              </w:rPr>
              <w:t xml:space="preserve"> (</w:t>
            </w:r>
            <w:r w:rsidR="00F06BFA" w:rsidRPr="00F06BFA">
              <w:rPr>
                <w:rFonts w:asciiTheme="minorHAnsi" w:hAnsiTheme="minorHAnsi" w:cstheme="minorHAnsi"/>
              </w:rPr>
              <w:t>OKL</w:t>
            </w:r>
            <w:r w:rsidRPr="00F06BFA">
              <w:rPr>
                <w:rFonts w:asciiTheme="minorHAnsi" w:hAnsiTheme="minorHAnsi" w:cstheme="minorHAnsi"/>
              </w:rPr>
              <w:t xml:space="preserve">); </w:t>
            </w:r>
            <w:r w:rsidR="00B547D4">
              <w:rPr>
                <w:rFonts w:asciiTheme="minorHAnsi" w:hAnsiTheme="minorHAnsi" w:cstheme="minorHAnsi"/>
              </w:rPr>
              <w:t xml:space="preserve">OA Dr. Clemens Venhoda (OKL); </w:t>
            </w:r>
          </w:p>
          <w:p w14:paraId="23B7CE98" w14:textId="77777777" w:rsidR="00B547D4" w:rsidRPr="00746A20" w:rsidRDefault="00321482" w:rsidP="00DB4F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</w:t>
            </w:r>
            <w:r w:rsidR="00EC00DC">
              <w:rPr>
                <w:rFonts w:asciiTheme="minorHAnsi" w:hAnsiTheme="minorHAnsi" w:cstheme="minorHAnsi"/>
              </w:rPr>
              <w:t xml:space="preserve"> Dr. Holger Rumpold (OKL)</w:t>
            </w:r>
            <w:r w:rsidR="00C70AA2">
              <w:rPr>
                <w:rFonts w:asciiTheme="minorHAnsi" w:hAnsiTheme="minorHAnsi" w:cstheme="minorHAnsi"/>
              </w:rPr>
              <w:t xml:space="preserve">; </w:t>
            </w:r>
            <w:r w:rsidR="00DB4F7E">
              <w:rPr>
                <w:rFonts w:asciiTheme="minorHAnsi" w:hAnsiTheme="minorHAnsi" w:cstheme="minorHAnsi"/>
              </w:rPr>
              <w:t>F</w:t>
            </w:r>
            <w:r w:rsidR="00C70AA2">
              <w:rPr>
                <w:rFonts w:asciiTheme="minorHAnsi" w:hAnsiTheme="minorHAnsi" w:cstheme="minorHAnsi"/>
              </w:rPr>
              <w:t>A Dr. Bernhard Doleschal (OKL)</w:t>
            </w:r>
          </w:p>
        </w:tc>
      </w:tr>
      <w:tr w:rsidR="002E7743" w:rsidRPr="00746A20" w14:paraId="23B7CEA1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23B7CE9A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geprüft von:</w:t>
            </w:r>
          </w:p>
        </w:tc>
        <w:tc>
          <w:tcPr>
            <w:tcW w:w="6946" w:type="dxa"/>
            <w:vAlign w:val="center"/>
          </w:tcPr>
          <w:p w14:paraId="054784E2" w14:textId="77777777" w:rsidR="00DA66BB" w:rsidRPr="004C5BF1" w:rsidRDefault="00B547D4" w:rsidP="00727E3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 xml:space="preserve">Dr. Ulrich Popper (OKL); </w:t>
            </w:r>
            <w:r w:rsidR="00746A20" w:rsidRPr="004C5BF1">
              <w:rPr>
                <w:rFonts w:asciiTheme="minorHAnsi" w:hAnsiTheme="minorHAnsi" w:cstheme="minorHAnsi"/>
              </w:rPr>
              <w:t xml:space="preserve">Prim. Univ. Prof. Dr. </w:t>
            </w:r>
            <w:r w:rsidR="00AE6224" w:rsidRPr="004C5BF1">
              <w:rPr>
                <w:rFonts w:asciiTheme="minorHAnsi" w:hAnsiTheme="minorHAnsi" w:cstheme="minorHAnsi"/>
              </w:rPr>
              <w:t>Matthias Biebl</w:t>
            </w:r>
            <w:r w:rsidR="00746A20" w:rsidRPr="004C5BF1">
              <w:rPr>
                <w:rFonts w:asciiTheme="minorHAnsi" w:hAnsiTheme="minorHAnsi" w:cstheme="minorHAnsi"/>
              </w:rPr>
              <w:t xml:space="preserve"> (</w:t>
            </w:r>
            <w:r w:rsidRPr="004C5BF1">
              <w:rPr>
                <w:rFonts w:asciiTheme="minorHAnsi" w:hAnsiTheme="minorHAnsi" w:cstheme="minorHAnsi"/>
              </w:rPr>
              <w:t>OKL</w:t>
            </w:r>
            <w:r w:rsidR="00746A20" w:rsidRPr="004C5BF1">
              <w:rPr>
                <w:rFonts w:asciiTheme="minorHAnsi" w:hAnsiTheme="minorHAnsi" w:cstheme="minorHAnsi"/>
              </w:rPr>
              <w:t xml:space="preserve">); </w:t>
            </w:r>
          </w:p>
          <w:p w14:paraId="2C0D41D8" w14:textId="2D6E8DED" w:rsidR="00AE6224" w:rsidRPr="004C5BF1" w:rsidRDefault="008F4427" w:rsidP="00727E3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>Prim. Dr. Peter Panholzer (</w:t>
            </w:r>
            <w:r w:rsidR="00F06BFA" w:rsidRPr="004C5BF1">
              <w:rPr>
                <w:rFonts w:asciiTheme="minorHAnsi" w:hAnsiTheme="minorHAnsi" w:cstheme="minorHAnsi"/>
              </w:rPr>
              <w:t>SK</w:t>
            </w:r>
            <w:r w:rsidRPr="004C5BF1">
              <w:rPr>
                <w:rFonts w:asciiTheme="minorHAnsi" w:hAnsiTheme="minorHAnsi" w:cstheme="minorHAnsi"/>
              </w:rPr>
              <w:t>);</w:t>
            </w:r>
            <w:r w:rsidR="00F06BFA" w:rsidRPr="004C5BF1">
              <w:rPr>
                <w:rFonts w:asciiTheme="minorHAnsi" w:hAnsiTheme="minorHAnsi" w:cstheme="minorHAnsi"/>
              </w:rPr>
              <w:t xml:space="preserve"> </w:t>
            </w:r>
            <w:r w:rsidR="004B61B2" w:rsidRPr="004C5BF1">
              <w:rPr>
                <w:rFonts w:asciiTheme="minorHAnsi" w:hAnsiTheme="minorHAnsi" w:cstheme="minorHAnsi"/>
              </w:rPr>
              <w:t xml:space="preserve">OA Dr. Alexandra Bergmayr (OKL), </w:t>
            </w:r>
          </w:p>
          <w:p w14:paraId="2597ECE2" w14:textId="51A1DCFF" w:rsidR="00DA66BB" w:rsidRPr="004C5BF1" w:rsidRDefault="00B547D4" w:rsidP="00727E3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>OA Dr. Bernhard Aschacher</w:t>
            </w:r>
            <w:r w:rsidR="00C44FC8" w:rsidRPr="004C5BF1">
              <w:rPr>
                <w:rFonts w:asciiTheme="minorHAnsi" w:hAnsiTheme="minorHAnsi" w:cstheme="minorHAnsi"/>
              </w:rPr>
              <w:t xml:space="preserve"> (OKL)</w:t>
            </w:r>
            <w:r w:rsidRPr="004C5BF1">
              <w:rPr>
                <w:rFonts w:asciiTheme="minorHAnsi" w:hAnsiTheme="minorHAnsi" w:cstheme="minorHAnsi"/>
              </w:rPr>
              <w:t>; Prim. Univ. Prof. Dr. Hans Geinitz (OKL)</w:t>
            </w:r>
            <w:r w:rsidR="004B61B2" w:rsidRPr="004C5BF1">
              <w:rPr>
                <w:rFonts w:asciiTheme="minorHAnsi" w:hAnsiTheme="minorHAnsi" w:cstheme="minorHAnsi"/>
              </w:rPr>
              <w:t xml:space="preserve">; </w:t>
            </w:r>
          </w:p>
          <w:p w14:paraId="394A129B" w14:textId="77777777" w:rsidR="00DA66BB" w:rsidRPr="004C5BF1" w:rsidRDefault="00AE6224" w:rsidP="00DA66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>Prim.</w:t>
            </w:r>
            <w:r w:rsidR="004B61B2" w:rsidRPr="004C5BF1">
              <w:rPr>
                <w:rFonts w:asciiTheme="minorHAnsi" w:hAnsiTheme="minorHAnsi" w:cstheme="minorHAnsi"/>
              </w:rPr>
              <w:t xml:space="preserve"> Dr. Gernot Böhm (OKL); OA Dr. Andrea Binder (SK); </w:t>
            </w:r>
          </w:p>
          <w:p w14:paraId="23B7CEA0" w14:textId="18F63B35" w:rsidR="00B547D4" w:rsidRPr="004C5BF1" w:rsidRDefault="00321482" w:rsidP="00DA66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>OA Dr. Helwig Wundsam (OKL)</w:t>
            </w:r>
          </w:p>
        </w:tc>
      </w:tr>
      <w:tr w:rsidR="002E7743" w:rsidRPr="006256D9" w14:paraId="23B7CEA6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23B7CEA2" w14:textId="77777777" w:rsidR="002E7743" w:rsidRPr="00D02334" w:rsidRDefault="00ED24ED" w:rsidP="00C8042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Fachliche Freigabe:</w:t>
            </w:r>
          </w:p>
        </w:tc>
        <w:tc>
          <w:tcPr>
            <w:tcW w:w="6946" w:type="dxa"/>
            <w:vAlign w:val="center"/>
          </w:tcPr>
          <w:p w14:paraId="23B7CEA3" w14:textId="77777777" w:rsidR="00746A20" w:rsidRPr="004C5BF1" w:rsidRDefault="00746A20" w:rsidP="001F2BEC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 xml:space="preserve">OA </w:t>
            </w:r>
            <w:r w:rsidR="00F06BFA" w:rsidRPr="004C5BF1">
              <w:rPr>
                <w:rFonts w:asciiTheme="minorHAnsi" w:hAnsiTheme="minorHAnsi" w:cstheme="minorHAnsi"/>
              </w:rPr>
              <w:t>Dr. Jürgen Huber</w:t>
            </w:r>
            <w:r w:rsidRPr="004C5BF1">
              <w:rPr>
                <w:rFonts w:asciiTheme="minorHAnsi" w:hAnsiTheme="minorHAnsi" w:cstheme="minorHAnsi"/>
              </w:rPr>
              <w:t xml:space="preserve"> </w:t>
            </w:r>
          </w:p>
          <w:p w14:paraId="23B7CEA4" w14:textId="77777777" w:rsidR="001F2BEC" w:rsidRPr="004C5BF1" w:rsidRDefault="001F2BEC" w:rsidP="00A676A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 xml:space="preserve">Leitliniengruppe Protokoll v. </w:t>
            </w:r>
            <w:r w:rsidR="00A676A7" w:rsidRPr="004C5BF1">
              <w:rPr>
                <w:rFonts w:asciiTheme="minorHAnsi" w:hAnsiTheme="minorHAnsi" w:cstheme="minorHAnsi"/>
              </w:rPr>
              <w:t>09.12.2014</w:t>
            </w:r>
          </w:p>
          <w:p w14:paraId="23B7CEA5" w14:textId="1976B61E" w:rsidR="008F4427" w:rsidRPr="004C5BF1" w:rsidRDefault="008F4427" w:rsidP="00DA66B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C5BF1">
              <w:rPr>
                <w:rFonts w:asciiTheme="minorHAnsi" w:hAnsiTheme="minorHAnsi" w:cstheme="minorHAnsi"/>
              </w:rPr>
              <w:t xml:space="preserve">Revision v. </w:t>
            </w:r>
            <w:r w:rsidR="00205CEF" w:rsidRPr="004C5BF1">
              <w:rPr>
                <w:rFonts w:asciiTheme="minorHAnsi" w:hAnsiTheme="minorHAnsi" w:cstheme="minorHAnsi"/>
              </w:rPr>
              <w:t>1</w:t>
            </w:r>
            <w:r w:rsidR="00DA66BB" w:rsidRPr="004C5BF1">
              <w:rPr>
                <w:rFonts w:asciiTheme="minorHAnsi" w:hAnsiTheme="minorHAnsi" w:cstheme="minorHAnsi"/>
              </w:rPr>
              <w:t>7</w:t>
            </w:r>
            <w:r w:rsidR="00C70AA2" w:rsidRPr="004C5BF1">
              <w:rPr>
                <w:rFonts w:asciiTheme="minorHAnsi" w:hAnsiTheme="minorHAnsi" w:cstheme="minorHAnsi"/>
              </w:rPr>
              <w:t>.</w:t>
            </w:r>
            <w:r w:rsidR="00A42C1A" w:rsidRPr="004C5BF1">
              <w:rPr>
                <w:rFonts w:asciiTheme="minorHAnsi" w:hAnsiTheme="minorHAnsi" w:cstheme="minorHAnsi"/>
              </w:rPr>
              <w:t>01</w:t>
            </w:r>
            <w:r w:rsidR="00205CEF" w:rsidRPr="004C5BF1">
              <w:rPr>
                <w:rFonts w:asciiTheme="minorHAnsi" w:hAnsiTheme="minorHAnsi" w:cstheme="minorHAnsi"/>
              </w:rPr>
              <w:t>.</w:t>
            </w:r>
            <w:r w:rsidR="00C70AA2" w:rsidRPr="004C5BF1">
              <w:rPr>
                <w:rFonts w:asciiTheme="minorHAnsi" w:hAnsiTheme="minorHAnsi" w:cstheme="minorHAnsi"/>
              </w:rPr>
              <w:t>202</w:t>
            </w:r>
            <w:r w:rsidR="00DA66BB" w:rsidRPr="004C5BF1">
              <w:rPr>
                <w:rFonts w:asciiTheme="minorHAnsi" w:hAnsiTheme="minorHAnsi" w:cstheme="minorHAnsi"/>
              </w:rPr>
              <w:t>2</w:t>
            </w:r>
          </w:p>
        </w:tc>
      </w:tr>
    </w:tbl>
    <w:p w14:paraId="23B7CEA7" w14:textId="77777777" w:rsidR="008B2595" w:rsidRDefault="008B2595">
      <w:pPr>
        <w:spacing w:line="240" w:lineRule="auto"/>
        <w:jc w:val="left"/>
      </w:pPr>
    </w:p>
    <w:p w14:paraId="23B7CEA8" w14:textId="77777777" w:rsidR="008B2595" w:rsidRDefault="008B2595">
      <w:pPr>
        <w:spacing w:line="240" w:lineRule="auto"/>
        <w:jc w:val="left"/>
      </w:pPr>
    </w:p>
    <w:p w14:paraId="23B7CEA9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B7CEAA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B7CEAB" w14:textId="77777777" w:rsidR="00B547D4" w:rsidRPr="00B547D4" w:rsidRDefault="00B547D4" w:rsidP="00B547D4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547D4">
        <w:rPr>
          <w:rFonts w:asciiTheme="minorHAnsi" w:hAnsiTheme="minorHAnsi" w:cstheme="minorHAnsi"/>
          <w:sz w:val="18"/>
          <w:szCs w:val="18"/>
        </w:rPr>
        <w:t xml:space="preserve">Diese Leitlinie ist eine Grundlage für die Diagnostik und Therapie innerhalb </w:t>
      </w:r>
      <w:r w:rsidR="00321482">
        <w:rPr>
          <w:rFonts w:asciiTheme="minorHAnsi" w:hAnsiTheme="minorHAnsi" w:cstheme="minorHAnsi"/>
          <w:sz w:val="18"/>
          <w:szCs w:val="18"/>
        </w:rPr>
        <w:t>des Tumorzentrums Oberösterreich</w:t>
      </w:r>
      <w:r w:rsidRPr="00B547D4">
        <w:rPr>
          <w:rFonts w:asciiTheme="minorHAnsi" w:hAnsiTheme="minorHAnsi" w:cstheme="minorHAnsi"/>
          <w:sz w:val="18"/>
          <w:szCs w:val="18"/>
        </w:rPr>
        <w:t xml:space="preserve"> und erhebt nicht den Anspruch auf Vollständigkeit.</w:t>
      </w:r>
    </w:p>
    <w:p w14:paraId="23B7CEAC" w14:textId="77777777" w:rsidR="00D02334" w:rsidRDefault="00B547D4" w:rsidP="00B547D4">
      <w:pPr>
        <w:spacing w:line="240" w:lineRule="auto"/>
        <w:jc w:val="left"/>
      </w:pPr>
      <w:r w:rsidRPr="00B547D4">
        <w:rPr>
          <w:rFonts w:asciiTheme="minorHAnsi" w:hAnsiTheme="minorHAnsi" w:cstheme="minorHAnsi"/>
          <w:sz w:val="18"/>
          <w:szCs w:val="18"/>
        </w:rPr>
        <w:t>Darüberhinaus von den jeweiligen Fachgesellschaften festgelegte Qualitätsstandards sind dem Stand der Wissenschaft entsprechend einzubeziehen.</w:t>
      </w:r>
    </w:p>
    <w:p w14:paraId="23B7CEAD" w14:textId="77777777" w:rsidR="00D02334" w:rsidRP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D02334" w:rsidRPr="00D02334" w:rsidSect="00190D4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71" w:right="1106" w:bottom="1134" w:left="1418" w:header="284" w:footer="403" w:gutter="0"/>
          <w:cols w:space="72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Cs w:val="20"/>
          <w:lang w:val="de-DE" w:eastAsia="de-DE"/>
        </w:rPr>
        <w:id w:val="-1099178055"/>
        <w:docPartObj>
          <w:docPartGallery w:val="Table of Contents"/>
          <w:docPartUnique/>
        </w:docPartObj>
      </w:sdtPr>
      <w:sdtEndPr/>
      <w:sdtContent>
        <w:p w14:paraId="23B7CEAE" w14:textId="77777777" w:rsidR="007F3064" w:rsidRDefault="007F3064" w:rsidP="00AA75A2">
          <w:pPr>
            <w:pStyle w:val="Inhaltsverzeichnisberschrift"/>
            <w:shd w:val="clear" w:color="auto" w:fill="FFFFFF" w:themeFill="background1"/>
            <w:spacing w:before="0"/>
            <w:rPr>
              <w:rFonts w:asciiTheme="minorHAnsi" w:hAnsiTheme="minorHAnsi" w:cstheme="minorHAnsi"/>
              <w:color w:val="auto"/>
              <w:sz w:val="28"/>
              <w:lang w:val="de-DE"/>
            </w:rPr>
          </w:pPr>
          <w:r w:rsidRPr="007F3064">
            <w:rPr>
              <w:rFonts w:asciiTheme="minorHAnsi" w:hAnsiTheme="minorHAnsi" w:cstheme="minorHAnsi"/>
              <w:color w:val="auto"/>
              <w:sz w:val="28"/>
              <w:lang w:val="de-DE"/>
            </w:rPr>
            <w:t>Inhaltsverzeichnis</w:t>
          </w:r>
        </w:p>
        <w:p w14:paraId="23B7CEAF" w14:textId="77777777" w:rsidR="007F3064" w:rsidRPr="007F3064" w:rsidRDefault="007F3064" w:rsidP="007F3064">
          <w:pPr>
            <w:rPr>
              <w:lang w:val="de-DE" w:eastAsia="de-AT"/>
            </w:rPr>
          </w:pPr>
        </w:p>
        <w:p w14:paraId="4EA372F1" w14:textId="6B803C2B" w:rsidR="00C54708" w:rsidRPr="00C54708" w:rsidRDefault="00942705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r>
            <w:fldChar w:fldCharType="begin"/>
          </w:r>
          <w:r w:rsidR="007F3064">
            <w:instrText xml:space="preserve"> TOC \o "1-3" \h \z \u </w:instrText>
          </w:r>
          <w:r>
            <w:fldChar w:fldCharType="separate"/>
          </w:r>
          <w:hyperlink w:anchor="_Toc61872044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1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Allgemeines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_Toc61872044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C7079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7D673B" w14:textId="2DE0BC2E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45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2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Diagnostik und Scoring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_Toc61872045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EE40EA" w14:textId="00AC2675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46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2.1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Anatomie des Ösophagus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_Toc61872046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3D1BDD" w14:textId="22587FBE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47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val="de-DE"/>
              </w:rPr>
              <w:t>2.2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val="de-DE"/>
              </w:rPr>
              <w:t>TNM Klassifizierung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_Toc61872047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E62B25E" w14:textId="675F1691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48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2.3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Klinische Stadieneinteilung nach UICC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_Toc61872048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61AC1E" w14:textId="79423C6C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49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2.4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Einteilung der gastroösophagealen Übergangskarzinome nach Siewert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_Toc61872049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14F15C" w14:textId="34407C29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0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2.5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Checkliste Staging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_Toc61872050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7C36EE" w14:textId="0690EF4D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1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Behandlungsplan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_Toc61872051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542081" w14:textId="46092D44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2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3.1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Lokoregionäres Plattenepithelkarzinom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_Toc61872052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6FB8C0" w14:textId="3FE677FD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3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3.2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Lokoregionäres Adenokarzinom, inkl. GEJ (AEG 1-2)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_Toc61872053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0F66F6" w14:textId="3F790E27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4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3.3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Lokal fortgeschrittenes, primär nicht operables Ösophaguskarzinom T4b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_Toc61872054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ED8A3D" w14:textId="61A56A0D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5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3.4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Metastasiertes Plattenepithelkarzinom (exkl. Oligo-Metastasierung)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_Toc61872055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DD19B5" w14:textId="26C3F6F2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6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3.5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Metastasiertes Adenokarzinom (exkl. Oligometastasierung)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_Toc61872056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30138A" w14:textId="30229E5B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7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3.6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eastAsia="de-AT"/>
              </w:rPr>
              <w:t>Oligometastasierung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_Toc61872057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26A666E" w14:textId="3564062C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8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3.7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Erklärungen zu den Behandlungsalgoritmen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_Toc61872058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E866DF" w14:textId="3268DB14" w:rsidR="00C54708" w:rsidRPr="00C54708" w:rsidRDefault="007C7079" w:rsidP="00C54708">
          <w:pPr>
            <w:pStyle w:val="Verzeichnis3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59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3.7.1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Tis oder T1a: Mukosaresektion vs. primäre Operation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_Toc61872059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BF5BD8" w14:textId="6FBFA8E9" w:rsidR="00C54708" w:rsidRPr="00C54708" w:rsidRDefault="007C7079" w:rsidP="00C54708">
          <w:pPr>
            <w:pStyle w:val="Verzeichnis3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0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3.7.2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T2N0-T4a N1-3 Plattenepithel- wie Adenokarzinome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_Toc61872060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33375A" w14:textId="63F96709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1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4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Besondere klinische Situationen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_Toc61872061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DF2EEB" w14:textId="58CE6D16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2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Verlaufskontrolle und Nachsorge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_Toc61872062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17C231" w14:textId="6F93472A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3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5.1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Nachsorge Tis und T1a nach Mukosaresektion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_Toc61872063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819CF4" w14:textId="136690DD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4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5.2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Nachsorge nach definitiver Radio-Chemotherapie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_Toc61872064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6F1D99" w14:textId="03D5EB8E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5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5.3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Nachsorge nach Ösophagusresektion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_Toc61872065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CF5212" w14:textId="7F292E25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6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5.4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Restaging im palliativen Setting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_Toc61872066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8C4E0F" w14:textId="27FDA0C3" w:rsidR="00C54708" w:rsidRPr="00C54708" w:rsidRDefault="007C7079" w:rsidP="00C54708">
          <w:pPr>
            <w:pStyle w:val="Verzeichnis2"/>
            <w:tabs>
              <w:tab w:val="left" w:pos="88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7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5.5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Chemotherapie-refraktärer maligner Aszites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_Toc61872067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9B8743" w14:textId="6AB6F2CA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8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6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Dokumentation und Qualitätsparameter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_Toc61872068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A11240" w14:textId="18019D2B" w:rsidR="00C54708" w:rsidRPr="00C54708" w:rsidRDefault="007C7079" w:rsidP="00C54708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69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val="en-US"/>
              </w:rPr>
              <w:t>7</w:t>
            </w:r>
            <w:r w:rsidR="00C54708" w:rsidRPr="00C54708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val="en-US"/>
              </w:rPr>
              <w:t>Literatur/Quellenangaben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_Toc61872069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45CCF0" w14:textId="1057E20A" w:rsidR="00C54708" w:rsidRPr="00C54708" w:rsidRDefault="007C7079" w:rsidP="00C54708">
          <w:pPr>
            <w:pStyle w:val="Verzeichnis1"/>
            <w:tabs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70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Anhang: Studienblatt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_Toc61872070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D3C2B2" w14:textId="5849795C" w:rsidR="00C54708" w:rsidRPr="00C54708" w:rsidRDefault="007C7079" w:rsidP="00C54708">
          <w:pPr>
            <w:pStyle w:val="Verzeichnis1"/>
            <w:tabs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61872071" w:history="1">
            <w:r w:rsidR="00C54708" w:rsidRPr="00C54708">
              <w:rPr>
                <w:rStyle w:val="Hyperlink"/>
                <w:rFonts w:asciiTheme="minorHAnsi" w:hAnsiTheme="minorHAnsi" w:cstheme="minorHAnsi"/>
                <w:noProof/>
              </w:rPr>
              <w:t>Anhang: Wirtschaftliche Analyse (optional)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instrText xml:space="preserve"> PAGEREF _Toc61872071 \h </w:instrTex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C54708" w:rsidRPr="00C5470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B7CECE" w14:textId="0EC8F674" w:rsidR="007F3064" w:rsidRDefault="00942705">
          <w:r>
            <w:rPr>
              <w:b/>
              <w:bCs/>
              <w:lang w:val="de-DE"/>
            </w:rPr>
            <w:fldChar w:fldCharType="end"/>
          </w:r>
        </w:p>
      </w:sdtContent>
    </w:sdt>
    <w:p w14:paraId="23B7CECF" w14:textId="77777777" w:rsidR="00E23732" w:rsidRDefault="00E23732" w:rsidP="007F3064">
      <w:pPr>
        <w:jc w:val="left"/>
      </w:pPr>
    </w:p>
    <w:p w14:paraId="23B7CED0" w14:textId="6E79F221" w:rsidR="00727E33" w:rsidRDefault="00727E33" w:rsidP="007F3064">
      <w:pPr>
        <w:jc w:val="left"/>
      </w:pPr>
    </w:p>
    <w:p w14:paraId="574ABCDF" w14:textId="77777777" w:rsidR="002D3080" w:rsidRDefault="002D3080" w:rsidP="007F3064">
      <w:pPr>
        <w:jc w:val="left"/>
      </w:pPr>
    </w:p>
    <w:p w14:paraId="23B7CED1" w14:textId="77777777" w:rsidR="006D4DAC" w:rsidRPr="00E344D4" w:rsidRDefault="00AA75A2" w:rsidP="007F3064">
      <w:pPr>
        <w:pStyle w:val="berschrift1"/>
      </w:pPr>
      <w:bookmarkStart w:id="0" w:name="_Toc367183615"/>
      <w:bookmarkStart w:id="1" w:name="_Toc367183853"/>
      <w:bookmarkStart w:id="2" w:name="_Toc61872044"/>
      <w:r>
        <w:lastRenderedPageBreak/>
        <w:t>1</w:t>
      </w:r>
      <w:r w:rsidR="006D4DAC" w:rsidRPr="00E344D4">
        <w:tab/>
      </w:r>
      <w:bookmarkEnd w:id="0"/>
      <w:bookmarkEnd w:id="1"/>
      <w:r w:rsidR="0049768A">
        <w:t>Allgemeines</w:t>
      </w:r>
      <w:bookmarkEnd w:id="2"/>
    </w:p>
    <w:p w14:paraId="23B7CED2" w14:textId="77777777" w:rsidR="00D777C4" w:rsidRPr="001F2BEC" w:rsidRDefault="00746A20" w:rsidP="00D777C4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---</w:t>
      </w:r>
    </w:p>
    <w:p w14:paraId="23B7CED3" w14:textId="77777777" w:rsidR="006D4DAC" w:rsidRPr="00E344D4" w:rsidRDefault="00913D1D" w:rsidP="007F3064">
      <w:pPr>
        <w:pStyle w:val="berschrift1"/>
      </w:pPr>
      <w:bookmarkStart w:id="3" w:name="_Toc61872045"/>
      <w:r>
        <w:t>2</w:t>
      </w:r>
      <w:r>
        <w:tab/>
      </w:r>
      <w:r w:rsidR="0049768A">
        <w:t>Diagnostik und Scoring</w:t>
      </w:r>
      <w:bookmarkEnd w:id="3"/>
    </w:p>
    <w:p w14:paraId="23B7CED4" w14:textId="77777777" w:rsidR="008A4BE8" w:rsidRDefault="00E9650F" w:rsidP="00E9650F">
      <w:pPr>
        <w:pStyle w:val="berschrift2"/>
        <w:ind w:left="0" w:firstLine="0"/>
        <w:rPr>
          <w:lang w:val="de-AT"/>
        </w:rPr>
      </w:pPr>
      <w:bookmarkStart w:id="4" w:name="_Toc61872046"/>
      <w:r w:rsidRPr="0016193C">
        <w:rPr>
          <w:lang w:val="de-AT"/>
        </w:rPr>
        <w:t>2.1</w:t>
      </w:r>
      <w:r w:rsidRPr="0016193C">
        <w:rPr>
          <w:lang w:val="de-AT"/>
        </w:rPr>
        <w:tab/>
      </w:r>
      <w:r w:rsidR="004E7FC0">
        <w:rPr>
          <w:lang w:val="de-AT"/>
        </w:rPr>
        <w:t>Anatomie des Ösophagus</w:t>
      </w:r>
      <w:bookmarkEnd w:id="4"/>
    </w:p>
    <w:p w14:paraId="23B7CED5" w14:textId="77777777" w:rsidR="008A4BE8" w:rsidRPr="008A4BE8" w:rsidRDefault="008A4BE8" w:rsidP="008A4BE8"/>
    <w:p w14:paraId="23B7CED6" w14:textId="77777777" w:rsidR="008A4BE8" w:rsidRDefault="008A4BE8" w:rsidP="008A4BE8">
      <w:pPr>
        <w:jc w:val="left"/>
      </w:pPr>
      <w:r>
        <w:rPr>
          <w:noProof/>
          <w:lang w:eastAsia="de-AT"/>
        </w:rPr>
        <w:drawing>
          <wp:inline distT="0" distB="0" distL="0" distR="0" wp14:anchorId="23B7D11C" wp14:editId="23B7D11D">
            <wp:extent cx="3917950" cy="5911850"/>
            <wp:effectExtent l="0" t="0" r="6350" b="0"/>
            <wp:docPr id="7" name="Grafik 7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mag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61" cy="591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CED7" w14:textId="77777777" w:rsidR="001F65CD" w:rsidRDefault="001F65CD" w:rsidP="008A4BE8">
      <w:pPr>
        <w:jc w:val="left"/>
      </w:pPr>
    </w:p>
    <w:p w14:paraId="23B7CED8" w14:textId="77777777" w:rsidR="001F65CD" w:rsidRDefault="001F65CD" w:rsidP="008A4BE8">
      <w:pPr>
        <w:jc w:val="left"/>
      </w:pPr>
    </w:p>
    <w:p w14:paraId="23B7CED9" w14:textId="77777777" w:rsidR="008A602E" w:rsidRDefault="008A602E" w:rsidP="008A4BE8">
      <w:pPr>
        <w:jc w:val="left"/>
      </w:pPr>
    </w:p>
    <w:p w14:paraId="23B7CEDA" w14:textId="77777777" w:rsidR="00C059DB" w:rsidRDefault="00C059DB" w:rsidP="008A4BE8">
      <w:pPr>
        <w:jc w:val="left"/>
      </w:pPr>
    </w:p>
    <w:p w14:paraId="23B7CEDB" w14:textId="77777777" w:rsidR="00C059DB" w:rsidRDefault="00C059DB" w:rsidP="008A4BE8">
      <w:pPr>
        <w:jc w:val="left"/>
      </w:pPr>
    </w:p>
    <w:p w14:paraId="23B7CEDC" w14:textId="77777777" w:rsidR="008A602E" w:rsidRDefault="008A602E" w:rsidP="008A4BE8">
      <w:pPr>
        <w:jc w:val="left"/>
      </w:pPr>
    </w:p>
    <w:p w14:paraId="23B7CEDE" w14:textId="77777777" w:rsidR="00E9650F" w:rsidRPr="006A4845" w:rsidRDefault="004E7FC0" w:rsidP="00E9650F">
      <w:pPr>
        <w:pStyle w:val="berschrift2"/>
        <w:ind w:left="0" w:firstLine="0"/>
        <w:rPr>
          <w:lang w:val="de-DE"/>
        </w:rPr>
      </w:pPr>
      <w:bookmarkStart w:id="5" w:name="_Toc61872047"/>
      <w:r w:rsidRPr="006A4845">
        <w:rPr>
          <w:lang w:val="de-DE"/>
        </w:rPr>
        <w:lastRenderedPageBreak/>
        <w:t>2.2</w:t>
      </w:r>
      <w:r w:rsidRPr="006A4845">
        <w:rPr>
          <w:lang w:val="de-DE"/>
        </w:rPr>
        <w:tab/>
      </w:r>
      <w:r w:rsidR="00E9650F" w:rsidRPr="006A4845">
        <w:rPr>
          <w:lang w:val="de-DE"/>
        </w:rPr>
        <w:t>TNM Klassifizierung</w:t>
      </w:r>
      <w:bookmarkEnd w:id="5"/>
    </w:p>
    <w:p w14:paraId="23B7CEDF" w14:textId="77777777" w:rsidR="00746A20" w:rsidRPr="004B61B2" w:rsidRDefault="004E45E4" w:rsidP="004B61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B61B2">
        <w:rPr>
          <w:rFonts w:asciiTheme="minorHAnsi" w:hAnsiTheme="minorHAnsi" w:cstheme="minorHAnsi"/>
        </w:rPr>
        <w:t>Die Klassifikation der Ausdehnung des Primärtumors und der Metastasierung erfolgt</w:t>
      </w:r>
      <w:r w:rsidR="004B61B2">
        <w:rPr>
          <w:rFonts w:asciiTheme="minorHAnsi" w:hAnsiTheme="minorHAnsi" w:cstheme="minorHAnsi"/>
        </w:rPr>
        <w:t xml:space="preserve"> </w:t>
      </w:r>
      <w:r w:rsidRPr="004B61B2">
        <w:rPr>
          <w:rFonts w:asciiTheme="minorHAnsi" w:hAnsiTheme="minorHAnsi" w:cstheme="minorHAnsi"/>
        </w:rPr>
        <w:t>auf der Basis der UICC/AJCC-TNM Kriterien</w:t>
      </w:r>
      <w:r w:rsidR="003F1EA9">
        <w:rPr>
          <w:rFonts w:asciiTheme="minorHAnsi" w:hAnsiTheme="minorHAnsi" w:cstheme="minorHAnsi"/>
        </w:rPr>
        <w:t xml:space="preserve"> in der 8. Auflage.</w:t>
      </w:r>
    </w:p>
    <w:p w14:paraId="23B7CEE0" w14:textId="77777777" w:rsidR="001F65CD" w:rsidRPr="008A602E" w:rsidRDefault="001F65CD" w:rsidP="004E45E4">
      <w:pPr>
        <w:rPr>
          <w:rFonts w:ascii="ArialMT" w:hAnsi="ArialMT" w:cs="ArialMT"/>
          <w:sz w:val="8"/>
          <w:szCs w:val="8"/>
          <w:lang w:val="de-DE" w:eastAsia="de-AT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073"/>
      </w:tblGrid>
      <w:tr w:rsidR="001F65CD" w:rsidRPr="001F65CD" w14:paraId="23B7CEE3" w14:textId="77777777" w:rsidTr="001F65CD">
        <w:trPr>
          <w:trHeight w:val="2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EE1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Klassifikation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EE2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Tumor</w:t>
            </w:r>
          </w:p>
        </w:tc>
      </w:tr>
      <w:tr w:rsidR="001F65CD" w:rsidRPr="001F65CD" w14:paraId="23B7CEE6" w14:textId="77777777" w:rsidTr="008A602E">
        <w:trPr>
          <w:trHeight w:val="4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EE4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8"/>
                <w:szCs w:val="8"/>
                <w:lang w:eastAsia="de-AT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EE5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Times New Roman" w:hAnsi="Times New Roman"/>
                <w:sz w:val="8"/>
                <w:szCs w:val="8"/>
                <w:lang w:eastAsia="de-AT"/>
              </w:rPr>
            </w:pPr>
          </w:p>
        </w:tc>
      </w:tr>
      <w:tr w:rsidR="001F65CD" w:rsidRPr="001F65CD" w14:paraId="23B7CEE9" w14:textId="77777777" w:rsidTr="001F65CD">
        <w:trPr>
          <w:trHeight w:val="2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7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8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Primärtumor</w:t>
            </w:r>
          </w:p>
        </w:tc>
      </w:tr>
      <w:tr w:rsidR="001F65CD" w:rsidRPr="001F65CD" w14:paraId="23B7CEEC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A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B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Oberflächlich infiltrierender Tumor</w:t>
            </w:r>
          </w:p>
        </w:tc>
      </w:tr>
      <w:tr w:rsidR="001F65CD" w:rsidRPr="004C5BF1" w14:paraId="23B7CEEF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D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T1a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EE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val="en-GB"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val="en-GB" w:eastAsia="de-AT"/>
              </w:rPr>
              <w:t>Tumor infiltriert Lamina propria oder Muscularis mucosae</w:t>
            </w:r>
          </w:p>
        </w:tc>
      </w:tr>
      <w:tr w:rsidR="001F65CD" w:rsidRPr="001F65CD" w14:paraId="23B7CEF2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0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T1b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1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infiltriert Submucosa</w:t>
            </w:r>
          </w:p>
        </w:tc>
      </w:tr>
      <w:tr w:rsidR="001F65CD" w:rsidRPr="001F65CD" w14:paraId="23B7CEF5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3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4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infiltriert Muscularis propria</w:t>
            </w:r>
          </w:p>
        </w:tc>
      </w:tr>
      <w:tr w:rsidR="001F65CD" w:rsidRPr="001F65CD" w14:paraId="23B7CEF8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6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T3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7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infiltriert Adventitia</w:t>
            </w:r>
          </w:p>
        </w:tc>
      </w:tr>
      <w:tr w:rsidR="001F65CD" w:rsidRPr="001F65CD" w14:paraId="23B7CEFB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9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T4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A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infiltriert Nachbarstrukturen</w:t>
            </w:r>
          </w:p>
        </w:tc>
      </w:tr>
      <w:tr w:rsidR="001F65CD" w:rsidRPr="001F65CD" w14:paraId="23B7CEFE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C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T4a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D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perforiert infiltrierte Pleura, Perikard, Vena azygos, Zwerchfell oder Peritoneum</w:t>
            </w:r>
          </w:p>
        </w:tc>
      </w:tr>
      <w:tr w:rsidR="001F65CD" w:rsidRPr="001F65CD" w14:paraId="23B7CF01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EFF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T4b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00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Tumor infiltriert andere Nachbarstrukturen wie Aorta, Wirbelkörper oder Trachea</w:t>
            </w:r>
          </w:p>
        </w:tc>
      </w:tr>
      <w:tr w:rsidR="001F65CD" w:rsidRPr="001F65CD" w14:paraId="23B7CF04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F02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F03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</w:tr>
      <w:tr w:rsidR="001F65CD" w:rsidRPr="001F65CD" w14:paraId="23B7CF07" w14:textId="77777777" w:rsidTr="001F65CD">
        <w:trPr>
          <w:trHeight w:val="2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5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6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Regionäre Lymphknoten</w:t>
            </w:r>
          </w:p>
        </w:tc>
      </w:tr>
      <w:tr w:rsidR="001F65CD" w:rsidRPr="001F65CD" w14:paraId="23B7CF0A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8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N0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9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Keine regionären Lymphknotenmetastasen</w:t>
            </w:r>
          </w:p>
        </w:tc>
      </w:tr>
      <w:tr w:rsidR="001F65CD" w:rsidRPr="001F65CD" w14:paraId="23B7CF0D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B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C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Metastasen in 1 – 2 regionärem Lymphknoten</w:t>
            </w:r>
          </w:p>
        </w:tc>
      </w:tr>
      <w:tr w:rsidR="001F65CD" w:rsidRPr="001F65CD" w14:paraId="23B7CF10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E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0F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Metastasen in 3 – 6 regionären Lymphnoten</w:t>
            </w:r>
          </w:p>
        </w:tc>
      </w:tr>
      <w:tr w:rsidR="001F65CD" w:rsidRPr="001F65CD" w14:paraId="23B7CF13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11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N3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7CF12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Metastasen in mehr als 7 regionären Lymphknoten</w:t>
            </w:r>
          </w:p>
        </w:tc>
      </w:tr>
      <w:tr w:rsidR="001F65CD" w:rsidRPr="001F65CD" w14:paraId="23B7CF16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F14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F15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</w:tr>
      <w:tr w:rsidR="001F65CD" w:rsidRPr="001F65CD" w14:paraId="23B7CF19" w14:textId="77777777" w:rsidTr="001F65CD">
        <w:trPr>
          <w:trHeight w:val="2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7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M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8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Fernmetastasen</w:t>
            </w:r>
          </w:p>
        </w:tc>
      </w:tr>
      <w:tr w:rsidR="001F65CD" w:rsidRPr="001F65CD" w14:paraId="23B7CF1C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A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B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Keine Fernmetastasen</w:t>
            </w:r>
          </w:p>
        </w:tc>
      </w:tr>
      <w:tr w:rsidR="001F65CD" w:rsidRPr="001F65CD" w14:paraId="23B7CF1F" w14:textId="77777777" w:rsidTr="001F65CD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D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M1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CF1E" w14:textId="77777777" w:rsidR="001F65CD" w:rsidRPr="001F65CD" w:rsidRDefault="001F65CD" w:rsidP="001F65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F65CD">
              <w:rPr>
                <w:rFonts w:ascii="Calibri" w:hAnsi="Calibri" w:cs="Calibri"/>
                <w:color w:val="000000"/>
                <w:szCs w:val="22"/>
                <w:lang w:eastAsia="de-AT"/>
              </w:rPr>
              <w:t>Fernmetastasen</w:t>
            </w:r>
          </w:p>
        </w:tc>
      </w:tr>
    </w:tbl>
    <w:p w14:paraId="23B7CF20" w14:textId="77777777" w:rsidR="004E45E4" w:rsidRPr="001F65CD" w:rsidRDefault="004E45E4" w:rsidP="001F65CD">
      <w:pPr>
        <w:spacing w:line="240" w:lineRule="auto"/>
        <w:jc w:val="left"/>
        <w:rPr>
          <w:rFonts w:asciiTheme="minorHAnsi" w:hAnsiTheme="minorHAnsi" w:cstheme="minorHAnsi"/>
          <w:i/>
          <w:sz w:val="8"/>
          <w:szCs w:val="8"/>
        </w:rPr>
      </w:pPr>
    </w:p>
    <w:p w14:paraId="23B7CF21" w14:textId="77777777" w:rsidR="001F65CD" w:rsidRPr="00AE6224" w:rsidRDefault="001F65CD" w:rsidP="00CE5F88">
      <w:pPr>
        <w:spacing w:line="240" w:lineRule="auto"/>
        <w:ind w:left="142"/>
        <w:jc w:val="both"/>
        <w:rPr>
          <w:rFonts w:ascii="Calibri" w:hAnsi="Calibri" w:cs="Calibri"/>
          <w:b/>
          <w:bCs/>
          <w:color w:val="000000"/>
          <w:szCs w:val="22"/>
          <w:lang w:eastAsia="de-AT"/>
        </w:rPr>
      </w:pPr>
      <w:r w:rsidRPr="00AE6224">
        <w:rPr>
          <w:rFonts w:ascii="Calibri" w:hAnsi="Calibri" w:cs="Calibri"/>
          <w:b/>
          <w:bCs/>
          <w:color w:val="000000"/>
          <w:szCs w:val="22"/>
          <w:lang w:eastAsia="de-AT"/>
        </w:rPr>
        <w:t>Als regionäre LK gelten die im lymphatischen Abflussgebiet des Ösophagus lokalisierten LK, die zöliakalen LK und die paraösophagealen LK des Halses, jedoch nicht die supraclaviculären LK !</w:t>
      </w:r>
    </w:p>
    <w:p w14:paraId="23B7CF22" w14:textId="77777777" w:rsidR="008A602E" w:rsidRPr="001F65CD" w:rsidRDefault="008A602E" w:rsidP="001F65CD">
      <w:pPr>
        <w:spacing w:line="240" w:lineRule="auto"/>
        <w:jc w:val="both"/>
        <w:rPr>
          <w:rFonts w:ascii="Calibri" w:hAnsi="Calibri" w:cs="Calibri"/>
          <w:bCs/>
          <w:color w:val="000000"/>
          <w:szCs w:val="22"/>
          <w:lang w:eastAsia="de-AT"/>
        </w:rPr>
      </w:pPr>
    </w:p>
    <w:p w14:paraId="23B7CF23" w14:textId="77777777" w:rsidR="00DA0C18" w:rsidRPr="001F65CD" w:rsidRDefault="00DA0C18" w:rsidP="008F4427">
      <w:pPr>
        <w:pStyle w:val="Textkrper-Einzug2"/>
        <w:spacing w:after="0" w:line="240" w:lineRule="auto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3B7CF24" w14:textId="77777777" w:rsidR="008F4427" w:rsidRDefault="008F4427" w:rsidP="008F4427">
      <w:pPr>
        <w:pStyle w:val="berschrift2"/>
        <w:ind w:left="0" w:firstLine="0"/>
        <w:rPr>
          <w:lang w:val="de-AT"/>
        </w:rPr>
      </w:pPr>
      <w:bookmarkStart w:id="6" w:name="_Toc61872048"/>
      <w:r>
        <w:rPr>
          <w:lang w:val="de-AT"/>
        </w:rPr>
        <w:t>2.</w:t>
      </w:r>
      <w:r w:rsidR="004E7FC0">
        <w:rPr>
          <w:lang w:val="de-AT"/>
        </w:rPr>
        <w:t>3</w:t>
      </w:r>
      <w:r>
        <w:rPr>
          <w:lang w:val="de-AT"/>
        </w:rPr>
        <w:tab/>
      </w:r>
      <w:r w:rsidR="008A602E">
        <w:rPr>
          <w:lang w:val="de-AT"/>
        </w:rPr>
        <w:t>Klinische Stadieneinteilung nach UICC</w:t>
      </w:r>
      <w:bookmarkEnd w:id="6"/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291"/>
        <w:gridCol w:w="1130"/>
        <w:gridCol w:w="537"/>
        <w:gridCol w:w="1000"/>
        <w:gridCol w:w="1196"/>
        <w:gridCol w:w="1028"/>
        <w:gridCol w:w="1516"/>
        <w:gridCol w:w="500"/>
      </w:tblGrid>
      <w:tr w:rsidR="00C16E49" w:rsidRPr="008A602E" w14:paraId="102B5D68" w14:textId="77777777" w:rsidTr="00AE6224">
        <w:trPr>
          <w:trHeight w:val="290"/>
        </w:trPr>
        <w:tc>
          <w:tcPr>
            <w:tcW w:w="4240" w:type="dxa"/>
            <w:gridSpan w:val="4"/>
            <w:vMerge w:val="restart"/>
            <w:shd w:val="clear" w:color="000000" w:fill="366092"/>
            <w:vAlign w:val="bottom"/>
            <w:hideMark/>
          </w:tcPr>
          <w:p w14:paraId="633CD25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  <w:t xml:space="preserve">Plattenepithelkarzinom </w:t>
            </w:r>
            <w:r w:rsidRPr="008A602E">
              <w:rPr>
                <w:rFonts w:ascii="Calibri" w:hAnsi="Calibri" w:cs="Calibri"/>
                <w:bCs/>
                <w:color w:val="FFFFFF"/>
                <w:szCs w:val="22"/>
                <w:lang w:eastAsia="de-AT"/>
              </w:rPr>
              <w:t>des Ösophagus -                                                                   klinische Stadieneinteilung nach UICC</w:t>
            </w:r>
            <w:r w:rsidRPr="008A602E"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DFAB8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</w:p>
        </w:tc>
        <w:tc>
          <w:tcPr>
            <w:tcW w:w="4240" w:type="dxa"/>
            <w:gridSpan w:val="4"/>
            <w:vMerge w:val="restart"/>
            <w:shd w:val="clear" w:color="000000" w:fill="366092"/>
            <w:vAlign w:val="bottom"/>
            <w:hideMark/>
          </w:tcPr>
          <w:p w14:paraId="436837A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  <w:t xml:space="preserve">Adenokarzinom </w:t>
            </w:r>
            <w:r w:rsidRPr="008A602E">
              <w:rPr>
                <w:rFonts w:ascii="Calibri" w:hAnsi="Calibri" w:cs="Calibri"/>
                <w:bCs/>
                <w:color w:val="FFFFFF"/>
                <w:szCs w:val="22"/>
                <w:lang w:eastAsia="de-AT"/>
              </w:rPr>
              <w:t>des Ösophagus –                                                                           klinische Stadieneinteilung nach UICC</w:t>
            </w:r>
            <w:r w:rsidRPr="008A602E"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  <w:t xml:space="preserve"> </w:t>
            </w:r>
          </w:p>
        </w:tc>
      </w:tr>
      <w:tr w:rsidR="00C16E49" w:rsidRPr="008A602E" w14:paraId="474BEFD0" w14:textId="77777777" w:rsidTr="00AE6224">
        <w:trPr>
          <w:trHeight w:val="290"/>
        </w:trPr>
        <w:tc>
          <w:tcPr>
            <w:tcW w:w="4240" w:type="dxa"/>
            <w:gridSpan w:val="4"/>
            <w:vMerge/>
            <w:vAlign w:val="center"/>
            <w:hideMark/>
          </w:tcPr>
          <w:p w14:paraId="6AAB158D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9F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</w:p>
        </w:tc>
        <w:tc>
          <w:tcPr>
            <w:tcW w:w="4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8CFE2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de-AT"/>
              </w:rPr>
            </w:pPr>
          </w:p>
        </w:tc>
      </w:tr>
      <w:tr w:rsidR="00C16E49" w:rsidRPr="008A602E" w14:paraId="6B8BDB73" w14:textId="77777777" w:rsidTr="00AE6224">
        <w:trPr>
          <w:trHeight w:val="11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8D1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3FD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77C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C36F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F09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3E6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A0C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0BD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F75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</w:tr>
      <w:tr w:rsidR="00C16E49" w:rsidRPr="008A602E" w14:paraId="1D4C3762" w14:textId="77777777" w:rsidTr="00AE6224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6EC3B6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Stadium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56FD8E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49DB5F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19A7D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22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6D86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Stadium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8858F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986A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03C0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M</w:t>
            </w:r>
          </w:p>
        </w:tc>
      </w:tr>
      <w:tr w:rsidR="00C16E49" w:rsidRPr="008A602E" w14:paraId="003E5CAE" w14:textId="77777777" w:rsidTr="00AE6224">
        <w:trPr>
          <w:trHeight w:val="3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5B9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9BF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F6E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6AD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8AA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5FA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F3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735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E88" w14:textId="77777777" w:rsidR="00C16E49" w:rsidRPr="008A602E" w:rsidRDefault="00C16E49" w:rsidP="00AE6224">
            <w:pPr>
              <w:spacing w:line="240" w:lineRule="auto"/>
              <w:rPr>
                <w:rFonts w:ascii="Times New Roman" w:hAnsi="Times New Roman"/>
                <w:sz w:val="20"/>
                <w:lang w:eastAsia="de-AT"/>
              </w:rPr>
            </w:pPr>
          </w:p>
        </w:tc>
      </w:tr>
      <w:tr w:rsidR="00C16E49" w:rsidRPr="008A602E" w14:paraId="677B3647" w14:textId="77777777" w:rsidTr="00AE6224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62772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42F03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C4BD9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N0, N1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A1C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A0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314E8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5EB1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9816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69D3E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58634CDD" w14:textId="77777777" w:rsidTr="00AE6224">
        <w:trPr>
          <w:trHeight w:val="34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E2B1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70CE1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60E8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N0, N1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8DF9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9D7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F2C29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II 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04B16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ED6D39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4029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20B7F152" w14:textId="77777777" w:rsidTr="00AE6224">
        <w:trPr>
          <w:trHeight w:val="3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28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66CC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F8699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8528D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CA2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2B2A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II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C3E1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672CF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F5E77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3A396C79" w14:textId="77777777" w:rsidTr="00AE6224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1947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912C9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T1, T2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2916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0AA9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64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4DB1F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72E18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0360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C63057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5A562AD9" w14:textId="77777777" w:rsidTr="00AE6224">
        <w:trPr>
          <w:trHeight w:val="3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2E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62DD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3908D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N1, N2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D4A03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84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1F8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7D026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91F78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N1, N2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8F40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0AF0C834" w14:textId="77777777" w:rsidTr="00AE6224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6A82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IV 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E2B3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T4a, T4b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D0CF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8133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00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6E2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B887E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T3, T4a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FFBD3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N0, N1, N2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8CB462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20858F06" w14:textId="77777777" w:rsidTr="00AE6224">
        <w:trPr>
          <w:trHeight w:val="3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9FF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E6D3F1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D7208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EC809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E1D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1FB83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IV 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ACFE5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T4b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64F0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N0, N1, N2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34471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55F15F14" w14:textId="77777777" w:rsidTr="00AE6224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CA934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IV b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4096E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9D2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A9823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372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B64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87BB0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DD90B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N3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C471F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M0</w:t>
            </w:r>
          </w:p>
        </w:tc>
      </w:tr>
      <w:tr w:rsidR="00C16E49" w:rsidRPr="008A602E" w14:paraId="3F6683C5" w14:textId="77777777" w:rsidTr="00AE6224">
        <w:trPr>
          <w:trHeight w:val="29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4FC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E8B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0C6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372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C3F" w14:textId="77777777" w:rsidR="00C16E49" w:rsidRPr="008A602E" w:rsidRDefault="00C16E49" w:rsidP="00AE6224">
            <w:pPr>
              <w:spacing w:line="240" w:lineRule="auto"/>
              <w:jc w:val="left"/>
              <w:rPr>
                <w:rFonts w:ascii="Times New Roman" w:hAnsi="Times New Roman"/>
                <w:sz w:val="20"/>
                <w:lang w:eastAsia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2D2F1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IV b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D32A2A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55317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jedes 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17E49" w14:textId="77777777" w:rsidR="00C16E49" w:rsidRPr="008A602E" w:rsidRDefault="00C16E49" w:rsidP="00AE6224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8A602E">
              <w:rPr>
                <w:rFonts w:ascii="Calibri" w:hAnsi="Calibri" w:cs="Calibri"/>
                <w:color w:val="000000"/>
                <w:szCs w:val="22"/>
                <w:lang w:eastAsia="de-AT"/>
              </w:rPr>
              <w:t>M1</w:t>
            </w:r>
          </w:p>
        </w:tc>
      </w:tr>
    </w:tbl>
    <w:p w14:paraId="23B7CFA5" w14:textId="77777777" w:rsidR="00DA0C18" w:rsidRDefault="00DA0C18" w:rsidP="00DA0C18">
      <w:pPr>
        <w:pStyle w:val="berschrift2"/>
        <w:ind w:left="0" w:firstLine="0"/>
        <w:rPr>
          <w:lang w:val="de-AT"/>
        </w:rPr>
      </w:pPr>
      <w:bookmarkStart w:id="7" w:name="_Toc61872049"/>
      <w:r>
        <w:rPr>
          <w:lang w:val="de-AT"/>
        </w:rPr>
        <w:lastRenderedPageBreak/>
        <w:t>2.</w:t>
      </w:r>
      <w:r w:rsidR="004E7FC0">
        <w:rPr>
          <w:lang w:val="de-AT"/>
        </w:rPr>
        <w:t>4</w:t>
      </w:r>
      <w:r>
        <w:rPr>
          <w:lang w:val="de-AT"/>
        </w:rPr>
        <w:tab/>
      </w:r>
      <w:r w:rsidRPr="00DA0C18">
        <w:rPr>
          <w:lang w:val="de-AT"/>
        </w:rPr>
        <w:t>Ei</w:t>
      </w:r>
      <w:r w:rsidR="008F4427">
        <w:rPr>
          <w:lang w:val="de-AT"/>
        </w:rPr>
        <w:t>nteilung der gastroösophagealen</w:t>
      </w:r>
      <w:r w:rsidRPr="00DA0C18">
        <w:rPr>
          <w:lang w:val="de-AT"/>
        </w:rPr>
        <w:t xml:space="preserve"> Übergangska</w:t>
      </w:r>
      <w:r>
        <w:rPr>
          <w:lang w:val="de-AT"/>
        </w:rPr>
        <w:t>r</w:t>
      </w:r>
      <w:r w:rsidRPr="00DA0C18">
        <w:rPr>
          <w:lang w:val="de-AT"/>
        </w:rPr>
        <w:t>zinome nach Siewert</w:t>
      </w:r>
      <w:bookmarkEnd w:id="7"/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C16E49" w:rsidRPr="00DA0C18" w14:paraId="6AB7E01A" w14:textId="77777777" w:rsidTr="00AE6224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41CF136" w14:textId="77777777" w:rsidR="00C16E49" w:rsidRPr="00EF3F60" w:rsidRDefault="00C16E49" w:rsidP="00AE622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F3F60">
              <w:rPr>
                <w:rFonts w:asciiTheme="minorHAnsi" w:hAnsiTheme="minorHAnsi" w:cstheme="minorHAnsi"/>
                <w:b/>
                <w:sz w:val="20"/>
              </w:rPr>
              <w:t>Typ I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155EA3A0" w14:textId="77777777" w:rsidR="00C16E49" w:rsidRPr="00EF3F60" w:rsidRDefault="00C16E49" w:rsidP="00AE62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F3F60">
              <w:rPr>
                <w:rFonts w:asciiTheme="minorHAnsi" w:hAnsiTheme="minorHAnsi" w:cstheme="minorHAnsi"/>
                <w:sz w:val="20"/>
              </w:rPr>
              <w:t xml:space="preserve">Tumorzentrum 5–1  cm oral der anatomischen Kardia, im Bereich des distalen </w:t>
            </w:r>
            <w:r>
              <w:rPr>
                <w:rFonts w:asciiTheme="minorHAnsi" w:hAnsiTheme="minorHAnsi" w:cstheme="minorHAnsi"/>
                <w:sz w:val="20"/>
              </w:rPr>
              <w:t>Ösophagus, typischerweise  Barrett-K</w:t>
            </w:r>
            <w:r w:rsidRPr="00EF3F60">
              <w:rPr>
                <w:rFonts w:asciiTheme="minorHAnsi" w:hAnsiTheme="minorHAnsi" w:cstheme="minorHAnsi"/>
                <w:sz w:val="20"/>
              </w:rPr>
              <w:t>arzinom</w:t>
            </w:r>
            <w:r>
              <w:rPr>
                <w:rFonts w:asciiTheme="minorHAnsi" w:hAnsiTheme="minorHAnsi" w:cstheme="minorHAnsi"/>
                <w:sz w:val="20"/>
              </w:rPr>
              <w:t>e (chrakterisiert durch intestinalen</w:t>
            </w:r>
            <w:r w:rsidRPr="00EF3F60">
              <w:rPr>
                <w:rFonts w:asciiTheme="minorHAnsi" w:hAnsiTheme="minorHAnsi" w:cstheme="minorHAnsi"/>
                <w:sz w:val="20"/>
              </w:rPr>
              <w:t xml:space="preserve">  Differenzierung</w:t>
            </w:r>
            <w:r>
              <w:rPr>
                <w:rFonts w:asciiTheme="minorHAnsi" w:hAnsiTheme="minorHAnsi" w:cstheme="minorHAnsi"/>
                <w:sz w:val="20"/>
              </w:rPr>
              <w:t>sweg)</w:t>
            </w:r>
          </w:p>
        </w:tc>
      </w:tr>
      <w:tr w:rsidR="00C16E49" w:rsidRPr="00DA0C18" w14:paraId="73683670" w14:textId="77777777" w:rsidTr="00AE6224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B1D4161" w14:textId="77777777" w:rsidR="00C16E49" w:rsidRPr="00EF3F60" w:rsidRDefault="00C16E49" w:rsidP="00AE622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F3F60">
              <w:rPr>
                <w:rFonts w:asciiTheme="minorHAnsi" w:hAnsiTheme="minorHAnsi" w:cstheme="minorHAnsi"/>
                <w:b/>
                <w:sz w:val="20"/>
              </w:rPr>
              <w:t>Typ II</w:t>
            </w:r>
          </w:p>
        </w:tc>
        <w:tc>
          <w:tcPr>
            <w:tcW w:w="8138" w:type="dxa"/>
            <w:shd w:val="clear" w:color="auto" w:fill="D9D9D9" w:themeFill="background1" w:themeFillShade="D9"/>
          </w:tcPr>
          <w:p w14:paraId="1C61EA5A" w14:textId="77777777" w:rsidR="00C16E49" w:rsidRPr="00EF3F60" w:rsidRDefault="00C16E49" w:rsidP="00AE62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F3F60">
              <w:rPr>
                <w:rFonts w:asciiTheme="minorHAnsi" w:hAnsiTheme="minorHAnsi" w:cstheme="minorHAnsi"/>
                <w:sz w:val="20"/>
              </w:rPr>
              <w:t>Tumorzentrum zwischen 1 cm oral und 2 cm aboral</w:t>
            </w:r>
            <w:r>
              <w:rPr>
                <w:rFonts w:asciiTheme="minorHAnsi" w:hAnsiTheme="minorHAnsi" w:cstheme="minorHAnsi"/>
                <w:sz w:val="20"/>
              </w:rPr>
              <w:t xml:space="preserve"> der Ora serrata</w:t>
            </w:r>
            <w:r w:rsidRPr="00EF3F60">
              <w:rPr>
                <w:rFonts w:asciiTheme="minorHAnsi" w:hAnsiTheme="minorHAnsi" w:cstheme="minorHAnsi"/>
                <w:sz w:val="20"/>
              </w:rPr>
              <w:t xml:space="preserve">;  </w:t>
            </w:r>
            <w:r>
              <w:rPr>
                <w:rFonts w:asciiTheme="minorHAnsi" w:hAnsiTheme="minorHAnsi" w:cstheme="minorHAnsi"/>
                <w:sz w:val="20"/>
              </w:rPr>
              <w:t>beinhaltet in erster Linie „klassische“ Kardiakarzinome, aber auch Barrett-Karzinome</w:t>
            </w:r>
          </w:p>
        </w:tc>
      </w:tr>
      <w:tr w:rsidR="00C16E49" w:rsidRPr="00DA0C18" w14:paraId="24AD51F7" w14:textId="77777777" w:rsidTr="00AE6224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FFD6C48" w14:textId="77777777" w:rsidR="00C16E49" w:rsidRPr="00EF3F60" w:rsidRDefault="00C16E49" w:rsidP="00AE622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F3F60">
              <w:rPr>
                <w:rFonts w:asciiTheme="minorHAnsi" w:hAnsiTheme="minorHAnsi" w:cstheme="minorHAnsi"/>
                <w:b/>
                <w:sz w:val="20"/>
              </w:rPr>
              <w:t>Typ III</w:t>
            </w:r>
          </w:p>
        </w:tc>
        <w:tc>
          <w:tcPr>
            <w:tcW w:w="8138" w:type="dxa"/>
            <w:shd w:val="clear" w:color="auto" w:fill="BFBFBF" w:themeFill="background1" w:themeFillShade="BF"/>
          </w:tcPr>
          <w:p w14:paraId="38300144" w14:textId="77777777" w:rsidR="00C16E49" w:rsidRPr="00EF3F60" w:rsidRDefault="00C16E49" w:rsidP="00AE62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F3F60">
              <w:rPr>
                <w:rFonts w:asciiTheme="minorHAnsi" w:hAnsiTheme="minorHAnsi" w:cstheme="minorHAnsi"/>
                <w:sz w:val="20"/>
              </w:rPr>
              <w:t>Tum</w:t>
            </w:r>
            <w:r>
              <w:rPr>
                <w:rFonts w:asciiTheme="minorHAnsi" w:hAnsiTheme="minorHAnsi" w:cstheme="minorHAnsi"/>
                <w:sz w:val="20"/>
              </w:rPr>
              <w:t>orzentrum 2–5  cm aboral der Ora serrata,</w:t>
            </w:r>
            <w:r w:rsidRPr="00EF3F6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entspricht einem Magenkarzinom. Infiltration </w:t>
            </w:r>
            <w:r w:rsidRPr="00EF3F60">
              <w:rPr>
                <w:rFonts w:asciiTheme="minorHAnsi" w:hAnsiTheme="minorHAnsi" w:cstheme="minorHAnsi"/>
                <w:sz w:val="20"/>
              </w:rPr>
              <w:t>der Übergangszone von aboral</w:t>
            </w:r>
          </w:p>
        </w:tc>
      </w:tr>
    </w:tbl>
    <w:p w14:paraId="23B7CFAF" w14:textId="77777777" w:rsidR="004E7FC0" w:rsidRDefault="004E7FC0" w:rsidP="00DA0C18">
      <w:pPr>
        <w:rPr>
          <w:sz w:val="8"/>
          <w:szCs w:val="8"/>
        </w:rPr>
      </w:pPr>
    </w:p>
    <w:p w14:paraId="23B7CFB0" w14:textId="77777777" w:rsidR="004E7FC0" w:rsidRDefault="004E7FC0" w:rsidP="00DA0C18">
      <w:pPr>
        <w:rPr>
          <w:sz w:val="8"/>
          <w:szCs w:val="8"/>
        </w:rPr>
      </w:pPr>
    </w:p>
    <w:p w14:paraId="23B7CFB1" w14:textId="77777777" w:rsidR="004E7FC0" w:rsidRDefault="004E7FC0" w:rsidP="00EF3F60">
      <w:pPr>
        <w:rPr>
          <w:sz w:val="8"/>
          <w:szCs w:val="8"/>
        </w:rPr>
      </w:pPr>
      <w:r>
        <w:rPr>
          <w:noProof/>
          <w:lang w:eastAsia="de-AT"/>
        </w:rPr>
        <w:drawing>
          <wp:inline distT="0" distB="0" distL="0" distR="0" wp14:anchorId="23B7D11E" wp14:editId="23B7D11F">
            <wp:extent cx="2260600" cy="1974448"/>
            <wp:effectExtent l="0" t="0" r="635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429" b="-1"/>
                    <a:stretch/>
                  </pic:blipFill>
                  <pic:spPr bwMode="auto">
                    <a:xfrm>
                      <a:off x="0" y="0"/>
                      <a:ext cx="2262978" cy="19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7CFB2" w14:textId="77777777" w:rsidR="004E7FC0" w:rsidRDefault="004E7FC0" w:rsidP="00EF3F60">
      <w:pPr>
        <w:rPr>
          <w:sz w:val="8"/>
          <w:szCs w:val="8"/>
        </w:rPr>
      </w:pPr>
    </w:p>
    <w:p w14:paraId="23B7CFB3" w14:textId="77777777" w:rsidR="004E7FC0" w:rsidRDefault="004E7FC0" w:rsidP="00EF3F60">
      <w:pPr>
        <w:rPr>
          <w:sz w:val="8"/>
          <w:szCs w:val="8"/>
        </w:rPr>
      </w:pPr>
    </w:p>
    <w:p w14:paraId="23B7CFB4" w14:textId="77777777" w:rsidR="004E7FC0" w:rsidRDefault="00105C03" w:rsidP="00105C03">
      <w:pPr>
        <w:tabs>
          <w:tab w:val="left" w:pos="6765"/>
        </w:tabs>
        <w:jc w:val="left"/>
        <w:rPr>
          <w:sz w:val="8"/>
          <w:szCs w:val="8"/>
        </w:rPr>
      </w:pPr>
      <w:r>
        <w:rPr>
          <w:sz w:val="8"/>
          <w:szCs w:val="8"/>
        </w:rPr>
        <w:tab/>
      </w:r>
    </w:p>
    <w:p w14:paraId="23B7CFB5" w14:textId="77777777" w:rsidR="004E7FC0" w:rsidRPr="00EF3F60" w:rsidRDefault="00EF3F60" w:rsidP="00EF3F60">
      <w:pPr>
        <w:pStyle w:val="berschrift2"/>
        <w:ind w:left="0" w:firstLine="0"/>
        <w:rPr>
          <w:lang w:val="de-AT"/>
        </w:rPr>
      </w:pPr>
      <w:bookmarkStart w:id="8" w:name="_Toc61872050"/>
      <w:r>
        <w:rPr>
          <w:lang w:val="de-AT"/>
        </w:rPr>
        <w:t>2.5</w:t>
      </w:r>
      <w:r>
        <w:rPr>
          <w:lang w:val="de-AT"/>
        </w:rPr>
        <w:tab/>
      </w:r>
      <w:r w:rsidRPr="00EF3F60">
        <w:rPr>
          <w:lang w:val="de-AT"/>
        </w:rPr>
        <w:t>Checkliste Staging</w:t>
      </w:r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  <w:gridCol w:w="1417"/>
      </w:tblGrid>
      <w:tr w:rsidR="0072186C" w:rsidRPr="00BA6712" w14:paraId="23B7CFB9" w14:textId="77777777" w:rsidTr="008972CA">
        <w:tc>
          <w:tcPr>
            <w:tcW w:w="6487" w:type="dxa"/>
            <w:shd w:val="clear" w:color="auto" w:fill="D9D9D9" w:themeFill="background1" w:themeFillShade="D9"/>
          </w:tcPr>
          <w:p w14:paraId="23B7CFB6" w14:textId="77777777" w:rsidR="0072186C" w:rsidRPr="00BA6712" w:rsidRDefault="0072186C" w:rsidP="00D353D6">
            <w:pPr>
              <w:spacing w:line="240" w:lineRule="auto"/>
              <w:jc w:val="left"/>
              <w:rPr>
                <w:rFonts w:cs="Arial"/>
                <w:szCs w:val="22"/>
                <w:lang w:val="de-DE" w:eastAsia="de-A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B7CFB7" w14:textId="77777777" w:rsidR="0072186C" w:rsidRPr="006A4845" w:rsidRDefault="0072186C" w:rsidP="00D353D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GB" w:eastAsia="de-AT"/>
              </w:rPr>
            </w:pPr>
            <w:r w:rsidRPr="006A4845">
              <w:rPr>
                <w:rFonts w:asciiTheme="minorHAnsi" w:hAnsiTheme="minorHAnsi" w:cstheme="minorHAnsi"/>
                <w:sz w:val="18"/>
                <w:szCs w:val="18"/>
                <w:lang w:val="en-GB" w:eastAsia="de-AT"/>
              </w:rPr>
              <w:t>Kurativer Ansatz (OP, def. RCTx)</w:t>
            </w:r>
            <w:r w:rsidR="00D40BC9" w:rsidRPr="006A4845">
              <w:rPr>
                <w:rFonts w:asciiTheme="minorHAnsi" w:hAnsiTheme="minorHAnsi" w:cstheme="minorHAnsi"/>
                <w:sz w:val="18"/>
                <w:szCs w:val="18"/>
                <w:lang w:val="en-GB" w:eastAsia="de-AT"/>
              </w:rPr>
              <w:t xml:space="preserve"> inkl. OM-Setting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B7CFB8" w14:textId="77777777" w:rsidR="0072186C" w:rsidRPr="002814DF" w:rsidRDefault="0072186C" w:rsidP="00D353D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de-DE" w:eastAsia="de-A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 w:eastAsia="de-AT"/>
              </w:rPr>
              <w:t>Palliativer Ansatz</w:t>
            </w:r>
          </w:p>
        </w:tc>
      </w:tr>
      <w:tr w:rsidR="0072186C" w:rsidRPr="00BA6712" w14:paraId="23B7CFBD" w14:textId="77777777" w:rsidTr="008972CA">
        <w:tc>
          <w:tcPr>
            <w:tcW w:w="6487" w:type="dxa"/>
            <w:shd w:val="clear" w:color="auto" w:fill="auto"/>
          </w:tcPr>
          <w:p w14:paraId="23B7CFBA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Anamnese und Status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B7CFBB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B7CFBC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C1" w14:textId="77777777" w:rsidTr="008972CA">
        <w:tc>
          <w:tcPr>
            <w:tcW w:w="6487" w:type="dxa"/>
            <w:shd w:val="clear" w:color="auto" w:fill="auto"/>
          </w:tcPr>
          <w:p w14:paraId="23B7CFBE" w14:textId="77777777" w:rsidR="0072186C" w:rsidRPr="008972CA" w:rsidRDefault="008972CA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ECOG</w:t>
            </w:r>
          </w:p>
        </w:tc>
        <w:tc>
          <w:tcPr>
            <w:tcW w:w="1418" w:type="dxa"/>
            <w:shd w:val="clear" w:color="auto" w:fill="auto"/>
          </w:tcPr>
          <w:p w14:paraId="23B7CFBF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C0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C5" w14:textId="77777777" w:rsidTr="008972CA">
        <w:tc>
          <w:tcPr>
            <w:tcW w:w="6487" w:type="dxa"/>
            <w:shd w:val="clear" w:color="auto" w:fill="auto"/>
          </w:tcPr>
          <w:p w14:paraId="23B7CFC2" w14:textId="77777777" w:rsidR="0072186C" w:rsidRPr="008972CA" w:rsidRDefault="0072186C" w:rsidP="008972C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>Labor (inkl. CEA, CA 19-9, CA 72-4, SCC, Eisen, EBK,</w:t>
            </w:r>
            <w:r w:rsid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Ferritin, Serologie Hepatitis B, C)</w:t>
            </w:r>
          </w:p>
        </w:tc>
        <w:tc>
          <w:tcPr>
            <w:tcW w:w="1418" w:type="dxa"/>
            <w:shd w:val="clear" w:color="auto" w:fill="auto"/>
          </w:tcPr>
          <w:p w14:paraId="23B7CFC3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C4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C9" w14:textId="77777777" w:rsidTr="008972CA">
        <w:tc>
          <w:tcPr>
            <w:tcW w:w="6487" w:type="dxa"/>
            <w:shd w:val="clear" w:color="auto" w:fill="auto"/>
          </w:tcPr>
          <w:p w14:paraId="23B7CFC6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Endoskopie mit Histologie </w:t>
            </w:r>
          </w:p>
        </w:tc>
        <w:tc>
          <w:tcPr>
            <w:tcW w:w="1418" w:type="dxa"/>
            <w:shd w:val="clear" w:color="auto" w:fill="auto"/>
          </w:tcPr>
          <w:p w14:paraId="23B7CFC7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C8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CD" w14:textId="77777777" w:rsidTr="008972CA">
        <w:tc>
          <w:tcPr>
            <w:tcW w:w="6487" w:type="dxa"/>
            <w:shd w:val="clear" w:color="auto" w:fill="auto"/>
          </w:tcPr>
          <w:p w14:paraId="23B7CFCA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Endosonographie (für T- und N-Stadium)</w:t>
            </w:r>
          </w:p>
        </w:tc>
        <w:tc>
          <w:tcPr>
            <w:tcW w:w="1418" w:type="dxa"/>
            <w:shd w:val="clear" w:color="auto" w:fill="auto"/>
          </w:tcPr>
          <w:p w14:paraId="23B7CFCB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>x</w:t>
            </w:r>
          </w:p>
        </w:tc>
        <w:tc>
          <w:tcPr>
            <w:tcW w:w="1417" w:type="dxa"/>
          </w:tcPr>
          <w:p w14:paraId="23B7CFCC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72186C" w:rsidRPr="00BA6712" w14:paraId="23B7CFD1" w14:textId="77777777" w:rsidTr="008972CA">
        <w:tc>
          <w:tcPr>
            <w:tcW w:w="6487" w:type="dxa"/>
            <w:shd w:val="clear" w:color="auto" w:fill="auto"/>
          </w:tcPr>
          <w:p w14:paraId="23B7CFCE" w14:textId="77777777" w:rsidR="0072186C" w:rsidRPr="008972CA" w:rsidRDefault="0061336E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FDG - </w:t>
            </w:r>
            <w:r w:rsidR="0072186C"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PET-CT </w:t>
            </w: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de-AT"/>
              </w:rPr>
              <w:t>low dose</w:t>
            </w:r>
          </w:p>
        </w:tc>
        <w:tc>
          <w:tcPr>
            <w:tcW w:w="1418" w:type="dxa"/>
            <w:shd w:val="clear" w:color="auto" w:fill="auto"/>
          </w:tcPr>
          <w:p w14:paraId="23B7CFCF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D0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72186C" w:rsidRPr="00BA6712" w14:paraId="23B7CFD5" w14:textId="77777777" w:rsidTr="008972CA">
        <w:tc>
          <w:tcPr>
            <w:tcW w:w="6487" w:type="dxa"/>
            <w:shd w:val="clear" w:color="auto" w:fill="auto"/>
          </w:tcPr>
          <w:p w14:paraId="23B7CFD2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CT Thorax, Abdomen, Becken</w:t>
            </w:r>
          </w:p>
        </w:tc>
        <w:tc>
          <w:tcPr>
            <w:tcW w:w="1418" w:type="dxa"/>
            <w:shd w:val="clear" w:color="auto" w:fill="auto"/>
          </w:tcPr>
          <w:p w14:paraId="23B7CFD3" w14:textId="77777777" w:rsidR="0072186C" w:rsidRPr="008972CA" w:rsidRDefault="0061336E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D4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D9" w14:textId="77777777" w:rsidTr="008972CA">
        <w:tc>
          <w:tcPr>
            <w:tcW w:w="6487" w:type="dxa"/>
            <w:shd w:val="clear" w:color="auto" w:fill="auto"/>
          </w:tcPr>
          <w:p w14:paraId="23B7CFD6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Bronchoskopie bei TU an oder oberhalb der Carina u/o Tumorkontakt zu Trachea/Hauptbronchus, unklarer Husten u/o Hämoptysen</w:t>
            </w:r>
          </w:p>
        </w:tc>
        <w:tc>
          <w:tcPr>
            <w:tcW w:w="1418" w:type="dxa"/>
            <w:shd w:val="clear" w:color="auto" w:fill="auto"/>
          </w:tcPr>
          <w:p w14:paraId="23B7CFD7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D8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72186C" w:rsidRPr="00BA6712" w14:paraId="23B7CFDD" w14:textId="77777777" w:rsidTr="008972CA">
        <w:tc>
          <w:tcPr>
            <w:tcW w:w="6487" w:type="dxa"/>
            <w:shd w:val="clear" w:color="auto" w:fill="auto"/>
          </w:tcPr>
          <w:p w14:paraId="23B7CFDA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HNO </w:t>
            </w:r>
            <w:r w:rsidR="00D40BC9"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+ Panendoskopie </w:t>
            </w: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bei Plattenepithelkarzinom</w:t>
            </w:r>
            <w:r w:rsidR="00D40BC9"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 zum Ausschluss eines Zweitkarzinoms</w:t>
            </w:r>
          </w:p>
        </w:tc>
        <w:tc>
          <w:tcPr>
            <w:tcW w:w="1418" w:type="dxa"/>
            <w:shd w:val="clear" w:color="auto" w:fill="auto"/>
          </w:tcPr>
          <w:p w14:paraId="23B7CFDB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DC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D40BC9" w:rsidRPr="00BA6712" w14:paraId="23B7CFE1" w14:textId="77777777" w:rsidTr="008972CA">
        <w:tc>
          <w:tcPr>
            <w:tcW w:w="6487" w:type="dxa"/>
            <w:shd w:val="clear" w:color="auto" w:fill="auto"/>
          </w:tcPr>
          <w:p w14:paraId="23B7CFDE" w14:textId="77777777" w:rsidR="00D40BC9" w:rsidRPr="008972CA" w:rsidRDefault="00D40BC9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Lungenfunktion</w:t>
            </w:r>
          </w:p>
        </w:tc>
        <w:tc>
          <w:tcPr>
            <w:tcW w:w="1418" w:type="dxa"/>
            <w:shd w:val="clear" w:color="auto" w:fill="auto"/>
          </w:tcPr>
          <w:p w14:paraId="23B7CFDF" w14:textId="77777777" w:rsidR="00D40BC9" w:rsidRPr="008972CA" w:rsidRDefault="00D40BC9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E0" w14:textId="77777777" w:rsidR="00D40BC9" w:rsidRPr="008972CA" w:rsidRDefault="00D40BC9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E6" w14:textId="77777777" w:rsidTr="008972CA">
        <w:tc>
          <w:tcPr>
            <w:tcW w:w="6487" w:type="dxa"/>
            <w:shd w:val="clear" w:color="auto" w:fill="auto"/>
          </w:tcPr>
          <w:p w14:paraId="23B7CFE2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Histologische Sicherung der Metastase, </w:t>
            </w:r>
          </w:p>
          <w:p w14:paraId="23B7CFE3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bei Adenokarzinom HER 2</w:t>
            </w:r>
          </w:p>
        </w:tc>
        <w:tc>
          <w:tcPr>
            <w:tcW w:w="1418" w:type="dxa"/>
            <w:shd w:val="clear" w:color="auto" w:fill="auto"/>
          </w:tcPr>
          <w:p w14:paraId="23B7CFE4" w14:textId="77777777" w:rsidR="0072186C" w:rsidRPr="008972CA" w:rsidRDefault="00D40BC9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E5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EA" w14:textId="77777777" w:rsidTr="008972CA">
        <w:tc>
          <w:tcPr>
            <w:tcW w:w="6487" w:type="dxa"/>
            <w:shd w:val="clear" w:color="auto" w:fill="auto"/>
          </w:tcPr>
          <w:p w14:paraId="23B7CFE7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Klinisches TNM Staging: cT__cN__cM__</w:t>
            </w:r>
          </w:p>
        </w:tc>
        <w:tc>
          <w:tcPr>
            <w:tcW w:w="1418" w:type="dxa"/>
            <w:shd w:val="clear" w:color="auto" w:fill="auto"/>
          </w:tcPr>
          <w:p w14:paraId="23B7CFE8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E9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EE" w14:textId="77777777" w:rsidTr="008972CA">
        <w:tc>
          <w:tcPr>
            <w:tcW w:w="6487" w:type="dxa"/>
            <w:shd w:val="clear" w:color="auto" w:fill="auto"/>
          </w:tcPr>
          <w:p w14:paraId="23B7CFEB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Psychoonkologisches Konsil</w:t>
            </w:r>
          </w:p>
        </w:tc>
        <w:tc>
          <w:tcPr>
            <w:tcW w:w="1418" w:type="dxa"/>
            <w:shd w:val="clear" w:color="auto" w:fill="auto"/>
          </w:tcPr>
          <w:p w14:paraId="23B7CFEC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ED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F3" w14:textId="77777777" w:rsidTr="008972CA">
        <w:tc>
          <w:tcPr>
            <w:tcW w:w="6487" w:type="dxa"/>
            <w:shd w:val="clear" w:color="auto" w:fill="auto"/>
          </w:tcPr>
          <w:p w14:paraId="23B7CFEF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Geriatrische Vorstellung bei Alter &gt; 70 Jahre</w:t>
            </w:r>
          </w:p>
          <w:p w14:paraId="23B7CFF0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(Assessment entsprechend der lokalen Vorgehensweise)</w:t>
            </w:r>
          </w:p>
        </w:tc>
        <w:tc>
          <w:tcPr>
            <w:tcW w:w="1418" w:type="dxa"/>
            <w:shd w:val="clear" w:color="auto" w:fill="auto"/>
          </w:tcPr>
          <w:p w14:paraId="23B7CFF1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F2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F8" w14:textId="77777777" w:rsidTr="008972CA">
        <w:tc>
          <w:tcPr>
            <w:tcW w:w="6487" w:type="dxa"/>
            <w:shd w:val="clear" w:color="auto" w:fill="auto"/>
          </w:tcPr>
          <w:p w14:paraId="23B7CFF4" w14:textId="77777777" w:rsidR="0072186C" w:rsidRPr="008972CA" w:rsidRDefault="0072186C" w:rsidP="008972C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Tumorboardanforderung: Die Eingabe ins Tumorboard </w:t>
            </w:r>
          </w:p>
          <w:p w14:paraId="23B7CFF5" w14:textId="77777777" w:rsidR="0072186C" w:rsidRPr="008972CA" w:rsidRDefault="0072186C" w:rsidP="008972C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sollte nur erfolgen, wenn das Staging komplett ist.</w:t>
            </w:r>
            <w:r w:rsidRPr="008972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3B7CFF6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F7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</w:tr>
      <w:tr w:rsidR="0072186C" w:rsidRPr="00BA6712" w14:paraId="23B7CFFD" w14:textId="77777777" w:rsidTr="008972CA">
        <w:tc>
          <w:tcPr>
            <w:tcW w:w="6487" w:type="dxa"/>
            <w:shd w:val="clear" w:color="auto" w:fill="auto"/>
          </w:tcPr>
          <w:p w14:paraId="23B7CFF9" w14:textId="77777777" w:rsidR="0072186C" w:rsidRPr="008972CA" w:rsidRDefault="0072186C" w:rsidP="00EF3F60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Laparoskopie bei Siewert III und V.a. peritoneale </w:t>
            </w:r>
          </w:p>
          <w:p w14:paraId="23B7CFFA" w14:textId="77777777" w:rsidR="0072186C" w:rsidRPr="008972CA" w:rsidRDefault="0072186C" w:rsidP="00EF3F60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Metastasierung</w:t>
            </w:r>
          </w:p>
        </w:tc>
        <w:tc>
          <w:tcPr>
            <w:tcW w:w="1418" w:type="dxa"/>
            <w:shd w:val="clear" w:color="auto" w:fill="auto"/>
          </w:tcPr>
          <w:p w14:paraId="23B7CFFB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CFFC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72186C" w:rsidRPr="00BA6712" w14:paraId="23B7D001" w14:textId="77777777" w:rsidTr="008972CA">
        <w:tc>
          <w:tcPr>
            <w:tcW w:w="6487" w:type="dxa"/>
            <w:shd w:val="clear" w:color="auto" w:fill="auto"/>
          </w:tcPr>
          <w:p w14:paraId="23B7CFFE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 w:eastAsia="de-AT"/>
              </w:rPr>
              <w:t>Präoperative Untersuchungen:</w:t>
            </w:r>
          </w:p>
        </w:tc>
        <w:tc>
          <w:tcPr>
            <w:tcW w:w="1418" w:type="dxa"/>
            <w:shd w:val="clear" w:color="auto" w:fill="auto"/>
          </w:tcPr>
          <w:p w14:paraId="23B7CFFF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  <w:tc>
          <w:tcPr>
            <w:tcW w:w="1417" w:type="dxa"/>
          </w:tcPr>
          <w:p w14:paraId="23B7D000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72186C" w:rsidRPr="00BA6712" w14:paraId="23B7D005" w14:textId="77777777" w:rsidTr="008972CA">
        <w:tc>
          <w:tcPr>
            <w:tcW w:w="6487" w:type="dxa"/>
            <w:shd w:val="clear" w:color="auto" w:fill="auto"/>
          </w:tcPr>
          <w:p w14:paraId="23B7D002" w14:textId="77777777" w:rsidR="0072186C" w:rsidRPr="008972CA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Coloskopie</w:t>
            </w:r>
          </w:p>
        </w:tc>
        <w:tc>
          <w:tcPr>
            <w:tcW w:w="1418" w:type="dxa"/>
            <w:shd w:val="clear" w:color="auto" w:fill="auto"/>
          </w:tcPr>
          <w:p w14:paraId="23B7D003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D004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72186C" w:rsidRPr="00BA6712" w14:paraId="23B7D009" w14:textId="77777777" w:rsidTr="008972CA">
        <w:tc>
          <w:tcPr>
            <w:tcW w:w="6487" w:type="dxa"/>
            <w:shd w:val="clear" w:color="auto" w:fill="auto"/>
          </w:tcPr>
          <w:p w14:paraId="23B7D006" w14:textId="125CCF9D" w:rsidR="0072186C" w:rsidRPr="004C5BF1" w:rsidRDefault="0072186C" w:rsidP="00D353D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4C5BF1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Ernährungsassessment, Diätberatung  +/- PEG</w:t>
            </w:r>
            <w:r w:rsidR="00AE6224" w:rsidRPr="004C5BF1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 xml:space="preserve">, </w:t>
            </w:r>
            <w:r w:rsidR="00AE6224" w:rsidRPr="004C5BF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 w:eastAsia="de-AT"/>
              </w:rPr>
              <w:t>Supportivleitlinie beachten!</w:t>
            </w:r>
          </w:p>
        </w:tc>
        <w:tc>
          <w:tcPr>
            <w:tcW w:w="1418" w:type="dxa"/>
            <w:shd w:val="clear" w:color="auto" w:fill="auto"/>
          </w:tcPr>
          <w:p w14:paraId="23B7D007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  <w:r w:rsidRPr="008972CA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  <w:t>x</w:t>
            </w:r>
          </w:p>
        </w:tc>
        <w:tc>
          <w:tcPr>
            <w:tcW w:w="1417" w:type="dxa"/>
          </w:tcPr>
          <w:p w14:paraId="23B7D008" w14:textId="77777777" w:rsidR="0072186C" w:rsidRPr="008972CA" w:rsidRDefault="0072186C" w:rsidP="00D353D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AT"/>
              </w:rPr>
            </w:pPr>
          </w:p>
        </w:tc>
      </w:tr>
    </w:tbl>
    <w:p w14:paraId="23B7D00A" w14:textId="77777777" w:rsidR="004B61B2" w:rsidRDefault="004B61B2" w:rsidP="004B61B2">
      <w:bookmarkStart w:id="9" w:name="_Toc367183617"/>
      <w:bookmarkStart w:id="10" w:name="_Toc367183855"/>
      <w:r>
        <w:br w:type="page"/>
      </w:r>
    </w:p>
    <w:p w14:paraId="23B7D00B" w14:textId="77777777" w:rsidR="006D4DAC" w:rsidRPr="00E344D4" w:rsidRDefault="00F443D5" w:rsidP="00F443D5">
      <w:pPr>
        <w:pStyle w:val="berschrift1"/>
      </w:pPr>
      <w:bookmarkStart w:id="11" w:name="_Toc61872051"/>
      <w:r>
        <w:lastRenderedPageBreak/>
        <w:t>3</w:t>
      </w:r>
      <w:r>
        <w:tab/>
      </w:r>
      <w:r w:rsidR="006D4DAC" w:rsidRPr="00E344D4">
        <w:t>Behandlungsplan</w:t>
      </w:r>
      <w:bookmarkEnd w:id="11"/>
      <w:r w:rsidR="006D4DAC" w:rsidRPr="00E344D4">
        <w:t xml:space="preserve"> </w:t>
      </w:r>
      <w:bookmarkEnd w:id="9"/>
      <w:bookmarkEnd w:id="10"/>
    </w:p>
    <w:p w14:paraId="23B7D00C" w14:textId="77777777" w:rsidR="001F2BEC" w:rsidRPr="00761919" w:rsidRDefault="00761919" w:rsidP="00761919">
      <w:pPr>
        <w:pStyle w:val="berschrift2"/>
        <w:rPr>
          <w:lang w:val="de-AT"/>
        </w:rPr>
      </w:pPr>
      <w:bookmarkStart w:id="12" w:name="_3.1_Lokoregionäres_Plattenepithelka"/>
      <w:bookmarkStart w:id="13" w:name="_Toc61872052"/>
      <w:bookmarkEnd w:id="12"/>
      <w:r w:rsidRPr="00761919">
        <w:rPr>
          <w:lang w:val="de-AT"/>
        </w:rPr>
        <w:t>3.1</w:t>
      </w:r>
      <w:r w:rsidRPr="00761919">
        <w:rPr>
          <w:lang w:val="de-AT"/>
        </w:rPr>
        <w:tab/>
      </w:r>
      <w:r w:rsidR="004D7350">
        <w:rPr>
          <w:lang w:val="de-AT"/>
        </w:rPr>
        <w:t>Lokoregionäres</w:t>
      </w:r>
      <w:r w:rsidRPr="00761919">
        <w:rPr>
          <w:lang w:val="de-AT"/>
        </w:rPr>
        <w:t xml:space="preserve"> Plattenepithelkarzinom</w:t>
      </w:r>
      <w:bookmarkEnd w:id="13"/>
    </w:p>
    <w:p w14:paraId="6D9230FD" w14:textId="31F0ED24" w:rsidR="00DF4013" w:rsidRDefault="00B03BE3" w:rsidP="00DF4013">
      <w:r>
        <w:rPr>
          <w:noProof/>
          <w:lang w:eastAsia="de-AT"/>
        </w:rPr>
        <w:drawing>
          <wp:inline distT="0" distB="0" distL="0" distR="0" wp14:anchorId="02C64A95" wp14:editId="3193A58D">
            <wp:extent cx="4793993" cy="5681563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1-17 Visio Ösophagus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59" cy="56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D00E" w14:textId="03F31527" w:rsidR="00761919" w:rsidRDefault="00761919" w:rsidP="00DF4013"/>
    <w:p w14:paraId="23B7D00F" w14:textId="77777777" w:rsidR="009D706D" w:rsidRPr="00632D8C" w:rsidRDefault="004D7350" w:rsidP="007F33B5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E7074C">
        <w:rPr>
          <w:rFonts w:asciiTheme="minorHAnsi" w:hAnsiTheme="minorHAnsi" w:cstheme="minorHAnsi"/>
          <w:color w:val="000000"/>
          <w:sz w:val="20"/>
          <w:vertAlign w:val="superscript"/>
          <w:lang w:val="de-DE" w:eastAsia="de-AT"/>
        </w:rPr>
        <w:t>1</w:t>
      </w:r>
      <w:r w:rsidR="00E7074C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  <w:r w:rsidR="00761919" w:rsidRPr="00E7074C">
        <w:rPr>
          <w:rFonts w:asciiTheme="minorHAnsi" w:hAnsiTheme="minorHAnsi" w:cstheme="minorHAnsi"/>
          <w:color w:val="000000"/>
          <w:sz w:val="20"/>
          <w:lang w:eastAsia="de-AT"/>
        </w:rPr>
        <w:t>kurativ bei: pT1a (m1-m</w:t>
      </w:r>
      <w:r w:rsidR="00556683" w:rsidRPr="00E7074C">
        <w:rPr>
          <w:rFonts w:asciiTheme="minorHAnsi" w:hAnsiTheme="minorHAnsi" w:cstheme="minorHAnsi"/>
          <w:color w:val="000000"/>
          <w:sz w:val="20"/>
          <w:lang w:eastAsia="de-AT"/>
        </w:rPr>
        <w:t>2</w:t>
      </w:r>
      <w:r w:rsidR="00761919" w:rsidRPr="00E7074C">
        <w:rPr>
          <w:rFonts w:asciiTheme="minorHAnsi" w:hAnsiTheme="minorHAnsi" w:cstheme="minorHAnsi"/>
          <w:color w:val="000000"/>
          <w:sz w:val="20"/>
          <w:lang w:eastAsia="de-AT"/>
        </w:rPr>
        <w:t>), G1-2, L0, V0</w:t>
      </w:r>
    </w:p>
    <w:p w14:paraId="23B7D010" w14:textId="77777777" w:rsidR="006A4845" w:rsidRPr="006A4845" w:rsidRDefault="007F33B5" w:rsidP="006A4845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en-GB" w:eastAsia="de-AT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val="en-GB" w:eastAsia="de-AT"/>
        </w:rPr>
        <w:t>2</w:t>
      </w:r>
      <w:r w:rsidR="003A4701">
        <w:rPr>
          <w:rFonts w:asciiTheme="minorHAnsi" w:hAnsiTheme="minorHAnsi" w:cstheme="minorHAnsi"/>
          <w:color w:val="000000"/>
          <w:sz w:val="20"/>
          <w:lang w:val="en-GB" w:eastAsia="de-AT"/>
        </w:rPr>
        <w:t xml:space="preserve"> </w:t>
      </w:r>
      <w:r w:rsidR="006A4845" w:rsidRPr="006A4845">
        <w:rPr>
          <w:rFonts w:asciiTheme="minorHAnsi" w:hAnsiTheme="minorHAnsi" w:cstheme="minorHAnsi"/>
          <w:color w:val="000000"/>
          <w:sz w:val="20"/>
          <w:lang w:val="en-GB" w:eastAsia="de-AT"/>
        </w:rPr>
        <w:t>Tumor distal + GJ: Cross (Carbo/Tax)</w:t>
      </w:r>
      <w:r>
        <w:rPr>
          <w:rFonts w:asciiTheme="minorHAnsi" w:hAnsiTheme="minorHAnsi" w:cstheme="minorHAnsi"/>
          <w:color w:val="000000"/>
          <w:sz w:val="20"/>
          <w:lang w:val="en-GB" w:eastAsia="de-AT"/>
        </w:rPr>
        <w:t>(+ 41,4 Gy)</w:t>
      </w:r>
    </w:p>
    <w:p w14:paraId="23B7D011" w14:textId="77777777" w:rsidR="006A4845" w:rsidRPr="006A4845" w:rsidRDefault="006A4845" w:rsidP="006A4845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2C14FF">
        <w:rPr>
          <w:rFonts w:asciiTheme="minorHAnsi" w:hAnsiTheme="minorHAnsi" w:cstheme="minorHAnsi"/>
          <w:color w:val="000000"/>
          <w:sz w:val="20"/>
          <w:vertAlign w:val="superscript"/>
          <w:lang w:val="en-GB" w:eastAsia="de-AT"/>
        </w:rPr>
        <w:t xml:space="preserve">  </w:t>
      </w:r>
      <w:r w:rsidR="003A4701" w:rsidRPr="002C14FF">
        <w:rPr>
          <w:rFonts w:asciiTheme="minorHAnsi" w:hAnsiTheme="minorHAnsi" w:cstheme="minorHAnsi"/>
          <w:color w:val="000000"/>
          <w:sz w:val="20"/>
          <w:lang w:val="en-GB" w:eastAsia="de-AT"/>
        </w:rPr>
        <w:t xml:space="preserve"> </w:t>
      </w:r>
      <w:r w:rsidR="007F33B5">
        <w:rPr>
          <w:rFonts w:asciiTheme="minorHAnsi" w:hAnsiTheme="minorHAnsi" w:cstheme="minorHAnsi"/>
          <w:color w:val="000000"/>
          <w:sz w:val="20"/>
          <w:lang w:val="de-DE" w:eastAsia="de-AT"/>
        </w:rPr>
        <w:t>Tumor thorakal</w:t>
      </w:r>
      <w:r w:rsidRPr="006A484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lokalisiert: Cis/FU (+</w:t>
      </w:r>
      <w:r w:rsidR="004B61B2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  <w:r w:rsidRPr="006A4845">
        <w:rPr>
          <w:rFonts w:asciiTheme="minorHAnsi" w:hAnsiTheme="minorHAnsi" w:cstheme="minorHAnsi"/>
          <w:color w:val="000000"/>
          <w:sz w:val="20"/>
          <w:lang w:val="de-DE" w:eastAsia="de-AT"/>
        </w:rPr>
        <w:t>45</w:t>
      </w:r>
      <w:r w:rsidR="007F33B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  <w:r w:rsidRPr="006A4845">
        <w:rPr>
          <w:rFonts w:asciiTheme="minorHAnsi" w:hAnsiTheme="minorHAnsi" w:cstheme="minorHAnsi"/>
          <w:color w:val="000000"/>
          <w:sz w:val="20"/>
          <w:lang w:val="de-DE" w:eastAsia="de-AT"/>
        </w:rPr>
        <w:t>Gy)</w:t>
      </w:r>
    </w:p>
    <w:p w14:paraId="23B7D012" w14:textId="77777777" w:rsidR="007F33B5" w:rsidRDefault="007F33B5" w:rsidP="00761919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val="de-DE" w:eastAsia="de-AT"/>
        </w:rPr>
        <w:t>3</w:t>
      </w:r>
      <w:r w:rsidR="006A484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Re-Staging</w:t>
      </w:r>
      <w:r>
        <w:rPr>
          <w:rFonts w:asciiTheme="minorHAnsi" w:hAnsiTheme="minorHAnsi" w:cstheme="minorHAnsi"/>
          <w:color w:val="000000"/>
          <w:sz w:val="20"/>
          <w:lang w:val="de-DE" w:eastAsia="de-AT"/>
        </w:rPr>
        <w:t>:</w:t>
      </w:r>
      <w:r w:rsidR="006A484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</w:p>
    <w:p w14:paraId="23B7D013" w14:textId="77777777" w:rsidR="00761919" w:rsidRPr="007F33B5" w:rsidRDefault="007F33B5" w:rsidP="007F33B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lang w:val="de-DE" w:eastAsia="de-AT"/>
        </w:rPr>
        <w:t>CT Stamm</w:t>
      </w:r>
      <w:r w:rsidR="006A4845" w:rsidRPr="007F33B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in der 5. Woche der RCTx</w:t>
      </w:r>
      <w:r w:rsidR="006A4845" w:rsidRPr="007F33B5">
        <w:rPr>
          <w:rFonts w:asciiTheme="minorHAnsi" w:hAnsiTheme="minorHAnsi" w:cs="Arial"/>
          <w:color w:val="000000"/>
          <w:sz w:val="20"/>
          <w:lang w:val="de-DE" w:eastAsia="de-AT"/>
        </w:rPr>
        <w:t xml:space="preserve"> </w:t>
      </w:r>
    </w:p>
    <w:p w14:paraId="23B7D014" w14:textId="77777777" w:rsidR="007F33B5" w:rsidRPr="007F33B5" w:rsidRDefault="007F33B5" w:rsidP="007F33B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 w:rsidRPr="007F33B5">
        <w:rPr>
          <w:rFonts w:asciiTheme="minorHAnsi" w:hAnsiTheme="minorHAnsi" w:cs="Arial"/>
          <w:color w:val="000000"/>
          <w:sz w:val="20"/>
          <w:lang w:val="de-DE" w:eastAsia="de-AT"/>
        </w:rPr>
        <w:t>Chir. Konsil bzgl. Operabilität (UGI-Ambulanz !)</w:t>
      </w:r>
    </w:p>
    <w:p w14:paraId="23B7D015" w14:textId="77777777" w:rsidR="007F33B5" w:rsidRDefault="007F33B5" w:rsidP="007F33B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 w:rsidRPr="007F33B5">
        <w:rPr>
          <w:rFonts w:asciiTheme="minorHAnsi" w:hAnsiTheme="minorHAnsi" w:cs="Arial"/>
          <w:color w:val="000000"/>
          <w:sz w:val="20"/>
          <w:lang w:val="de-DE" w:eastAsia="de-AT"/>
        </w:rPr>
        <w:t>Tumorboardvorstellung (von der Abteilung zu organisieren, an welcher die Chemotherapie erfolgt)</w:t>
      </w:r>
    </w:p>
    <w:p w14:paraId="23B7D016" w14:textId="77777777" w:rsidR="007F33B5" w:rsidRDefault="007F33B5" w:rsidP="007F33B5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="Arial"/>
          <w:color w:val="000000"/>
          <w:sz w:val="20"/>
          <w:vertAlign w:val="superscript"/>
          <w:lang w:val="de-DE" w:eastAsia="de-AT"/>
        </w:rPr>
        <w:t xml:space="preserve">4 </w:t>
      </w:r>
      <w:r>
        <w:rPr>
          <w:rFonts w:asciiTheme="minorHAnsi" w:hAnsiTheme="minorHAnsi" w:cs="Arial"/>
          <w:color w:val="000000"/>
          <w:sz w:val="20"/>
          <w:lang w:val="de-DE" w:eastAsia="de-AT"/>
        </w:rPr>
        <w:t xml:space="preserve">siehe Checkmate 577 </w:t>
      </w:r>
      <w:r w:rsidR="00C03D56">
        <w:rPr>
          <w:rFonts w:asciiTheme="minorHAnsi" w:hAnsiTheme="minorHAnsi" w:cs="Arial"/>
          <w:color w:val="000000"/>
          <w:sz w:val="20"/>
          <w:lang w:val="de-DE" w:eastAsia="de-AT"/>
        </w:rPr>
        <w:t>–</w:t>
      </w:r>
      <w:r>
        <w:rPr>
          <w:rFonts w:asciiTheme="minorHAnsi" w:hAnsiTheme="minorHAnsi" w:cs="Arial"/>
          <w:color w:val="000000"/>
          <w:sz w:val="20"/>
          <w:lang w:val="de-DE" w:eastAsia="de-AT"/>
        </w:rPr>
        <w:t xml:space="preserve"> Studie</w:t>
      </w:r>
    </w:p>
    <w:p w14:paraId="23B7D017" w14:textId="23B5FD53" w:rsidR="00C03D56" w:rsidRDefault="00C03D56" w:rsidP="00DF4013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="Arial"/>
          <w:color w:val="000000"/>
          <w:sz w:val="20"/>
          <w:vertAlign w:val="superscript"/>
          <w:lang w:val="de-DE" w:eastAsia="de-AT"/>
        </w:rPr>
        <w:t xml:space="preserve">5 </w:t>
      </w:r>
      <w:bookmarkStart w:id="14" w:name="Skyscraper"/>
      <w:r w:rsidR="00B03BE3">
        <w:fldChar w:fldCharType="begin"/>
      </w:r>
      <w:r w:rsidR="00B03BE3">
        <w:instrText xml:space="preserve"> HYPERLINK "https://clinicaltrials.gov/ct2/show/study/NCT04543617" \l "eligibility" </w:instrText>
      </w:r>
      <w:r w:rsidR="00B03BE3">
        <w:fldChar w:fldCharType="separate"/>
      </w:r>
      <w:r w:rsidR="0009680E" w:rsidRPr="0009680E">
        <w:rPr>
          <w:rStyle w:val="Hyperlink"/>
          <w:rFonts w:asciiTheme="minorHAnsi" w:hAnsiTheme="minorHAnsi" w:cs="Arial"/>
          <w:sz w:val="20"/>
          <w:lang w:val="de-DE" w:eastAsia="de-AT"/>
        </w:rPr>
        <w:t>Skyscraper – Studie</w:t>
      </w:r>
      <w:r w:rsidR="00B03BE3">
        <w:rPr>
          <w:rStyle w:val="Hyperlink"/>
          <w:rFonts w:asciiTheme="minorHAnsi" w:hAnsiTheme="minorHAnsi" w:cs="Arial"/>
          <w:sz w:val="20"/>
          <w:lang w:val="de-DE" w:eastAsia="de-AT"/>
        </w:rPr>
        <w:fldChar w:fldCharType="end"/>
      </w:r>
      <w:r w:rsidR="0009680E">
        <w:rPr>
          <w:rFonts w:asciiTheme="minorHAnsi" w:hAnsiTheme="minorHAnsi" w:cs="Arial"/>
          <w:color w:val="000000"/>
          <w:sz w:val="20"/>
          <w:lang w:val="de-DE" w:eastAsia="de-AT"/>
        </w:rPr>
        <w:t xml:space="preserve">: </w:t>
      </w:r>
      <w:bookmarkEnd w:id="14"/>
      <w:r>
        <w:rPr>
          <w:rFonts w:asciiTheme="minorHAnsi" w:hAnsiTheme="minorHAnsi" w:cs="Arial"/>
          <w:color w:val="000000"/>
          <w:sz w:val="20"/>
          <w:lang w:val="de-DE" w:eastAsia="de-AT"/>
        </w:rPr>
        <w:t>Patienten mit nicht resektablem lokal fortgeschrittenen Plattenepithel-CA des Ösophagus (oder auch nicht fit ad OP bzw. bei OP-Verweigerung) und abgeschlossenener definitiver Radio-Chemotherapie.</w:t>
      </w:r>
    </w:p>
    <w:p w14:paraId="23B7D018" w14:textId="38B7E1A3" w:rsidR="00C03D56" w:rsidRPr="00C03D56" w:rsidRDefault="00C03D56" w:rsidP="00DF4013">
      <w:pPr>
        <w:autoSpaceDE w:val="0"/>
        <w:autoSpaceDN w:val="0"/>
        <w:adjustRightInd w:val="0"/>
        <w:spacing w:line="288" w:lineRule="auto"/>
        <w:ind w:left="142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="Arial"/>
          <w:color w:val="000000"/>
          <w:sz w:val="20"/>
          <w:lang w:val="de-DE" w:eastAsia="de-AT"/>
        </w:rPr>
        <w:t>(Atezolizumab mit oder ohne Tiragolumab</w:t>
      </w:r>
      <w:r w:rsidR="00C67B72">
        <w:rPr>
          <w:rFonts w:asciiTheme="minorHAnsi" w:hAnsiTheme="minorHAnsi" w:cs="Arial"/>
          <w:color w:val="000000"/>
          <w:sz w:val="20"/>
          <w:lang w:val="de-DE" w:eastAsia="de-AT"/>
        </w:rPr>
        <w:t xml:space="preserve"> (Anti-Tigit AK) / Phase III, randomisiert, doppel-blind, placebo-kontrolliert)</w:t>
      </w:r>
      <w:r w:rsidR="00DF4013">
        <w:rPr>
          <w:rFonts w:asciiTheme="minorHAnsi" w:hAnsiTheme="minorHAnsi" w:cs="Arial"/>
          <w:color w:val="000000"/>
          <w:sz w:val="20"/>
          <w:lang w:val="de-DE" w:eastAsia="de-AT"/>
        </w:rPr>
        <w:t>.</w:t>
      </w:r>
      <w:r w:rsidR="00134DD4">
        <w:rPr>
          <w:rFonts w:asciiTheme="minorHAnsi" w:hAnsiTheme="minorHAnsi" w:cs="Arial"/>
          <w:color w:val="000000"/>
          <w:sz w:val="20"/>
          <w:lang w:val="de-DE" w:eastAsia="de-AT"/>
        </w:rPr>
        <w:t xml:space="preserve"> Studienzentrum OKL BHS, PI Doz. Dr. Rumpold.</w:t>
      </w:r>
    </w:p>
    <w:p w14:paraId="23B7D019" w14:textId="77777777" w:rsidR="00761919" w:rsidRDefault="00761919" w:rsidP="00761919">
      <w:pPr>
        <w:pStyle w:val="berschrift2"/>
        <w:rPr>
          <w:lang w:val="de-AT"/>
        </w:rPr>
      </w:pPr>
      <w:bookmarkStart w:id="15" w:name="_Toc61872053"/>
      <w:r w:rsidRPr="00761919">
        <w:rPr>
          <w:lang w:val="de-AT"/>
        </w:rPr>
        <w:lastRenderedPageBreak/>
        <w:t>3.2</w:t>
      </w:r>
      <w:r w:rsidRPr="00761919">
        <w:rPr>
          <w:lang w:val="de-AT"/>
        </w:rPr>
        <w:tab/>
      </w:r>
      <w:r w:rsidR="004D7350">
        <w:rPr>
          <w:lang w:val="de-AT"/>
        </w:rPr>
        <w:t>Lokoregionäres</w:t>
      </w:r>
      <w:r w:rsidRPr="00761919">
        <w:rPr>
          <w:lang w:val="de-AT"/>
        </w:rPr>
        <w:t xml:space="preserve"> Adenokarzinom</w:t>
      </w:r>
      <w:r w:rsidR="00B4744B">
        <w:rPr>
          <w:lang w:val="de-AT"/>
        </w:rPr>
        <w:t>, inkl. GEJ (AEG 1-</w:t>
      </w:r>
      <w:r w:rsidR="00FE4C14">
        <w:rPr>
          <w:lang w:val="de-AT"/>
        </w:rPr>
        <w:t>2</w:t>
      </w:r>
      <w:r w:rsidR="004D7350">
        <w:rPr>
          <w:lang w:val="de-AT"/>
        </w:rPr>
        <w:t>)</w:t>
      </w:r>
      <w:bookmarkEnd w:id="15"/>
    </w:p>
    <w:p w14:paraId="23B7D01A" w14:textId="752DEE95" w:rsidR="00761919" w:rsidRDefault="00C44FC8" w:rsidP="004326E6">
      <w:pPr>
        <w:pStyle w:val="Textkrper-Einzug2"/>
        <w:spacing w:after="0" w:line="276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 wp14:anchorId="7E26AE28" wp14:editId="4B14DB3A">
            <wp:extent cx="4938474" cy="51111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1-17 Visio Ösophagus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719" cy="51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D01B" w14:textId="77777777" w:rsidR="00637DE9" w:rsidRPr="00553965" w:rsidRDefault="00637DE9" w:rsidP="004326E6">
      <w:pPr>
        <w:pStyle w:val="Textkrper-Einzug2"/>
        <w:spacing w:after="0" w:line="276" w:lineRule="auto"/>
        <w:ind w:left="0"/>
        <w:rPr>
          <w:rFonts w:asciiTheme="minorHAnsi" w:hAnsiTheme="minorHAnsi" w:cstheme="minorHAnsi"/>
          <w:sz w:val="8"/>
          <w:szCs w:val="8"/>
        </w:rPr>
      </w:pPr>
    </w:p>
    <w:p w14:paraId="23B7D01C" w14:textId="77777777" w:rsidR="00B074C4" w:rsidRDefault="009879DF" w:rsidP="00B074C4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065387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1</w:t>
      </w:r>
      <w:r w:rsidR="003A470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ab/>
      </w:r>
      <w:r w:rsidR="00761919" w:rsidRPr="00065387">
        <w:rPr>
          <w:rFonts w:asciiTheme="minorHAnsi" w:hAnsiTheme="minorHAnsi" w:cstheme="minorHAnsi"/>
          <w:color w:val="000000"/>
          <w:sz w:val="20"/>
          <w:lang w:eastAsia="de-AT"/>
        </w:rPr>
        <w:t>kurativ bei pT1a (m1-m</w:t>
      </w:r>
      <w:r w:rsidR="00556683" w:rsidRPr="00065387">
        <w:rPr>
          <w:rFonts w:asciiTheme="minorHAnsi" w:hAnsiTheme="minorHAnsi" w:cstheme="minorHAnsi"/>
          <w:color w:val="000000"/>
          <w:sz w:val="20"/>
          <w:lang w:eastAsia="de-AT"/>
        </w:rPr>
        <w:t>4</w:t>
      </w:r>
      <w:r w:rsidR="00761919"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), G1-2, L0 V0 </w:t>
      </w:r>
    </w:p>
    <w:p w14:paraId="23B7D01D" w14:textId="77777777" w:rsidR="00761919" w:rsidRPr="00065387" w:rsidRDefault="00761919" w:rsidP="00134DD4">
      <w:pPr>
        <w:autoSpaceDE w:val="0"/>
        <w:autoSpaceDN w:val="0"/>
        <w:adjustRightInd w:val="0"/>
        <w:spacing w:line="240" w:lineRule="auto"/>
        <w:ind w:left="142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Bei einer Submukosainvasion </w:t>
      </w:r>
      <w:r w:rsidR="00F06BFA">
        <w:rPr>
          <w:rFonts w:asciiTheme="minorHAnsi" w:hAnsiTheme="minorHAnsi" w:cstheme="minorHAnsi"/>
          <w:color w:val="000000"/>
          <w:sz w:val="20"/>
          <w:lang w:eastAsia="de-AT"/>
        </w:rPr>
        <w:t>&gt; 500</w:t>
      </w:r>
      <w:r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 µm bei G1-G2, L0, V0 ist eine individuel</w:t>
      </w:r>
      <w:r w:rsidR="00B074C4">
        <w:rPr>
          <w:rFonts w:asciiTheme="minorHAnsi" w:hAnsiTheme="minorHAnsi" w:cstheme="minorHAnsi"/>
          <w:color w:val="000000"/>
          <w:sz w:val="20"/>
          <w:lang w:eastAsia="de-AT"/>
        </w:rPr>
        <w:t xml:space="preserve">le Entscheidung in Abwägung des </w:t>
      </w:r>
      <w:r w:rsidRPr="00065387">
        <w:rPr>
          <w:rFonts w:asciiTheme="minorHAnsi" w:hAnsiTheme="minorHAnsi" w:cstheme="minorHAnsi"/>
          <w:color w:val="000000"/>
          <w:sz w:val="20"/>
          <w:lang w:eastAsia="de-AT"/>
        </w:rPr>
        <w:t>Operationsris</w:t>
      </w:r>
      <w:r w:rsidR="006A4845">
        <w:rPr>
          <w:rFonts w:asciiTheme="minorHAnsi" w:hAnsiTheme="minorHAnsi" w:cstheme="minorHAnsi"/>
          <w:color w:val="000000"/>
          <w:sz w:val="20"/>
          <w:lang w:eastAsia="de-AT"/>
        </w:rPr>
        <w:t>ikos</w:t>
      </w:r>
      <w:r w:rsidR="00AA76DB">
        <w:rPr>
          <w:rFonts w:asciiTheme="minorHAnsi" w:hAnsiTheme="minorHAnsi" w:cstheme="minorHAnsi"/>
          <w:color w:val="000000"/>
          <w:sz w:val="20"/>
          <w:lang w:eastAsia="de-AT"/>
        </w:rPr>
        <w:t xml:space="preserve"> vom Tumorboard festzulegen (aktualisierte S-3 Leitlinie Ösophaguskarzinom Version 2.0).</w:t>
      </w:r>
    </w:p>
    <w:p w14:paraId="23B7D01E" w14:textId="5334D638" w:rsidR="00AF2382" w:rsidRDefault="00AF2382" w:rsidP="00134DD4">
      <w:pPr>
        <w:autoSpaceDE w:val="0"/>
        <w:autoSpaceDN w:val="0"/>
        <w:adjustRightInd w:val="0"/>
        <w:spacing w:line="240" w:lineRule="auto"/>
        <w:ind w:left="142"/>
        <w:jc w:val="left"/>
        <w:rPr>
          <w:rFonts w:asciiTheme="minorHAnsi" w:hAnsiTheme="minorHAnsi" w:cstheme="minorHAnsi"/>
          <w:color w:val="000000"/>
          <w:sz w:val="20"/>
        </w:rPr>
      </w:pPr>
      <w:r w:rsidRPr="00065387">
        <w:rPr>
          <w:rFonts w:asciiTheme="minorHAnsi" w:hAnsiTheme="minorHAnsi" w:cstheme="minorHAnsi"/>
          <w:color w:val="000000"/>
          <w:sz w:val="20"/>
        </w:rPr>
        <w:t>Bei lateralem R1 ist prinzipiell eine endoskopische Nachresektion m</w:t>
      </w:r>
      <w:r w:rsidR="00FA3F12">
        <w:rPr>
          <w:rFonts w:asciiTheme="minorHAnsi" w:hAnsiTheme="minorHAnsi" w:cstheme="minorHAnsi"/>
          <w:color w:val="000000"/>
          <w:sz w:val="20"/>
        </w:rPr>
        <w:t xml:space="preserve">öglich; bei histologischem Rx </w:t>
      </w:r>
      <w:r w:rsidRPr="00065387">
        <w:rPr>
          <w:rFonts w:asciiTheme="minorHAnsi" w:hAnsiTheme="minorHAnsi" w:cstheme="minorHAnsi"/>
          <w:color w:val="000000"/>
          <w:sz w:val="20"/>
        </w:rPr>
        <w:t>sind folgende Kontrollendoskopien mit negativer Biopsie zu fordern, es ergibt sich noch keine unbedingte OP Indikation.</w:t>
      </w:r>
    </w:p>
    <w:p w14:paraId="2D0B1091" w14:textId="77777777" w:rsidR="008A3F3E" w:rsidRDefault="008A3F3E" w:rsidP="00134DD4">
      <w:pPr>
        <w:autoSpaceDE w:val="0"/>
        <w:autoSpaceDN w:val="0"/>
        <w:adjustRightInd w:val="0"/>
        <w:spacing w:line="240" w:lineRule="auto"/>
        <w:ind w:left="142"/>
        <w:jc w:val="left"/>
        <w:rPr>
          <w:rFonts w:asciiTheme="minorHAnsi" w:hAnsiTheme="minorHAnsi" w:cstheme="minorHAnsi"/>
          <w:color w:val="000000"/>
          <w:sz w:val="20"/>
        </w:rPr>
      </w:pPr>
    </w:p>
    <w:p w14:paraId="3657CD72" w14:textId="77777777" w:rsidR="004C5BF1" w:rsidRDefault="00442668" w:rsidP="004C5BF1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205CEF">
        <w:rPr>
          <w:rFonts w:asciiTheme="minorHAnsi" w:hAnsiTheme="minorHAnsi" w:cstheme="minorHAnsi"/>
          <w:color w:val="000000"/>
          <w:sz w:val="20"/>
          <w:vertAlign w:val="superscript"/>
        </w:rPr>
        <w:t>2</w:t>
      </w:r>
      <w:r w:rsidR="003A4701" w:rsidRPr="00205CEF">
        <w:rPr>
          <w:rFonts w:asciiTheme="minorHAnsi" w:hAnsiTheme="minorHAnsi" w:cstheme="minorHAnsi"/>
          <w:color w:val="000000"/>
          <w:sz w:val="20"/>
          <w:vertAlign w:val="superscript"/>
        </w:rPr>
        <w:tab/>
      </w:r>
      <w:r w:rsidR="004C5BF1">
        <w:rPr>
          <w:rFonts w:asciiTheme="minorHAnsi" w:hAnsiTheme="minorHAnsi" w:cstheme="minorHAnsi"/>
          <w:color w:val="000000"/>
          <w:sz w:val="20"/>
          <w:lang w:val="de-DE" w:eastAsia="de-AT"/>
        </w:rPr>
        <w:t>Standard:</w:t>
      </w:r>
      <w:r w:rsidR="004C5BF1">
        <w:rPr>
          <w:rFonts w:asciiTheme="minorHAnsi" w:hAnsiTheme="minorHAnsi" w:cstheme="minorHAnsi"/>
          <w:color w:val="000000"/>
          <w:sz w:val="20"/>
          <w:lang w:val="de-DE" w:eastAsia="de-AT"/>
        </w:rPr>
        <w:tab/>
      </w:r>
      <w:r w:rsidR="004C5BF1">
        <w:rPr>
          <w:rFonts w:asciiTheme="minorHAnsi" w:hAnsiTheme="minorHAnsi" w:cstheme="minorHAnsi"/>
          <w:color w:val="000000"/>
          <w:sz w:val="20"/>
          <w:lang w:val="de-DE" w:eastAsia="de-AT"/>
        </w:rPr>
        <w:tab/>
      </w:r>
      <w:r w:rsidR="004C5BF1" w:rsidRPr="000936FE">
        <w:rPr>
          <w:rFonts w:asciiTheme="minorHAnsi" w:hAnsiTheme="minorHAnsi" w:cstheme="minorHAnsi"/>
          <w:b/>
          <w:color w:val="000000"/>
          <w:sz w:val="20"/>
          <w:lang w:val="de-DE" w:eastAsia="de-AT"/>
        </w:rPr>
        <w:t>FLOT</w:t>
      </w:r>
      <w:r w:rsidR="004C5BF1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(insbesondere bei hohem systemischen Metastasierungsrisiko)</w:t>
      </w:r>
    </w:p>
    <w:p w14:paraId="61717105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lang w:val="de-DE" w:eastAsia="de-AT"/>
        </w:rPr>
        <w:tab/>
        <w:t xml:space="preserve">Bei KI für FLOT: </w:t>
      </w:r>
      <w:r>
        <w:rPr>
          <w:rFonts w:asciiTheme="minorHAnsi" w:hAnsiTheme="minorHAnsi" w:cstheme="minorHAnsi"/>
          <w:color w:val="000000"/>
          <w:sz w:val="20"/>
          <w:lang w:val="de-DE" w:eastAsia="de-AT"/>
        </w:rPr>
        <w:tab/>
        <w:t xml:space="preserve">CROSS (nur bei cN0, AEG I oder </w:t>
      </w:r>
      <w:r w:rsidRPr="004C5BF1">
        <w:rPr>
          <w:rFonts w:asciiTheme="minorHAnsi" w:hAnsiTheme="minorHAnsi" w:cstheme="minorHAnsi"/>
          <w:color w:val="000000"/>
          <w:sz w:val="20"/>
          <w:lang w:val="de-DE" w:eastAsia="de-AT"/>
        </w:rPr>
        <w:t>thorakal) oder Folfox peri-OP</w:t>
      </w:r>
    </w:p>
    <w:p w14:paraId="5809A827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val="de-DE" w:eastAsia="de-AT"/>
        </w:rPr>
        <w:tab/>
        <w:t xml:space="preserve">Diskussion im Tumorboard - FLOT+X: </w:t>
      </w:r>
      <w:r w:rsidRPr="004C5BF1">
        <w:rPr>
          <w:rFonts w:asciiTheme="minorHAnsi" w:hAnsiTheme="minorHAnsi" w:cstheme="minorHAnsi"/>
          <w:color w:val="000000"/>
          <w:sz w:val="20"/>
          <w:lang w:val="de-DE" w:eastAsia="de-AT"/>
        </w:rPr>
        <w:tab/>
        <w:t>MSI oder EBV positiv: Atezo + FLOT analog Dante trial</w:t>
      </w:r>
    </w:p>
    <w:p w14:paraId="0584CA1F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ind w:left="2974" w:firstLine="566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val="de-DE" w:eastAsia="de-AT"/>
        </w:rPr>
        <w:t>Her2neu: Trastuzumab + (Pertuzumab) + FLOT; analogPetrarca</w:t>
      </w:r>
    </w:p>
    <w:p w14:paraId="524AB498" w14:textId="77777777" w:rsidR="004C5BF1" w:rsidRDefault="004C5BF1" w:rsidP="004C5BF1">
      <w:pPr>
        <w:autoSpaceDE w:val="0"/>
        <w:autoSpaceDN w:val="0"/>
        <w:adjustRightInd w:val="0"/>
        <w:spacing w:line="288" w:lineRule="auto"/>
        <w:ind w:left="2974" w:firstLine="566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val="de-DE" w:eastAsia="de-AT"/>
        </w:rPr>
        <w:t>AEGII/III und T3/4, N+ evtl. Ramucirumab + FLOT; analog Ramses</w:t>
      </w:r>
    </w:p>
    <w:p w14:paraId="55672E3E" w14:textId="3A49A550" w:rsidR="008A3F3E" w:rsidRDefault="008A3F3E" w:rsidP="004C5BF1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lang w:val="de-DE" w:eastAsia="de-AT"/>
        </w:rPr>
        <w:tab/>
      </w:r>
    </w:p>
    <w:p w14:paraId="23B7D023" w14:textId="77777777" w:rsidR="00FA3F12" w:rsidRDefault="00442668" w:rsidP="00FA3F12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442668">
        <w:rPr>
          <w:rFonts w:asciiTheme="minorHAnsi" w:hAnsiTheme="minorHAnsi" w:cstheme="minorHAnsi"/>
          <w:color w:val="000000"/>
          <w:sz w:val="20"/>
          <w:vertAlign w:val="superscript"/>
        </w:rPr>
        <w:t xml:space="preserve">3 </w:t>
      </w:r>
      <w:r w:rsidR="00FA3F12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Re-Staging: </w:t>
      </w:r>
    </w:p>
    <w:p w14:paraId="23B7D024" w14:textId="77777777" w:rsidR="00FA3F12" w:rsidRPr="007F33B5" w:rsidRDefault="00FA3F12" w:rsidP="009B6C5D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lang w:val="de-DE" w:eastAsia="de-AT"/>
        </w:rPr>
        <w:t>CT Stamm</w:t>
      </w:r>
      <w:r w:rsidRPr="007F33B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in der 5. Woche der RCTx</w:t>
      </w:r>
      <w:r w:rsidRPr="007F33B5">
        <w:rPr>
          <w:rFonts w:asciiTheme="minorHAnsi" w:hAnsiTheme="minorHAnsi" w:cs="Arial"/>
          <w:color w:val="000000"/>
          <w:sz w:val="20"/>
          <w:lang w:val="de-DE" w:eastAsia="de-AT"/>
        </w:rPr>
        <w:t xml:space="preserve"> </w:t>
      </w:r>
    </w:p>
    <w:p w14:paraId="23B7D025" w14:textId="77777777" w:rsidR="00FA3F12" w:rsidRPr="007F33B5" w:rsidRDefault="00FA3F12" w:rsidP="009B6C5D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 w:rsidRPr="007F33B5">
        <w:rPr>
          <w:rFonts w:asciiTheme="minorHAnsi" w:hAnsiTheme="minorHAnsi" w:cs="Arial"/>
          <w:color w:val="000000"/>
          <w:sz w:val="20"/>
          <w:lang w:val="de-DE" w:eastAsia="de-AT"/>
        </w:rPr>
        <w:t>Chir. Konsil bzgl. Operabilität (UGI-Ambulanz !)</w:t>
      </w:r>
    </w:p>
    <w:p w14:paraId="23B7D026" w14:textId="77777777" w:rsidR="00FA3F12" w:rsidRDefault="00FA3F12" w:rsidP="009B6C5D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="Arial"/>
          <w:color w:val="000000"/>
          <w:sz w:val="20"/>
          <w:lang w:val="de-DE" w:eastAsia="de-AT"/>
        </w:rPr>
        <w:t>Tumorboardvorstellung</w:t>
      </w:r>
      <w:r w:rsidR="00F175F8">
        <w:rPr>
          <w:rFonts w:asciiTheme="minorHAnsi" w:hAnsiTheme="minorHAnsi" w:cs="Arial"/>
          <w:color w:val="000000"/>
          <w:sz w:val="20"/>
          <w:lang w:val="de-DE" w:eastAsia="de-AT"/>
        </w:rPr>
        <w:t xml:space="preserve"> </w:t>
      </w:r>
      <w:r w:rsidR="00F175F8" w:rsidRPr="007F33B5">
        <w:rPr>
          <w:rFonts w:asciiTheme="minorHAnsi" w:hAnsiTheme="minorHAnsi" w:cs="Arial"/>
          <w:color w:val="000000"/>
          <w:sz w:val="20"/>
          <w:lang w:val="de-DE" w:eastAsia="de-AT"/>
        </w:rPr>
        <w:t>(von der Abteilung zu organisieren, an welcher die Chemotherapie erfolgt)</w:t>
      </w:r>
    </w:p>
    <w:p w14:paraId="23B7D028" w14:textId="5CAD4F2D" w:rsidR="004326E6" w:rsidRDefault="00442668" w:rsidP="00B074C4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4</w:t>
      </w:r>
      <w:r w:rsidR="00E7074C"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 </w:t>
      </w:r>
      <w:r w:rsidR="003A4701">
        <w:rPr>
          <w:rFonts w:asciiTheme="minorHAnsi" w:hAnsiTheme="minorHAnsi" w:cstheme="minorHAnsi"/>
          <w:color w:val="000000"/>
          <w:sz w:val="20"/>
          <w:lang w:eastAsia="de-AT"/>
        </w:rPr>
        <w:tab/>
      </w:r>
      <w:r w:rsidR="006E2DDF"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Beim Karzinom des gastroösophagealen Überganges Stadium AEG II ist als chirurgische Therapie neben der </w:t>
      </w:r>
      <w:r w:rsidR="009B7854"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Ösophagektomie </w:t>
      </w:r>
      <w:r w:rsidR="009B7854">
        <w:rPr>
          <w:rFonts w:asciiTheme="minorHAnsi" w:hAnsiTheme="minorHAnsi" w:cstheme="minorHAnsi"/>
          <w:color w:val="000000"/>
          <w:sz w:val="20"/>
          <w:lang w:eastAsia="de-AT"/>
        </w:rPr>
        <w:t xml:space="preserve">die </w:t>
      </w:r>
      <w:r w:rsidR="006E2DDF" w:rsidRPr="00065387">
        <w:rPr>
          <w:rFonts w:asciiTheme="minorHAnsi" w:hAnsiTheme="minorHAnsi" w:cstheme="minorHAnsi"/>
          <w:color w:val="000000"/>
          <w:sz w:val="20"/>
          <w:lang w:eastAsia="de-AT"/>
        </w:rPr>
        <w:t xml:space="preserve">Gastrektomie eine Alternative (Kai Lui et al. </w:t>
      </w:r>
      <w:r w:rsidR="00D353D6" w:rsidRPr="00065387">
        <w:rPr>
          <w:rFonts w:asciiTheme="minorHAnsi" w:hAnsiTheme="minorHAnsi" w:cstheme="minorHAnsi"/>
          <w:color w:val="000000"/>
          <w:sz w:val="20"/>
          <w:lang w:eastAsia="de-AT"/>
        </w:rPr>
        <w:t>Ann Surg 2016;</w:t>
      </w:r>
      <w:r w:rsidR="00D353D6" w:rsidRPr="004C5BF1">
        <w:rPr>
          <w:rFonts w:asciiTheme="minorHAnsi" w:hAnsiTheme="minorHAnsi" w:cstheme="minorHAnsi"/>
          <w:color w:val="000000"/>
          <w:sz w:val="20"/>
          <w:lang w:eastAsia="de-AT"/>
        </w:rPr>
        <w:t>263:88–95)</w:t>
      </w:r>
      <w:r w:rsidR="00AE6224" w:rsidRPr="004C5BF1">
        <w:rPr>
          <w:rFonts w:asciiTheme="minorHAnsi" w:hAnsiTheme="minorHAnsi" w:cstheme="minorHAnsi"/>
          <w:color w:val="000000"/>
          <w:sz w:val="20"/>
          <w:lang w:eastAsia="de-AT"/>
        </w:rPr>
        <w:t>, vor allem bei e</w:t>
      </w:r>
      <w:r w:rsidR="002D3080" w:rsidRPr="004C5BF1">
        <w:rPr>
          <w:rFonts w:asciiTheme="minorHAnsi" w:hAnsiTheme="minorHAnsi" w:cstheme="minorHAnsi"/>
          <w:color w:val="000000"/>
          <w:sz w:val="20"/>
          <w:lang w:eastAsia="de-AT"/>
        </w:rPr>
        <w:t>i</w:t>
      </w:r>
      <w:r w:rsidR="00AE6224" w:rsidRPr="004C5BF1">
        <w:rPr>
          <w:rFonts w:asciiTheme="minorHAnsi" w:hAnsiTheme="minorHAnsi" w:cstheme="minorHAnsi"/>
          <w:color w:val="000000"/>
          <w:sz w:val="20"/>
          <w:lang w:eastAsia="de-AT"/>
        </w:rPr>
        <w:t>ngeschränkter Fitness bzw. eingeschränkter respiratorischer Leistung.</w:t>
      </w:r>
    </w:p>
    <w:p w14:paraId="23B7D029" w14:textId="77777777" w:rsidR="0080606E" w:rsidRDefault="0080606E" w:rsidP="00F175F8">
      <w:pPr>
        <w:autoSpaceDE w:val="0"/>
        <w:autoSpaceDN w:val="0"/>
        <w:adjustRightInd w:val="0"/>
        <w:spacing w:line="288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C70AA2">
        <w:rPr>
          <w:rFonts w:asciiTheme="minorHAnsi" w:hAnsiTheme="minorHAnsi" w:cstheme="minorHAnsi"/>
          <w:color w:val="000000"/>
          <w:sz w:val="20"/>
          <w:vertAlign w:val="superscript"/>
          <w:lang w:val="de-DE" w:eastAsia="de-AT"/>
        </w:rPr>
        <w:t>5</w:t>
      </w:r>
      <w:r w:rsidRPr="00C70AA2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  <w:r w:rsidR="00F175F8">
        <w:rPr>
          <w:rFonts w:asciiTheme="minorHAnsi" w:hAnsiTheme="minorHAnsi" w:cstheme="minorHAnsi"/>
          <w:color w:val="000000"/>
          <w:sz w:val="20"/>
          <w:lang w:val="de-DE" w:eastAsia="de-AT"/>
        </w:rPr>
        <w:t>siehe Checkmate 577 – Studie</w:t>
      </w:r>
    </w:p>
    <w:p w14:paraId="23B7D02B" w14:textId="085D8577" w:rsidR="00761919" w:rsidRDefault="00761919" w:rsidP="00761919">
      <w:pPr>
        <w:pStyle w:val="berschrift2"/>
        <w:rPr>
          <w:lang w:val="de-AT" w:eastAsia="de-AT"/>
        </w:rPr>
      </w:pPr>
      <w:bookmarkStart w:id="16" w:name="_Toc61872054"/>
      <w:r w:rsidRPr="00761919">
        <w:rPr>
          <w:lang w:val="de-AT" w:eastAsia="de-AT"/>
        </w:rPr>
        <w:lastRenderedPageBreak/>
        <w:t>3.3</w:t>
      </w:r>
      <w:r w:rsidRPr="00761919">
        <w:rPr>
          <w:lang w:val="de-AT" w:eastAsia="de-AT"/>
        </w:rPr>
        <w:tab/>
      </w:r>
      <w:r w:rsidR="005663D5">
        <w:rPr>
          <w:lang w:val="de-AT" w:eastAsia="de-AT"/>
        </w:rPr>
        <w:t>Lokal fortgeschrittenes, primär nicht operables</w:t>
      </w:r>
      <w:r w:rsidRPr="00761919">
        <w:rPr>
          <w:lang w:val="de-AT" w:eastAsia="de-AT"/>
        </w:rPr>
        <w:t xml:space="preserve"> Ösophaguskarzinom T4b</w:t>
      </w:r>
      <w:bookmarkEnd w:id="16"/>
    </w:p>
    <w:p w14:paraId="23B7D02D" w14:textId="7991B65A" w:rsidR="00637DE9" w:rsidRPr="00637DE9" w:rsidRDefault="00B03BE3" w:rsidP="00637DE9">
      <w:pPr>
        <w:rPr>
          <w:lang w:eastAsia="de-AT"/>
        </w:rPr>
      </w:pPr>
      <w:r>
        <w:rPr>
          <w:noProof/>
          <w:lang w:eastAsia="de-AT"/>
        </w:rPr>
        <w:drawing>
          <wp:inline distT="0" distB="0" distL="0" distR="0" wp14:anchorId="660D8E88" wp14:editId="0B84CD6B">
            <wp:extent cx="3430321" cy="3364874"/>
            <wp:effectExtent l="0" t="0" r="0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2-01-17 Visio Ösophagus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26" cy="33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D02E" w14:textId="77777777" w:rsidR="00EC7D7A" w:rsidRPr="00DB198C" w:rsidRDefault="00EC7D7A" w:rsidP="00BA671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8"/>
          <w:szCs w:val="8"/>
          <w:lang w:eastAsia="de-AT"/>
        </w:rPr>
      </w:pPr>
    </w:p>
    <w:p w14:paraId="23B7D02F" w14:textId="6CFAFAEA" w:rsidR="003F4C9C" w:rsidRDefault="003F4C9C" w:rsidP="00245C0B">
      <w:pPr>
        <w:autoSpaceDE w:val="0"/>
        <w:autoSpaceDN w:val="0"/>
        <w:adjustRightInd w:val="0"/>
        <w:spacing w:line="276" w:lineRule="auto"/>
        <w:ind w:left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vertAlign w:val="superscript"/>
        </w:rPr>
        <w:t>1</w:t>
      </w:r>
      <w:r w:rsidRPr="00442668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r w:rsidR="00F175F8">
        <w:rPr>
          <w:rFonts w:asciiTheme="minorHAnsi" w:hAnsiTheme="minorHAnsi" w:cstheme="minorHAnsi"/>
          <w:color w:val="000000"/>
          <w:sz w:val="20"/>
          <w:lang w:val="de-DE" w:eastAsia="de-AT"/>
        </w:rPr>
        <w:t>Einschätzung soll chirurgisch im Zentrum erfolgen (UGI-Ambulanz !)</w:t>
      </w:r>
    </w:p>
    <w:p w14:paraId="23B7D030" w14:textId="4763CB0E" w:rsidR="00F175F8" w:rsidRDefault="00F175F8" w:rsidP="00245C0B">
      <w:pPr>
        <w:autoSpaceDE w:val="0"/>
        <w:autoSpaceDN w:val="0"/>
        <w:adjustRightInd w:val="0"/>
        <w:spacing w:line="288" w:lineRule="auto"/>
        <w:ind w:left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val="de-DE" w:eastAsia="de-AT"/>
        </w:rPr>
        <w:t xml:space="preserve">2 </w:t>
      </w:r>
      <w:r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Re-Staging: </w:t>
      </w:r>
    </w:p>
    <w:p w14:paraId="23B7D031" w14:textId="77777777" w:rsidR="00F175F8" w:rsidRPr="00245C0B" w:rsidRDefault="00F175F8" w:rsidP="00245C0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>
        <w:rPr>
          <w:rFonts w:asciiTheme="minorHAnsi" w:hAnsiTheme="minorHAnsi" w:cstheme="minorHAnsi"/>
          <w:color w:val="000000"/>
          <w:sz w:val="20"/>
          <w:lang w:val="de-DE" w:eastAsia="de-AT"/>
        </w:rPr>
        <w:t>CT Stamm</w:t>
      </w:r>
      <w:r w:rsidRPr="007F33B5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in der 5. Woche der RCTx</w:t>
      </w:r>
      <w:r w:rsidRPr="00245C0B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</w:p>
    <w:p w14:paraId="23B7D032" w14:textId="77777777" w:rsidR="00F175F8" w:rsidRPr="00245C0B" w:rsidRDefault="00F175F8" w:rsidP="00245C0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245C0B">
        <w:rPr>
          <w:rFonts w:asciiTheme="minorHAnsi" w:hAnsiTheme="minorHAnsi" w:cstheme="minorHAnsi"/>
          <w:color w:val="000000"/>
          <w:sz w:val="20"/>
          <w:lang w:val="de-DE" w:eastAsia="de-AT"/>
        </w:rPr>
        <w:t>Chir. Konsil bzgl. Operabilität (UGI-Ambulanz !)</w:t>
      </w:r>
    </w:p>
    <w:p w14:paraId="23B7D033" w14:textId="426DFB7C" w:rsidR="00F175F8" w:rsidRDefault="00F175F8" w:rsidP="00245C0B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245C0B">
        <w:rPr>
          <w:rFonts w:asciiTheme="minorHAnsi" w:hAnsiTheme="minorHAnsi" w:cstheme="minorHAnsi"/>
          <w:color w:val="000000"/>
          <w:sz w:val="20"/>
          <w:lang w:val="de-DE" w:eastAsia="de-AT"/>
        </w:rPr>
        <w:t>Tumorboardvorstellung (von der Abteilung zu organisieren, an welcher die Chemotherapie erfolgt)</w:t>
      </w:r>
    </w:p>
    <w:p w14:paraId="0262CCAB" w14:textId="6E390BE6" w:rsidR="00DA66BB" w:rsidRPr="004C5BF1" w:rsidRDefault="00DA66BB" w:rsidP="00DA66BB">
      <w:pPr>
        <w:autoSpaceDE w:val="0"/>
        <w:autoSpaceDN w:val="0"/>
        <w:adjustRightInd w:val="0"/>
        <w:spacing w:line="288" w:lineRule="auto"/>
        <w:ind w:left="284" w:hanging="142"/>
        <w:jc w:val="left"/>
        <w:rPr>
          <w:rFonts w:asciiTheme="minorHAnsi" w:hAnsiTheme="minorHAnsi" w:cs="Arial"/>
          <w:color w:val="000000"/>
          <w:sz w:val="20"/>
          <w:lang w:val="de-DE" w:eastAsia="de-AT"/>
        </w:rPr>
      </w:pPr>
      <w:r>
        <w:rPr>
          <w:rFonts w:asciiTheme="minorHAnsi" w:hAnsiTheme="minorHAnsi" w:cs="Arial"/>
          <w:color w:val="000000"/>
          <w:sz w:val="20"/>
          <w:vertAlign w:val="superscript"/>
          <w:lang w:val="de-DE" w:eastAsia="de-AT"/>
        </w:rPr>
        <w:t xml:space="preserve">3 </w:t>
      </w:r>
      <w:hyperlink w:anchor="Skyscraper" w:history="1">
        <w:r w:rsidRPr="004C5BF1">
          <w:rPr>
            <w:rStyle w:val="Hyperlink"/>
            <w:rFonts w:asciiTheme="minorHAnsi" w:hAnsiTheme="minorHAnsi" w:cs="Arial"/>
            <w:sz w:val="20"/>
            <w:lang w:val="de-DE" w:eastAsia="de-AT"/>
          </w:rPr>
          <w:t>Skyscraper – Studie</w:t>
        </w:r>
      </w:hyperlink>
    </w:p>
    <w:p w14:paraId="23B7D034" w14:textId="4A5A42A5" w:rsidR="00F175F8" w:rsidRDefault="00F175F8" w:rsidP="00B074C4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Theme="minorHAnsi" w:hAnsiTheme="minorHAnsi" w:cstheme="minorHAnsi"/>
          <w:color w:val="000000"/>
          <w:sz w:val="20"/>
          <w:lang w:val="de-DE" w:eastAsia="de-AT"/>
        </w:rPr>
      </w:pPr>
    </w:p>
    <w:p w14:paraId="23B7D037" w14:textId="77777777" w:rsidR="00761919" w:rsidRPr="00BA6712" w:rsidRDefault="00BA6712" w:rsidP="00BA6712">
      <w:pPr>
        <w:pStyle w:val="berschrift2"/>
        <w:rPr>
          <w:lang w:val="de-AT" w:eastAsia="de-AT"/>
        </w:rPr>
      </w:pPr>
      <w:bookmarkStart w:id="17" w:name="_Toc61872055"/>
      <w:r w:rsidRPr="00BA6712">
        <w:rPr>
          <w:lang w:val="de-AT" w:eastAsia="de-AT"/>
        </w:rPr>
        <w:t>3.4</w:t>
      </w:r>
      <w:r w:rsidRPr="00BA6712">
        <w:rPr>
          <w:lang w:val="de-AT" w:eastAsia="de-AT"/>
        </w:rPr>
        <w:tab/>
        <w:t>Metastasiertes Plattenepithelkarzinom</w:t>
      </w:r>
      <w:r w:rsidR="003F4C9C">
        <w:rPr>
          <w:lang w:val="de-AT" w:eastAsia="de-AT"/>
        </w:rPr>
        <w:t xml:space="preserve"> (exkl. Oligo-Metastasierung)</w:t>
      </w:r>
      <w:bookmarkEnd w:id="17"/>
    </w:p>
    <w:p w14:paraId="23B7D038" w14:textId="77777777" w:rsidR="00761919" w:rsidRDefault="00761919" w:rsidP="00761919">
      <w:pPr>
        <w:autoSpaceDE w:val="0"/>
        <w:autoSpaceDN w:val="0"/>
        <w:adjustRightInd w:val="0"/>
        <w:spacing w:line="288" w:lineRule="auto"/>
        <w:jc w:val="left"/>
        <w:rPr>
          <w:rFonts w:cs="Arial"/>
          <w:color w:val="000000"/>
          <w:sz w:val="12"/>
          <w:szCs w:val="12"/>
          <w:lang w:eastAsia="de-AT"/>
        </w:rPr>
      </w:pPr>
    </w:p>
    <w:p w14:paraId="23B7D039" w14:textId="6E7546C3" w:rsidR="00761919" w:rsidRDefault="003E34A4" w:rsidP="00BA671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6"/>
          <w:szCs w:val="16"/>
          <w:lang w:eastAsia="de-AT"/>
        </w:rPr>
      </w:pPr>
      <w:r>
        <w:rPr>
          <w:rFonts w:cs="Arial"/>
          <w:noProof/>
          <w:color w:val="000000"/>
          <w:sz w:val="16"/>
          <w:szCs w:val="16"/>
          <w:lang w:eastAsia="de-AT"/>
        </w:rPr>
        <w:drawing>
          <wp:inline distT="0" distB="0" distL="0" distR="0" wp14:anchorId="24288F11" wp14:editId="77D6D5C9">
            <wp:extent cx="3409179" cy="2421164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1-20 Visio Ösophagus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32" cy="24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CDAD" w14:textId="7372FB0F" w:rsidR="00875ABC" w:rsidRPr="004C5BF1" w:rsidRDefault="00875ABC" w:rsidP="00B03BE3">
      <w:pPr>
        <w:autoSpaceDE w:val="0"/>
        <w:autoSpaceDN w:val="0"/>
        <w:adjustRightInd w:val="0"/>
        <w:spacing w:line="288" w:lineRule="auto"/>
        <w:ind w:left="426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1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EMA Zulassung erst ab CPS ≥ 10; Platin Backbone Ciplatin bzw. Oxaliplatin möglich</w:t>
      </w:r>
    </w:p>
    <w:p w14:paraId="5415C28B" w14:textId="576A2548" w:rsidR="00875ABC" w:rsidRPr="004C5BF1" w:rsidRDefault="00875ABC" w:rsidP="00B03BE3">
      <w:pPr>
        <w:autoSpaceDE w:val="0"/>
        <w:autoSpaceDN w:val="0"/>
        <w:adjustRightInd w:val="0"/>
        <w:spacing w:line="288" w:lineRule="auto"/>
        <w:ind w:left="426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Alternativ Therapie analog Checkmate 648 (EMA Zulassungsverfahren laufend): </w:t>
      </w:r>
    </w:p>
    <w:p w14:paraId="48D4688D" w14:textId="60D7DBBD" w:rsidR="00875ABC" w:rsidRPr="004C5BF1" w:rsidRDefault="00875ABC" w:rsidP="00B03BE3">
      <w:pPr>
        <w:autoSpaceDE w:val="0"/>
        <w:autoSpaceDN w:val="0"/>
        <w:adjustRightInd w:val="0"/>
        <w:spacing w:line="288" w:lineRule="auto"/>
        <w:ind w:left="426" w:firstLine="706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Nivo + Cis/5-FU bzw. </w:t>
      </w:r>
    </w:p>
    <w:p w14:paraId="1D16594D" w14:textId="6F4518C6" w:rsidR="00875ABC" w:rsidRPr="004C5BF1" w:rsidRDefault="00875ABC" w:rsidP="00B03BE3">
      <w:pPr>
        <w:autoSpaceDE w:val="0"/>
        <w:autoSpaceDN w:val="0"/>
        <w:adjustRightInd w:val="0"/>
        <w:spacing w:line="288" w:lineRule="auto"/>
        <w:ind w:left="426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Nivo/Ipi (Nivo 3mg/kg Q2W, Ipi 1mg/Kg Q6W) wenn nicht chemoth. tauglich, z.b.: Niereninsuffizienz</w:t>
      </w:r>
    </w:p>
    <w:p w14:paraId="23B7D03A" w14:textId="75E5C3B4" w:rsidR="00DB198C" w:rsidRPr="00B03BE3" w:rsidRDefault="00875ABC" w:rsidP="00B03BE3">
      <w:pPr>
        <w:autoSpaceDE w:val="0"/>
        <w:autoSpaceDN w:val="0"/>
        <w:adjustRightInd w:val="0"/>
        <w:spacing w:line="288" w:lineRule="auto"/>
        <w:ind w:left="426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2</w:t>
      </w:r>
      <w:r w:rsidR="00DB198C"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falls nicht CPI 1</w:t>
      </w:r>
      <w:r w:rsidR="00DB198C"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st</w:t>
      </w:r>
      <w:r w:rsidR="00DB198C"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line</w:t>
      </w:r>
    </w:p>
    <w:p w14:paraId="23B7D03B" w14:textId="77777777" w:rsidR="00DB198C" w:rsidRDefault="00366104" w:rsidP="00366104">
      <w:pPr>
        <w:pStyle w:val="berschrift2"/>
        <w:rPr>
          <w:lang w:val="de-AT" w:eastAsia="de-AT"/>
        </w:rPr>
      </w:pPr>
      <w:bookmarkStart w:id="18" w:name="_Toc61872056"/>
      <w:r>
        <w:rPr>
          <w:lang w:val="de-AT" w:eastAsia="de-AT"/>
        </w:rPr>
        <w:lastRenderedPageBreak/>
        <w:t>3.5</w:t>
      </w:r>
      <w:r>
        <w:rPr>
          <w:lang w:val="de-AT" w:eastAsia="de-AT"/>
        </w:rPr>
        <w:tab/>
      </w:r>
      <w:r w:rsidR="00DB198C">
        <w:rPr>
          <w:lang w:val="de-AT" w:eastAsia="de-AT"/>
        </w:rPr>
        <w:t>Metastasiertes Adenokarzinom (exkl. Oligometastasierung)</w:t>
      </w:r>
      <w:bookmarkEnd w:id="18"/>
    </w:p>
    <w:p w14:paraId="23B7D03D" w14:textId="754F5196" w:rsidR="00DB198C" w:rsidRDefault="00B03BE3" w:rsidP="00727E33">
      <w:pPr>
        <w:rPr>
          <w:lang w:eastAsia="de-AT"/>
        </w:rPr>
      </w:pPr>
      <w:r>
        <w:rPr>
          <w:noProof/>
          <w:lang w:eastAsia="de-AT"/>
        </w:rPr>
        <w:drawing>
          <wp:inline distT="0" distB="0" distL="0" distR="0" wp14:anchorId="104DB83C" wp14:editId="6B762762">
            <wp:extent cx="5431374" cy="4310017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2-01-17 Visio Ösophagus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651" cy="43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D69B" w14:textId="77777777" w:rsidR="002D3080" w:rsidRDefault="002D3080" w:rsidP="00727E33">
      <w:pPr>
        <w:rPr>
          <w:lang w:eastAsia="de-AT"/>
        </w:rPr>
      </w:pPr>
    </w:p>
    <w:p w14:paraId="4D3B6ECB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 xml:space="preserve">1 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Alternativ: Nivo + Folfox unabhängig vom CPS (ORR 58%), (Checkmate 649)</w:t>
      </w:r>
    </w:p>
    <w:p w14:paraId="7C1631B1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2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alternativ: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>Nivo (1mg/kg) + IPI (3mg/kg) Q3W x4 -&gt; Nivo 240mg Q2W (Cave G3/4 tox) bzw.</w:t>
      </w:r>
    </w:p>
    <w:p w14:paraId="7A7D4C3B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    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 xml:space="preserve">Nivo/Ipi (Nivo 3mg/kg Q2W, Ipi 1mg/Kg Q6W) aufgrund Daten aus CM649; </w:t>
      </w:r>
    </w:p>
    <w:p w14:paraId="33E27A3B" w14:textId="44DD87CC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>
        <w:rPr>
          <w:rFonts w:asciiTheme="minorHAnsi" w:hAnsiTheme="minorHAnsi" w:cstheme="minorHAnsi"/>
          <w:color w:val="000000"/>
          <w:sz w:val="20"/>
          <w:lang w:eastAsia="de-AT"/>
        </w:rPr>
        <w:t xml:space="preserve">   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bei ECOG &gt;= 2 bzw. low tumor burden auch Pembrolizumab mono zu erwägen.</w:t>
      </w:r>
    </w:p>
    <w:p w14:paraId="1277FA96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</w:p>
    <w:p w14:paraId="1FD4F51B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 xml:space="preserve">3 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Pembrolizumab + Trastuzumab + Capox analog KN811 als Einzelfallentscheidung</w:t>
      </w:r>
    </w:p>
    <w:p w14:paraId="47CBD185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4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Bei CPS ≥ 10 auch EMA-Zulassung für Pembro + Platin + 5FU aufgrund KN590</w:t>
      </w:r>
    </w:p>
    <w:p w14:paraId="7131A472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eastAsia="de-AT"/>
        </w:rPr>
        <w:t>5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 xml:space="preserve"> T-DXd analog Destiny Gastric02- bzw. 03-Studie – als Einzelfallentscheidung; Rebiopsie mit Bestätigung Her2neu-Positivität empfehlenswert.</w:t>
      </w:r>
    </w:p>
    <w:p w14:paraId="187E8E0C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 w:val="20"/>
          <w:vertAlign w:val="superscript"/>
          <w:lang w:val="en-GB" w:eastAsia="de-AT"/>
        </w:rPr>
        <w:t>6</w:t>
      </w:r>
      <w:r w:rsidRPr="004C5BF1">
        <w:rPr>
          <w:rFonts w:asciiTheme="minorHAnsi" w:hAnsiTheme="minorHAnsi" w:cstheme="minorHAnsi"/>
          <w:color w:val="000000"/>
          <w:sz w:val="20"/>
          <w:lang w:val="en-GB" w:eastAsia="de-AT"/>
        </w:rPr>
        <w:t xml:space="preserve"> Falls kein Checkpoint-Inhibitor 1st line.</w:t>
      </w:r>
    </w:p>
    <w:p w14:paraId="4A1C13BD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val="en-GB" w:eastAsia="de-AT"/>
        </w:rPr>
      </w:pPr>
    </w:p>
    <w:p w14:paraId="322E0809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Dosisreduktion Folfox bzw. Capox auf 60% analog GO2-Studie bei Patienten &gt;75a oder frail erwägen.</w:t>
      </w:r>
    </w:p>
    <w:p w14:paraId="2AF71AF6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ind w:left="1418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</w:p>
    <w:p w14:paraId="64D2131A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Abkürzungen:</w:t>
      </w:r>
    </w:p>
    <w:p w14:paraId="6A33AE13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IHC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>Immunhistochemie</w:t>
      </w:r>
    </w:p>
    <w:p w14:paraId="5BAA02BD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PNP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>Polyneuropathie</w:t>
      </w:r>
    </w:p>
    <w:p w14:paraId="243805D2" w14:textId="77777777" w:rsidR="004C5BF1" w:rsidRPr="004C5BF1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TMB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>Tumor modational burden</w:t>
      </w:r>
    </w:p>
    <w:p w14:paraId="1444181E" w14:textId="77777777" w:rsidR="004C5BF1" w:rsidRPr="00A36123" w:rsidRDefault="004C5BF1" w:rsidP="004C5BF1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color w:val="000000"/>
          <w:sz w:val="20"/>
          <w:lang w:eastAsia="de-AT"/>
        </w:rPr>
      </w:pP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>CPS</w:t>
      </w:r>
      <w:r w:rsidRPr="004C5BF1">
        <w:rPr>
          <w:rFonts w:asciiTheme="minorHAnsi" w:hAnsiTheme="minorHAnsi" w:cstheme="minorHAnsi"/>
          <w:color w:val="000000"/>
          <w:sz w:val="20"/>
          <w:lang w:eastAsia="de-AT"/>
        </w:rPr>
        <w:tab/>
        <w:t>combined positivity score</w:t>
      </w:r>
    </w:p>
    <w:p w14:paraId="23B7D03F" w14:textId="77777777" w:rsidR="00727E33" w:rsidRDefault="00727E33" w:rsidP="00727E33">
      <w:pPr>
        <w:rPr>
          <w:lang w:eastAsia="de-AT"/>
        </w:rPr>
      </w:pPr>
    </w:p>
    <w:p w14:paraId="23B7D040" w14:textId="77777777" w:rsidR="00CD5570" w:rsidRPr="00366104" w:rsidRDefault="00DB198C" w:rsidP="00366104">
      <w:pPr>
        <w:pStyle w:val="berschrift2"/>
        <w:rPr>
          <w:lang w:val="de-AT" w:eastAsia="de-AT"/>
        </w:rPr>
      </w:pPr>
      <w:bookmarkStart w:id="19" w:name="_Toc61872057"/>
      <w:r>
        <w:rPr>
          <w:lang w:val="de-AT" w:eastAsia="de-AT"/>
        </w:rPr>
        <w:lastRenderedPageBreak/>
        <w:t>3.6</w:t>
      </w:r>
      <w:r>
        <w:rPr>
          <w:lang w:val="de-AT" w:eastAsia="de-AT"/>
        </w:rPr>
        <w:tab/>
      </w:r>
      <w:r w:rsidR="00CD5570" w:rsidRPr="00366104">
        <w:rPr>
          <w:lang w:val="de-AT" w:eastAsia="de-AT"/>
        </w:rPr>
        <w:t>Oligometastasierung</w:t>
      </w:r>
      <w:bookmarkEnd w:id="19"/>
    </w:p>
    <w:p w14:paraId="23B7D041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Analog zu den Ergebnissen der FLOT3-Studie sollte der Stellenwert der chir. Therap</w:t>
      </w:r>
      <w:r w:rsidR="003A06DD">
        <w:rPr>
          <w:rFonts w:asciiTheme="minorHAnsi" w:hAnsiTheme="minorHAnsi" w:cstheme="minorHAnsi"/>
        </w:rPr>
        <w:t>ie für oligometastasierte K</w:t>
      </w:r>
      <w:r>
        <w:rPr>
          <w:rFonts w:asciiTheme="minorHAnsi" w:hAnsiTheme="minorHAnsi" w:cstheme="minorHAnsi"/>
        </w:rPr>
        <w:t xml:space="preserve">arzinome des Ösophagus im Rahmen eines multimodalen Therapiekonzepts neu bewertet werden. </w:t>
      </w:r>
    </w:p>
    <w:p w14:paraId="23B7D042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Dafür sind ausschließlich Patienten in einem guten AZ mit Oligometastasierung geeignet, die mit vertretbarem Risiko / Aufwand nach (Teil-)Remission des Tumors im Rahmen der perioperativen Therapie komplett reseziert (oder bei Fil. hep. ablatiert) werden können, möglichst im Rahmen einer klinischen Studie. </w:t>
      </w:r>
    </w:p>
    <w:p w14:paraId="23B7D043" w14:textId="77777777" w:rsidR="00CD5570" w:rsidRDefault="003A06DD" w:rsidP="00CD55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Voraus</w:t>
      </w:r>
      <w:r w:rsidR="00CD5570">
        <w:rPr>
          <w:rFonts w:asciiTheme="minorHAnsi" w:hAnsiTheme="minorHAnsi" w:cstheme="minorHAnsi"/>
        </w:rPr>
        <w:t>setzung ist eine Diskussion des Falles im interdisziplinären Tumorboard.</w:t>
      </w:r>
    </w:p>
    <w:p w14:paraId="23B7D044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046" w14:textId="77777777" w:rsidR="00727E33" w:rsidRDefault="00727E33" w:rsidP="00CD557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23B7D047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CD5570">
        <w:rPr>
          <w:rFonts w:asciiTheme="minorHAnsi" w:hAnsiTheme="minorHAnsi" w:cstheme="minorHAnsi"/>
          <w:sz w:val="18"/>
          <w:szCs w:val="18"/>
        </w:rPr>
        <w:t>Swiss Medical Forum – Schweizerisches Medizin-Forum</w:t>
      </w:r>
      <w:r>
        <w:rPr>
          <w:rFonts w:asciiTheme="minorHAnsi" w:hAnsiTheme="minorHAnsi" w:cstheme="minorHAnsi"/>
          <w:sz w:val="18"/>
          <w:szCs w:val="18"/>
        </w:rPr>
        <w:t xml:space="preserve"> 2017; 17(4):74-76.</w:t>
      </w:r>
    </w:p>
    <w:p w14:paraId="23B7D048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siehe auch Renaissance-Studie/FLOT5-Studie.</w:t>
      </w:r>
    </w:p>
    <w:p w14:paraId="23B7D049" w14:textId="77777777" w:rsidR="00CD5570" w:rsidRDefault="00CD5570" w:rsidP="00CD557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23B7D04A" w14:textId="2F1238D8" w:rsidR="00CD5570" w:rsidRPr="00CD5570" w:rsidRDefault="00CD5570" w:rsidP="00CD557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23B7D04B" w14:textId="691B7F13" w:rsidR="00CD5570" w:rsidRDefault="00F16865" w:rsidP="00F16865">
      <w:pPr>
        <w:autoSpaceDE w:val="0"/>
        <w:autoSpaceDN w:val="0"/>
        <w:adjustRightInd w:val="0"/>
        <w:spacing w:line="288" w:lineRule="auto"/>
        <w:ind w:left="709"/>
        <w:jc w:val="left"/>
        <w:rPr>
          <w:rFonts w:cs="Arial"/>
          <w:color w:val="000000"/>
          <w:sz w:val="16"/>
          <w:szCs w:val="16"/>
          <w:lang w:eastAsia="de-AT"/>
        </w:rPr>
      </w:pPr>
      <w:r>
        <w:rPr>
          <w:rFonts w:cs="Arial"/>
          <w:noProof/>
          <w:color w:val="000000"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D12A" wp14:editId="5A13FA72">
                <wp:simplePos x="0" y="0"/>
                <wp:positionH relativeFrom="column">
                  <wp:posOffset>3083560</wp:posOffset>
                </wp:positionH>
                <wp:positionV relativeFrom="paragraph">
                  <wp:posOffset>45085</wp:posOffset>
                </wp:positionV>
                <wp:extent cx="200660" cy="184785"/>
                <wp:effectExtent l="0" t="0" r="8890" b="571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7D14C" w14:textId="77777777" w:rsidR="00222D18" w:rsidRPr="00366104" w:rsidRDefault="00222D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</w:pPr>
                            <w:r w:rsidRPr="00366104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D12A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242.8pt;margin-top:3.55pt;width:15.8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" fillcolor="white [3201]" stroked="f" strokeweight=".5pt">
                <v:textbox>
                  <w:txbxContent>
                    <w:p w14:paraId="23B7D14C" w14:textId="77777777" w:rsidR="00222D18" w:rsidRPr="00366104" w:rsidRDefault="00222D18">
                      <w:pPr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</w:pPr>
                      <w:r w:rsidRPr="00366104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6104">
        <w:rPr>
          <w:rFonts w:cs="Arial"/>
          <w:noProof/>
          <w:color w:val="000000"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7D12C" wp14:editId="21C5653C">
                <wp:simplePos x="0" y="0"/>
                <wp:positionH relativeFrom="column">
                  <wp:posOffset>3147695</wp:posOffset>
                </wp:positionH>
                <wp:positionV relativeFrom="paragraph">
                  <wp:posOffset>77470</wp:posOffset>
                </wp:positionV>
                <wp:extent cx="2447209" cy="2505350"/>
                <wp:effectExtent l="0" t="0" r="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09" cy="25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7D14D" w14:textId="77777777" w:rsidR="00222D18" w:rsidRDefault="00222D18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3B7D14E" wp14:editId="23B7D14F">
                                  <wp:extent cx="2233414" cy="2378497"/>
                                  <wp:effectExtent l="0" t="0" r="0" b="317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3"/>
                                          <a:srcRect t="29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979" cy="2416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D12C" id="Textfeld 14" o:spid="_x0000_s1027" type="#_x0000_t202" style="position:absolute;left:0;text-align:left;margin-left:247.85pt;margin-top:6.1pt;width:192.7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" fillcolor="white [3201]" stroked="f" strokeweight=".5pt">
                <v:textbox>
                  <w:txbxContent>
                    <w:p w14:paraId="23B7D14D" w14:textId="77777777" w:rsidR="00222D18" w:rsidRDefault="00222D18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3B7D14E" wp14:editId="23B7D14F">
                            <wp:extent cx="2233414" cy="2378497"/>
                            <wp:effectExtent l="0" t="0" r="0" b="317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3"/>
                                    <a:srcRect t="29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8979" cy="24163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6"/>
          <w:szCs w:val="16"/>
          <w:lang w:eastAsia="de-AT"/>
        </w:rPr>
        <w:drawing>
          <wp:inline distT="0" distB="0" distL="0" distR="0" wp14:anchorId="0CE85B54" wp14:editId="68DFCEF3">
            <wp:extent cx="2209800" cy="2590799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ichnung1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578" cy="26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D04C" w14:textId="77777777" w:rsidR="00D1076F" w:rsidRDefault="00D1076F" w:rsidP="00BA671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6"/>
          <w:szCs w:val="16"/>
          <w:lang w:eastAsia="de-AT"/>
        </w:rPr>
      </w:pPr>
    </w:p>
    <w:p w14:paraId="23B7D04E" w14:textId="77777777" w:rsidR="00366104" w:rsidRDefault="00366104" w:rsidP="00BA671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6"/>
          <w:szCs w:val="16"/>
          <w:lang w:eastAsia="de-AT"/>
        </w:rPr>
      </w:pPr>
    </w:p>
    <w:p w14:paraId="23B7D04F" w14:textId="77777777" w:rsidR="00565BC1" w:rsidRPr="00565BC1" w:rsidRDefault="00565BC1" w:rsidP="001F65CD">
      <w:pPr>
        <w:pStyle w:val="berschrift2"/>
        <w:spacing w:after="0"/>
        <w:ind w:left="709" w:hanging="709"/>
        <w:rPr>
          <w:lang w:val="de-AT"/>
        </w:rPr>
      </w:pPr>
      <w:bookmarkStart w:id="20" w:name="_Toc61872058"/>
      <w:r w:rsidRPr="00565BC1">
        <w:rPr>
          <w:lang w:val="de-AT"/>
        </w:rPr>
        <w:t>3.</w:t>
      </w:r>
      <w:r w:rsidR="001F65CD">
        <w:rPr>
          <w:lang w:val="de-AT"/>
        </w:rPr>
        <w:t>7</w:t>
      </w:r>
      <w:r w:rsidR="001F65CD">
        <w:rPr>
          <w:lang w:val="de-AT"/>
        </w:rPr>
        <w:tab/>
      </w:r>
      <w:r w:rsidRPr="00565BC1">
        <w:rPr>
          <w:lang w:val="de-AT"/>
        </w:rPr>
        <w:t>Erklärungen zu den Behandlungsalgoritmen</w:t>
      </w:r>
      <w:bookmarkEnd w:id="20"/>
    </w:p>
    <w:p w14:paraId="23B7D050" w14:textId="77777777" w:rsidR="00565BC1" w:rsidRPr="00565BC1" w:rsidRDefault="00565BC1" w:rsidP="001F65CD">
      <w:pPr>
        <w:spacing w:after="240"/>
        <w:jc w:val="left"/>
        <w:rPr>
          <w:rFonts w:asciiTheme="minorHAnsi" w:hAnsiTheme="minorHAnsi" w:cstheme="minorHAnsi"/>
          <w:i/>
          <w:sz w:val="18"/>
        </w:rPr>
      </w:pPr>
      <w:r w:rsidRPr="00565BC1">
        <w:rPr>
          <w:rFonts w:asciiTheme="minorHAnsi" w:hAnsiTheme="minorHAnsi" w:cstheme="minorHAnsi"/>
          <w:i/>
          <w:sz w:val="18"/>
        </w:rPr>
        <w:t>(inkl.  der Maßnahmen, die von den NCCN oder ESMO-Guidelines abweichen)</w:t>
      </w:r>
    </w:p>
    <w:p w14:paraId="23B7D051" w14:textId="77777777" w:rsidR="00565BC1" w:rsidRDefault="00565BC1" w:rsidP="001F65CD">
      <w:pPr>
        <w:pStyle w:val="berschrift3"/>
        <w:numPr>
          <w:ilvl w:val="2"/>
          <w:numId w:val="33"/>
        </w:numPr>
      </w:pPr>
      <w:bookmarkStart w:id="21" w:name="_Toc324424492"/>
      <w:bookmarkStart w:id="22" w:name="_Toc324424560"/>
      <w:bookmarkStart w:id="23" w:name="_Toc324424934"/>
      <w:bookmarkStart w:id="24" w:name="_Toc61872059"/>
      <w:r w:rsidRPr="00EF3F60">
        <w:t>Tis</w:t>
      </w:r>
      <w:r w:rsidRPr="00812A7D">
        <w:t xml:space="preserve"> oder T1a: Mukosaresektion vs</w:t>
      </w:r>
      <w:r w:rsidR="00340ADF">
        <w:t>.</w:t>
      </w:r>
      <w:r w:rsidRPr="00812A7D">
        <w:t xml:space="preserve"> primäre Operation</w:t>
      </w:r>
      <w:bookmarkEnd w:id="21"/>
      <w:bookmarkEnd w:id="22"/>
      <w:bookmarkEnd w:id="23"/>
      <w:bookmarkEnd w:id="24"/>
    </w:p>
    <w:p w14:paraId="23B7D052" w14:textId="77777777" w:rsidR="00565BC1" w:rsidRPr="003A06DD" w:rsidRDefault="00565BC1" w:rsidP="00F1686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A06DD">
        <w:rPr>
          <w:rFonts w:asciiTheme="minorHAnsi" w:hAnsiTheme="minorHAnsi" w:cstheme="minorHAnsi"/>
        </w:rPr>
        <w:t>Etablierte Kriterien für eine endoskopische Mukosaresektion (En-bloc-Resektion) sind  bei Plattenepithelkarzinomen</w:t>
      </w:r>
      <w:r w:rsidR="00E0353C" w:rsidRPr="003A06DD">
        <w:rPr>
          <w:rFonts w:asciiTheme="minorHAnsi" w:hAnsiTheme="minorHAnsi" w:cstheme="minorHAnsi"/>
        </w:rPr>
        <w:t xml:space="preserve"> </w:t>
      </w:r>
      <w:r w:rsidRPr="003A06DD">
        <w:rPr>
          <w:rFonts w:asciiTheme="minorHAnsi" w:hAnsiTheme="minorHAnsi" w:cstheme="minorHAnsi"/>
        </w:rPr>
        <w:t>mukosale Tumore m1-2 vom intestinalen Typ &lt; 2cm ohne Lymphgefäßeinbruch,</w:t>
      </w:r>
      <w:r w:rsidR="002814DF" w:rsidRPr="003A06DD">
        <w:rPr>
          <w:rFonts w:asciiTheme="minorHAnsi" w:hAnsiTheme="minorHAnsi" w:cstheme="minorHAnsi"/>
        </w:rPr>
        <w:t xml:space="preserve"> </w:t>
      </w:r>
      <w:r w:rsidRPr="003A06DD">
        <w:rPr>
          <w:rFonts w:asciiTheme="minorHAnsi" w:hAnsiTheme="minorHAnsi" w:cstheme="minorHAnsi"/>
        </w:rPr>
        <w:t xml:space="preserve">die </w:t>
      </w:r>
      <w:r w:rsidR="003A06DD" w:rsidRPr="003A06DD">
        <w:rPr>
          <w:rFonts w:asciiTheme="minorHAnsi" w:hAnsiTheme="minorHAnsi" w:cstheme="minorHAnsi"/>
        </w:rPr>
        <w:t xml:space="preserve">gut oder mäßiggradig </w:t>
      </w:r>
      <w:r w:rsidRPr="003A06DD">
        <w:rPr>
          <w:rFonts w:asciiTheme="minorHAnsi" w:hAnsiTheme="minorHAnsi" w:cstheme="minorHAnsi"/>
        </w:rPr>
        <w:t xml:space="preserve">differenziert (G1 oder G2) sind, bei Adenokarzinomen kann bei </w:t>
      </w:r>
      <w:r w:rsidR="00340ADF" w:rsidRPr="003A06DD">
        <w:rPr>
          <w:rFonts w:asciiTheme="minorHAnsi" w:hAnsiTheme="minorHAnsi" w:cstheme="minorHAnsi"/>
        </w:rPr>
        <w:t xml:space="preserve">                       </w:t>
      </w:r>
      <w:r w:rsidRPr="003A06DD">
        <w:rPr>
          <w:rFonts w:asciiTheme="minorHAnsi" w:hAnsiTheme="minorHAnsi" w:cstheme="minorHAnsi"/>
        </w:rPr>
        <w:t>T1a m</w:t>
      </w:r>
      <w:r w:rsidR="00556683" w:rsidRPr="003A06DD">
        <w:rPr>
          <w:rFonts w:asciiTheme="minorHAnsi" w:hAnsiTheme="minorHAnsi" w:cstheme="minorHAnsi"/>
        </w:rPr>
        <w:t>4</w:t>
      </w:r>
      <w:r w:rsidRPr="003A06DD">
        <w:rPr>
          <w:rFonts w:asciiTheme="minorHAnsi" w:hAnsiTheme="minorHAnsi" w:cstheme="minorHAnsi"/>
        </w:rPr>
        <w:t xml:space="preserve">, SM 1 &lt; 200 µm, sofern sie nicht ulzeriert sind und &lt; 2/3 der Zirkumferenz ausmachen, eine Mukosaresektion </w:t>
      </w:r>
      <w:r w:rsidR="002814DF" w:rsidRPr="003A06DD">
        <w:rPr>
          <w:rFonts w:asciiTheme="minorHAnsi" w:hAnsiTheme="minorHAnsi" w:cstheme="minorHAnsi"/>
        </w:rPr>
        <w:t>vorgenommen werden</w:t>
      </w:r>
      <w:r w:rsidRPr="003A06DD">
        <w:rPr>
          <w:rFonts w:asciiTheme="minorHAnsi" w:hAnsiTheme="minorHAnsi" w:cstheme="minorHAnsi"/>
        </w:rPr>
        <w:t xml:space="preserve"> (</w:t>
      </w:r>
      <w:r w:rsidR="002814DF" w:rsidRPr="003A06DD">
        <w:rPr>
          <w:rFonts w:asciiTheme="minorHAnsi" w:hAnsiTheme="minorHAnsi" w:cstheme="minorHAnsi"/>
        </w:rPr>
        <w:t xml:space="preserve">&lt; 200 µm Standard, bis 500 µm mit Patienten zu diskutieren; </w:t>
      </w:r>
      <w:r w:rsidRPr="003A06DD">
        <w:rPr>
          <w:rFonts w:asciiTheme="minorHAnsi" w:hAnsiTheme="minorHAnsi" w:cstheme="minorHAnsi"/>
        </w:rPr>
        <w:t xml:space="preserve">vgl. </w:t>
      </w:r>
      <w:r w:rsidRPr="003A06DD">
        <w:rPr>
          <w:rFonts w:asciiTheme="minorHAnsi" w:hAnsiTheme="minorHAnsi" w:cstheme="minorHAnsi"/>
          <w:i/>
        </w:rPr>
        <w:t>Oyama et al, Stomach and Intestine 2002</w:t>
      </w:r>
      <w:r w:rsidRPr="003A06DD">
        <w:rPr>
          <w:rFonts w:asciiTheme="minorHAnsi" w:hAnsiTheme="minorHAnsi" w:cstheme="minorHAnsi"/>
        </w:rPr>
        <w:t>)</w:t>
      </w:r>
      <w:r w:rsidR="002814DF" w:rsidRPr="003A06DD">
        <w:rPr>
          <w:rFonts w:asciiTheme="minorHAnsi" w:hAnsiTheme="minorHAnsi" w:cstheme="minorHAnsi"/>
        </w:rPr>
        <w:t>.</w:t>
      </w:r>
    </w:p>
    <w:p w14:paraId="23B7D053" w14:textId="77777777" w:rsidR="00565BC1" w:rsidRDefault="00565BC1" w:rsidP="00F1686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A06DD">
        <w:rPr>
          <w:rFonts w:asciiTheme="minorHAnsi" w:hAnsiTheme="minorHAnsi" w:cstheme="minorHAnsi"/>
        </w:rPr>
        <w:t>Residuelle Barrett Schleimhaut sollte Radiofrequenz-ablatiert werden.</w:t>
      </w:r>
    </w:p>
    <w:p w14:paraId="23B7D054" w14:textId="77777777" w:rsidR="003A06DD" w:rsidRPr="003A06DD" w:rsidRDefault="003A06DD" w:rsidP="00F16865">
      <w:pPr>
        <w:pStyle w:val="Listenabsatz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(Timing: Nach endoskopischer Mukosaresektion doppelte PPI-Dosis für 3 Monate. Anschließend stationäre Gastroskopie zur Kontrolle. Falls kein Ulcus mehr besteht, dann RFA in gleicher Sitzung.)</w:t>
      </w:r>
    </w:p>
    <w:p w14:paraId="23B7D055" w14:textId="77777777" w:rsidR="00565BC1" w:rsidRPr="003A06DD" w:rsidRDefault="00565BC1" w:rsidP="00F1686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A06DD">
        <w:rPr>
          <w:rFonts w:asciiTheme="minorHAnsi" w:hAnsiTheme="minorHAnsi" w:cstheme="minorHAnsi"/>
        </w:rPr>
        <w:t xml:space="preserve">Bei  allen anderen Tumoren ist die primäre Operation auch als Therapieoption anzubieten. </w:t>
      </w:r>
    </w:p>
    <w:p w14:paraId="23B7D056" w14:textId="77777777" w:rsidR="00565BC1" w:rsidRPr="003A06DD" w:rsidRDefault="00565BC1" w:rsidP="00F1686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A06DD">
        <w:rPr>
          <w:rFonts w:asciiTheme="minorHAnsi" w:hAnsiTheme="minorHAnsi" w:cstheme="minorHAnsi"/>
        </w:rPr>
        <w:lastRenderedPageBreak/>
        <w:t>Die Nachsorge soll im ersten Jahr 3</w:t>
      </w:r>
      <w:r w:rsidR="00340ADF" w:rsidRPr="003A06DD">
        <w:rPr>
          <w:rFonts w:asciiTheme="minorHAnsi" w:hAnsiTheme="minorHAnsi" w:cstheme="minorHAnsi"/>
        </w:rPr>
        <w:t>-</w:t>
      </w:r>
      <w:r w:rsidRPr="003A06DD">
        <w:rPr>
          <w:rFonts w:asciiTheme="minorHAnsi" w:hAnsiTheme="minorHAnsi" w:cstheme="minorHAnsi"/>
        </w:rPr>
        <w:t>monatlich mit Endoskopie und Biopsie erfolgen, danach einmal jährlich. Residuelle oder rekurrierende Dysplasien können mit Radiofrequenzablation beseitigt werden.</w:t>
      </w:r>
      <w:r w:rsidR="003A06DD">
        <w:rPr>
          <w:rFonts w:asciiTheme="minorHAnsi" w:hAnsiTheme="minorHAnsi" w:cstheme="minorHAnsi"/>
        </w:rPr>
        <w:t xml:space="preserve"> (siehe 5.1)</w:t>
      </w:r>
    </w:p>
    <w:p w14:paraId="23B7D057" w14:textId="77777777" w:rsidR="00565BC1" w:rsidRPr="00812A7D" w:rsidRDefault="00565BC1" w:rsidP="00565BC1">
      <w:pPr>
        <w:autoSpaceDE w:val="0"/>
        <w:autoSpaceDN w:val="0"/>
        <w:adjustRightInd w:val="0"/>
        <w:jc w:val="both"/>
        <w:rPr>
          <w:rFonts w:cs="Arial"/>
        </w:rPr>
      </w:pPr>
    </w:p>
    <w:p w14:paraId="23B7D058" w14:textId="77777777" w:rsidR="00565BC1" w:rsidRPr="00EF3F60" w:rsidRDefault="00E0353C" w:rsidP="001F65CD">
      <w:pPr>
        <w:pStyle w:val="berschrift3"/>
        <w:numPr>
          <w:ilvl w:val="2"/>
          <w:numId w:val="33"/>
        </w:numPr>
      </w:pPr>
      <w:bookmarkStart w:id="25" w:name="_Toc324424493"/>
      <w:bookmarkStart w:id="26" w:name="_Toc324424561"/>
      <w:bookmarkStart w:id="27" w:name="_Toc324424935"/>
      <w:bookmarkStart w:id="28" w:name="_Toc61872060"/>
      <w:r>
        <w:t>T2N0</w:t>
      </w:r>
      <w:r w:rsidR="00565BC1" w:rsidRPr="00EF3F60">
        <w:t>-T4a N1-3 Plattenepithel- wie Adenokarzinome</w:t>
      </w:r>
      <w:bookmarkEnd w:id="25"/>
      <w:bookmarkEnd w:id="26"/>
      <w:bookmarkEnd w:id="27"/>
      <w:bookmarkEnd w:id="28"/>
    </w:p>
    <w:p w14:paraId="23B7D059" w14:textId="77777777" w:rsidR="00565BC1" w:rsidRDefault="003A06DD" w:rsidP="00340A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Analogie</w:t>
      </w:r>
      <w:r w:rsidR="00BC44EB">
        <w:rPr>
          <w:rFonts w:asciiTheme="minorHAnsi" w:hAnsiTheme="minorHAnsi" w:cstheme="minorHAnsi"/>
        </w:rPr>
        <w:t xml:space="preserve"> </w:t>
      </w:r>
      <w:r w:rsidR="00EC7D7A" w:rsidRPr="00EC7D7A">
        <w:rPr>
          <w:rFonts w:asciiTheme="minorHAnsi" w:hAnsiTheme="minorHAnsi" w:cstheme="minorHAnsi"/>
        </w:rPr>
        <w:t xml:space="preserve">zur CROSS-Studie bzw. mit geringerer Evidenz </w:t>
      </w:r>
      <w:r w:rsidR="00BC44EB">
        <w:rPr>
          <w:rFonts w:asciiTheme="minorHAnsi" w:hAnsiTheme="minorHAnsi" w:cstheme="minorHAnsi"/>
        </w:rPr>
        <w:t xml:space="preserve">auch </w:t>
      </w:r>
      <w:r w:rsidR="00EC7D7A" w:rsidRPr="00EC7D7A">
        <w:rPr>
          <w:rFonts w:asciiTheme="minorHAnsi" w:hAnsiTheme="minorHAnsi" w:cstheme="minorHAnsi"/>
        </w:rPr>
        <w:t>der POET-Studie</w:t>
      </w:r>
      <w:r w:rsidR="00BC44EB">
        <w:rPr>
          <w:rFonts w:asciiTheme="minorHAnsi" w:hAnsiTheme="minorHAnsi" w:cstheme="minorHAnsi"/>
        </w:rPr>
        <w:t xml:space="preserve"> (AEG I-III)</w:t>
      </w:r>
      <w:r w:rsidR="00EC7D7A" w:rsidRPr="00EC7D7A">
        <w:rPr>
          <w:rFonts w:asciiTheme="minorHAnsi" w:hAnsiTheme="minorHAnsi" w:cstheme="minorHAnsi"/>
        </w:rPr>
        <w:t xml:space="preserve"> sollten PLECA/AdenoCA ab </w:t>
      </w:r>
      <w:r w:rsidR="00E0353C">
        <w:rPr>
          <w:rFonts w:asciiTheme="minorHAnsi" w:hAnsiTheme="minorHAnsi" w:cstheme="minorHAnsi"/>
        </w:rPr>
        <w:t>cT2 cN0 einer n</w:t>
      </w:r>
      <w:r w:rsidR="00EC7D7A" w:rsidRPr="00EC7D7A">
        <w:rPr>
          <w:rFonts w:asciiTheme="minorHAnsi" w:hAnsiTheme="minorHAnsi" w:cstheme="minorHAnsi"/>
        </w:rPr>
        <w:t>eoadju</w:t>
      </w:r>
      <w:r w:rsidR="007D3574">
        <w:rPr>
          <w:rFonts w:asciiTheme="minorHAnsi" w:hAnsiTheme="minorHAnsi" w:cstheme="minorHAnsi"/>
        </w:rPr>
        <w:t>vanten (s.o.)</w:t>
      </w:r>
      <w:r w:rsidR="00EC7D7A" w:rsidRPr="00EC7D7A">
        <w:rPr>
          <w:rFonts w:asciiTheme="minorHAnsi" w:hAnsiTheme="minorHAnsi" w:cstheme="minorHAnsi"/>
        </w:rPr>
        <w:t xml:space="preserve"> </w:t>
      </w:r>
      <w:r w:rsidR="00E0353C">
        <w:rPr>
          <w:rFonts w:asciiTheme="minorHAnsi" w:hAnsiTheme="minorHAnsi" w:cstheme="minorHAnsi"/>
        </w:rPr>
        <w:t>Therapie</w:t>
      </w:r>
      <w:r w:rsidR="00EC7D7A" w:rsidRPr="00EC7D7A">
        <w:rPr>
          <w:rFonts w:asciiTheme="minorHAnsi" w:hAnsiTheme="minorHAnsi" w:cstheme="minorHAnsi"/>
        </w:rPr>
        <w:t xml:space="preserve"> unterzogen werden. </w:t>
      </w:r>
    </w:p>
    <w:p w14:paraId="23B7D05B" w14:textId="77777777" w:rsidR="00EC7D7A" w:rsidRPr="007D3574" w:rsidRDefault="007D3574" w:rsidP="008F42A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Adenokarzinom:</w:t>
      </w:r>
    </w:p>
    <w:p w14:paraId="23B7D05C" w14:textId="77777777" w:rsidR="003A06DD" w:rsidRPr="003A06DD" w:rsidRDefault="003A06DD" w:rsidP="008F42AC">
      <w:pPr>
        <w:autoSpaceDE w:val="0"/>
        <w:autoSpaceDN w:val="0"/>
        <w:adjustRightInd w:val="0"/>
        <w:spacing w:line="288" w:lineRule="auto"/>
        <w:ind w:left="142" w:firstLine="142"/>
        <w:jc w:val="left"/>
        <w:rPr>
          <w:rFonts w:asciiTheme="minorHAnsi" w:hAnsiTheme="minorHAnsi" w:cstheme="minorHAnsi"/>
          <w:color w:val="000000"/>
          <w:szCs w:val="22"/>
          <w:lang w:val="de-DE" w:eastAsia="de-AT"/>
        </w:rPr>
      </w:pPr>
      <w:r w:rsidRPr="003A06DD">
        <w:rPr>
          <w:rFonts w:asciiTheme="minorHAnsi" w:hAnsiTheme="minorHAnsi" w:cstheme="minorHAnsi"/>
          <w:b/>
          <w:color w:val="000000"/>
          <w:szCs w:val="22"/>
          <w:lang w:val="de-DE" w:eastAsia="de-AT"/>
        </w:rPr>
        <w:t>Standard:</w:t>
      </w:r>
      <w:r w:rsidRPr="003A06DD">
        <w:rPr>
          <w:rFonts w:asciiTheme="minorHAnsi" w:hAnsiTheme="minorHAnsi" w:cstheme="minorHAnsi"/>
          <w:b/>
          <w:color w:val="000000"/>
          <w:szCs w:val="22"/>
          <w:lang w:val="de-DE" w:eastAsia="de-AT"/>
        </w:rPr>
        <w:tab/>
      </w:r>
      <w:r>
        <w:rPr>
          <w:rFonts w:asciiTheme="minorHAnsi" w:hAnsiTheme="minorHAnsi" w:cstheme="minorHAnsi"/>
          <w:b/>
          <w:color w:val="000000"/>
          <w:szCs w:val="22"/>
          <w:lang w:val="de-DE" w:eastAsia="de-AT"/>
        </w:rPr>
        <w:tab/>
      </w:r>
      <w:r w:rsidRPr="003A06DD">
        <w:rPr>
          <w:rFonts w:asciiTheme="minorHAnsi" w:hAnsiTheme="minorHAnsi" w:cstheme="minorHAnsi"/>
          <w:b/>
          <w:color w:val="000000"/>
          <w:szCs w:val="22"/>
          <w:lang w:val="de-DE" w:eastAsia="de-AT"/>
        </w:rPr>
        <w:t>FLOT</w:t>
      </w:r>
      <w:r w:rsidRPr="003A06DD">
        <w:rPr>
          <w:rFonts w:asciiTheme="minorHAnsi" w:hAnsiTheme="minorHAnsi" w:cstheme="minorHAnsi"/>
          <w:color w:val="000000"/>
          <w:szCs w:val="22"/>
          <w:lang w:val="de-DE" w:eastAsia="de-AT"/>
        </w:rPr>
        <w:t xml:space="preserve"> (insbesondere bei hohem systemischen Metastasierungsrisiko)</w:t>
      </w:r>
    </w:p>
    <w:p w14:paraId="23B7D05D" w14:textId="65798267" w:rsidR="003A06DD" w:rsidRPr="003A06DD" w:rsidRDefault="003A06DD" w:rsidP="008F42AC">
      <w:pPr>
        <w:autoSpaceDE w:val="0"/>
        <w:autoSpaceDN w:val="0"/>
        <w:adjustRightInd w:val="0"/>
        <w:spacing w:line="288" w:lineRule="auto"/>
        <w:ind w:left="142" w:firstLine="142"/>
        <w:jc w:val="left"/>
        <w:rPr>
          <w:rFonts w:asciiTheme="minorHAnsi" w:hAnsiTheme="minorHAnsi" w:cstheme="minorHAnsi"/>
          <w:color w:val="000000"/>
          <w:szCs w:val="22"/>
          <w:lang w:val="de-DE" w:eastAsia="de-AT"/>
        </w:rPr>
      </w:pPr>
      <w:r w:rsidRPr="003A06DD">
        <w:rPr>
          <w:rFonts w:asciiTheme="minorHAnsi" w:hAnsiTheme="minorHAnsi" w:cstheme="minorHAnsi"/>
          <w:color w:val="000000"/>
          <w:szCs w:val="22"/>
          <w:lang w:val="de-DE" w:eastAsia="de-AT"/>
        </w:rPr>
        <w:t xml:space="preserve">Bei KI für FLOT: </w:t>
      </w:r>
      <w:r w:rsidR="008F42AC">
        <w:rPr>
          <w:rFonts w:asciiTheme="minorHAnsi" w:hAnsiTheme="minorHAnsi" w:cstheme="minorHAnsi"/>
          <w:color w:val="000000"/>
          <w:szCs w:val="22"/>
          <w:lang w:val="de-DE" w:eastAsia="de-AT"/>
        </w:rPr>
        <w:tab/>
      </w:r>
      <w:r w:rsidRPr="003A06DD">
        <w:rPr>
          <w:rFonts w:asciiTheme="minorHAnsi" w:hAnsiTheme="minorHAnsi" w:cstheme="minorHAnsi"/>
          <w:color w:val="000000"/>
          <w:szCs w:val="22"/>
          <w:lang w:val="de-DE" w:eastAsia="de-AT"/>
        </w:rPr>
        <w:t>CROSS (nur bei cN0, AEG I oder thorakal)</w:t>
      </w:r>
    </w:p>
    <w:p w14:paraId="23B7D05F" w14:textId="77777777" w:rsidR="007D3574" w:rsidRDefault="007D3574" w:rsidP="008F42A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3574">
        <w:rPr>
          <w:rFonts w:asciiTheme="minorHAnsi" w:hAnsiTheme="minorHAnsi" w:cstheme="minorHAnsi"/>
          <w:b/>
        </w:rPr>
        <w:t>Plattenepithelkarzinom:</w:t>
      </w:r>
    </w:p>
    <w:p w14:paraId="23B7D060" w14:textId="77777777" w:rsidR="007D3574" w:rsidRDefault="007D3574" w:rsidP="008F42A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Tumorlokalisation distal inkl. GJ: </w:t>
      </w:r>
      <w:r w:rsidRPr="000936FE">
        <w:rPr>
          <w:rFonts w:asciiTheme="minorHAnsi" w:hAnsiTheme="minorHAnsi" w:cstheme="minorHAnsi"/>
          <w:b/>
        </w:rPr>
        <w:t>CROSS</w:t>
      </w:r>
      <w:r>
        <w:rPr>
          <w:rFonts w:asciiTheme="minorHAnsi" w:hAnsiTheme="minorHAnsi" w:cstheme="minorHAnsi"/>
        </w:rPr>
        <w:t xml:space="preserve"> (CarboTax)</w:t>
      </w:r>
      <w:r w:rsidR="003A06DD">
        <w:rPr>
          <w:rFonts w:asciiTheme="minorHAnsi" w:hAnsiTheme="minorHAnsi" w:cstheme="minorHAnsi"/>
        </w:rPr>
        <w:t xml:space="preserve"> (+41,4 Gy)</w:t>
      </w:r>
    </w:p>
    <w:p w14:paraId="23B7D061" w14:textId="77777777" w:rsidR="007D3574" w:rsidRDefault="003A06DD" w:rsidP="008F42A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Tumor thorakal </w:t>
      </w:r>
      <w:r w:rsidR="007D3574">
        <w:rPr>
          <w:rFonts w:asciiTheme="minorHAnsi" w:hAnsiTheme="minorHAnsi" w:cstheme="minorHAnsi"/>
        </w:rPr>
        <w:t>lokalisiert: 5-FU/Cis (+45</w:t>
      </w:r>
      <w:r>
        <w:rPr>
          <w:rFonts w:asciiTheme="minorHAnsi" w:hAnsiTheme="minorHAnsi" w:cstheme="minorHAnsi"/>
        </w:rPr>
        <w:t xml:space="preserve"> </w:t>
      </w:r>
      <w:r w:rsidR="007D3574">
        <w:rPr>
          <w:rFonts w:asciiTheme="minorHAnsi" w:hAnsiTheme="minorHAnsi" w:cstheme="minorHAnsi"/>
        </w:rPr>
        <w:t>Gy)</w:t>
      </w:r>
    </w:p>
    <w:p w14:paraId="23B7D063" w14:textId="77777777" w:rsidR="005107EB" w:rsidRPr="00C81EF5" w:rsidRDefault="005107EB" w:rsidP="005107E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1EF5">
        <w:rPr>
          <w:rFonts w:asciiTheme="minorHAnsi" w:hAnsiTheme="minorHAnsi" w:cstheme="minorHAnsi"/>
        </w:rPr>
        <w:t>Sollte bei Ösophaguskarzinomen</w:t>
      </w:r>
      <w:r w:rsidR="007D3574">
        <w:rPr>
          <w:rFonts w:asciiTheme="minorHAnsi" w:hAnsiTheme="minorHAnsi" w:cstheme="minorHAnsi"/>
        </w:rPr>
        <w:t xml:space="preserve"> T2 N0 </w:t>
      </w:r>
      <w:r w:rsidRPr="00C81EF5">
        <w:rPr>
          <w:rFonts w:asciiTheme="minorHAnsi" w:hAnsiTheme="minorHAnsi" w:cstheme="minorHAnsi"/>
        </w:rPr>
        <w:t>-</w:t>
      </w:r>
      <w:r w:rsidR="007D3574">
        <w:rPr>
          <w:rFonts w:asciiTheme="minorHAnsi" w:hAnsiTheme="minorHAnsi" w:cstheme="minorHAnsi"/>
        </w:rPr>
        <w:t xml:space="preserve"> </w:t>
      </w:r>
      <w:r w:rsidRPr="00C81EF5">
        <w:rPr>
          <w:rFonts w:asciiTheme="minorHAnsi" w:hAnsiTheme="minorHAnsi" w:cstheme="minorHAnsi"/>
        </w:rPr>
        <w:t xml:space="preserve">T4a N1-3 eine neoadjuvante </w:t>
      </w:r>
      <w:r w:rsidR="007D3574">
        <w:rPr>
          <w:rFonts w:asciiTheme="minorHAnsi" w:hAnsiTheme="minorHAnsi" w:cstheme="minorHAnsi"/>
        </w:rPr>
        <w:t>Therapie unterblieben</w:t>
      </w:r>
      <w:r w:rsidR="003A06DD">
        <w:rPr>
          <w:rFonts w:asciiTheme="minorHAnsi" w:hAnsiTheme="minorHAnsi" w:cstheme="minorHAnsi"/>
        </w:rPr>
        <w:t xml:space="preserve"> und primär</w:t>
      </w:r>
      <w:r w:rsidRPr="00C81EF5">
        <w:rPr>
          <w:rFonts w:asciiTheme="minorHAnsi" w:hAnsiTheme="minorHAnsi" w:cstheme="minorHAnsi"/>
        </w:rPr>
        <w:t xml:space="preserve"> eine Ösophagektomie durchgeführt worden s</w:t>
      </w:r>
      <w:r w:rsidR="007D3574">
        <w:rPr>
          <w:rFonts w:asciiTheme="minorHAnsi" w:hAnsiTheme="minorHAnsi" w:cstheme="minorHAnsi"/>
        </w:rPr>
        <w:t>ein, würden wir im Fall einer R0-</w:t>
      </w:r>
      <w:r w:rsidR="00BD40FD">
        <w:rPr>
          <w:rFonts w:asciiTheme="minorHAnsi" w:hAnsiTheme="minorHAnsi" w:cstheme="minorHAnsi"/>
        </w:rPr>
        <w:t>Resektion eine Watchful Waiting-</w:t>
      </w:r>
      <w:r w:rsidRPr="00C81EF5">
        <w:rPr>
          <w:rFonts w:asciiTheme="minorHAnsi" w:hAnsiTheme="minorHAnsi" w:cstheme="minorHAnsi"/>
        </w:rPr>
        <w:t xml:space="preserve">Strategie vorschlagen, </w:t>
      </w:r>
      <w:r w:rsidR="007D3574">
        <w:rPr>
          <w:rFonts w:asciiTheme="minorHAnsi" w:hAnsiTheme="minorHAnsi" w:cstheme="minorHAnsi"/>
        </w:rPr>
        <w:t xml:space="preserve">und </w:t>
      </w:r>
      <w:r w:rsidR="00BD40FD">
        <w:rPr>
          <w:rFonts w:asciiTheme="minorHAnsi" w:hAnsiTheme="minorHAnsi" w:cstheme="minorHAnsi"/>
        </w:rPr>
        <w:t>im Falle einer R1-2 Resektion</w:t>
      </w:r>
      <w:r w:rsidRPr="00C81EF5">
        <w:rPr>
          <w:rFonts w:asciiTheme="minorHAnsi" w:hAnsiTheme="minorHAnsi" w:cstheme="minorHAnsi"/>
        </w:rPr>
        <w:t xml:space="preserve"> zu einer Fluoropyrimidin-basierten Radiochemotherapie </w:t>
      </w:r>
      <w:r w:rsidR="00BD40FD">
        <w:rPr>
          <w:rFonts w:asciiTheme="minorHAnsi" w:hAnsiTheme="minorHAnsi" w:cstheme="minorHAnsi"/>
        </w:rPr>
        <w:t xml:space="preserve"> nach Macd</w:t>
      </w:r>
      <w:r>
        <w:rPr>
          <w:rFonts w:asciiTheme="minorHAnsi" w:hAnsiTheme="minorHAnsi" w:cstheme="minorHAnsi"/>
        </w:rPr>
        <w:t xml:space="preserve">onald </w:t>
      </w:r>
      <w:r w:rsidRPr="00C81EF5">
        <w:rPr>
          <w:rFonts w:asciiTheme="minorHAnsi" w:hAnsiTheme="minorHAnsi" w:cstheme="minorHAnsi"/>
        </w:rPr>
        <w:t>raten.</w:t>
      </w:r>
      <w:r w:rsidR="00BD40FD">
        <w:rPr>
          <w:rFonts w:asciiTheme="minorHAnsi" w:hAnsiTheme="minorHAnsi" w:cstheme="minorHAnsi"/>
        </w:rPr>
        <w:t xml:space="preserve"> (siehe INT-0116)</w:t>
      </w:r>
    </w:p>
    <w:p w14:paraId="23B7D064" w14:textId="77777777" w:rsidR="005107EB" w:rsidRPr="00340ADF" w:rsidRDefault="005107EB" w:rsidP="00340A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065" w14:textId="77777777" w:rsidR="00565BC1" w:rsidRPr="00AA75A2" w:rsidRDefault="00565BC1" w:rsidP="00340A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6BAB14AF" w14:textId="77777777" w:rsidR="008F42AC" w:rsidRDefault="008F42AC" w:rsidP="00340A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075" w14:textId="00C1B184" w:rsidR="00565BC1" w:rsidRPr="008F42AC" w:rsidRDefault="00F16865" w:rsidP="00F16865">
      <w:pPr>
        <w:pStyle w:val="berschrift1"/>
      </w:pPr>
      <w:bookmarkStart w:id="29" w:name="_Toc61872061"/>
      <w:r w:rsidRPr="008F42AC">
        <w:t>4</w:t>
      </w:r>
      <w:r w:rsidRPr="008F42AC">
        <w:tab/>
        <w:t>Besondere klinische Situationen</w:t>
      </w:r>
      <w:bookmarkEnd w:id="29"/>
    </w:p>
    <w:p w14:paraId="3DBA1557" w14:textId="6E164409" w:rsidR="00F16865" w:rsidRPr="00694398" w:rsidRDefault="00694398" w:rsidP="00565BC1">
      <w:pPr>
        <w:jc w:val="both"/>
        <w:rPr>
          <w:rFonts w:asciiTheme="minorHAnsi" w:hAnsiTheme="minorHAnsi" w:cstheme="minorHAnsi"/>
        </w:rPr>
      </w:pPr>
      <w:r w:rsidRPr="004C5BF1">
        <w:rPr>
          <w:rFonts w:asciiTheme="minorHAnsi" w:hAnsiTheme="minorHAnsi" w:cstheme="minorHAnsi"/>
        </w:rPr>
        <w:t>siehe 3.6 Oligometastasierungskonzept</w:t>
      </w:r>
    </w:p>
    <w:p w14:paraId="07D103D7" w14:textId="452C2734" w:rsidR="0009680E" w:rsidRDefault="0009680E" w:rsidP="00565BC1">
      <w:pPr>
        <w:jc w:val="both"/>
        <w:rPr>
          <w:rFonts w:asciiTheme="minorHAnsi" w:hAnsiTheme="minorHAnsi" w:cstheme="minorHAnsi"/>
          <w:b/>
        </w:rPr>
      </w:pPr>
    </w:p>
    <w:p w14:paraId="495CE302" w14:textId="55A6E575" w:rsidR="0009680E" w:rsidRDefault="0009680E" w:rsidP="00565BC1">
      <w:pPr>
        <w:jc w:val="both"/>
        <w:rPr>
          <w:rFonts w:asciiTheme="minorHAnsi" w:hAnsiTheme="minorHAnsi" w:cstheme="minorHAnsi"/>
          <w:b/>
        </w:rPr>
      </w:pPr>
    </w:p>
    <w:p w14:paraId="23B7D076" w14:textId="77777777" w:rsidR="006D4DAC" w:rsidRPr="00E344D4" w:rsidRDefault="00534643" w:rsidP="00534643">
      <w:pPr>
        <w:pStyle w:val="berschrift1"/>
      </w:pPr>
      <w:bookmarkStart w:id="30" w:name="_Toc367183619"/>
      <w:bookmarkStart w:id="31" w:name="_Toc367183857"/>
      <w:bookmarkStart w:id="32" w:name="_Toc61872062"/>
      <w:r>
        <w:t>5</w:t>
      </w:r>
      <w:r>
        <w:tab/>
      </w:r>
      <w:r w:rsidR="0049768A">
        <w:t xml:space="preserve">Verlaufskontrolle und </w:t>
      </w:r>
      <w:r w:rsidR="006D4DAC" w:rsidRPr="00E344D4">
        <w:t>Nachsorge</w:t>
      </w:r>
      <w:bookmarkEnd w:id="30"/>
      <w:bookmarkEnd w:id="31"/>
      <w:bookmarkEnd w:id="32"/>
    </w:p>
    <w:p w14:paraId="23B7D077" w14:textId="77777777" w:rsidR="00C81EF5" w:rsidRPr="00C81EF5" w:rsidRDefault="00C81EF5" w:rsidP="008F42AC">
      <w:pPr>
        <w:pStyle w:val="berschrift2"/>
        <w:spacing w:after="0"/>
        <w:rPr>
          <w:lang w:val="de-AT"/>
        </w:rPr>
      </w:pPr>
      <w:bookmarkStart w:id="33" w:name="_Toc324424498"/>
      <w:bookmarkStart w:id="34" w:name="_Toc324424566"/>
      <w:bookmarkStart w:id="35" w:name="_Toc324424940"/>
      <w:bookmarkStart w:id="36" w:name="_Toc61872063"/>
      <w:r w:rsidRPr="00C81EF5">
        <w:rPr>
          <w:lang w:val="de-AT"/>
        </w:rPr>
        <w:t>5.1</w:t>
      </w:r>
      <w:r w:rsidRPr="00C81EF5">
        <w:rPr>
          <w:lang w:val="de-AT"/>
        </w:rPr>
        <w:tab/>
        <w:t>Nachsorge Tis und T1a nach Mukosaresektion</w:t>
      </w:r>
      <w:bookmarkEnd w:id="33"/>
      <w:bookmarkEnd w:id="34"/>
      <w:bookmarkEnd w:id="35"/>
      <w:bookmarkEnd w:id="36"/>
    </w:p>
    <w:p w14:paraId="23B7D078" w14:textId="77777777" w:rsidR="00C81EF5" w:rsidRDefault="00C81EF5" w:rsidP="008F42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81EF5">
        <w:rPr>
          <w:rFonts w:asciiTheme="minorHAnsi" w:hAnsiTheme="minorHAnsi" w:cstheme="minorHAnsi"/>
        </w:rPr>
        <w:t xml:space="preserve">Im </w:t>
      </w:r>
      <w:r w:rsidR="00A4666C">
        <w:rPr>
          <w:rFonts w:asciiTheme="minorHAnsi" w:hAnsiTheme="minorHAnsi" w:cstheme="minorHAnsi"/>
        </w:rPr>
        <w:t>ersten Jahr sollten 3-</w:t>
      </w:r>
      <w:r w:rsidRPr="00C81EF5">
        <w:rPr>
          <w:rFonts w:asciiTheme="minorHAnsi" w:hAnsiTheme="minorHAnsi" w:cstheme="minorHAnsi"/>
        </w:rPr>
        <w:t>monatlich Endoskopien mit 4 Quadranten Biopsien durchgeführt werden, danach jährlich. Residuelle oder rekurrierende Dysplasien sollten je</w:t>
      </w:r>
      <w:r>
        <w:rPr>
          <w:rFonts w:asciiTheme="minorHAnsi" w:hAnsiTheme="minorHAnsi" w:cstheme="minorHAnsi"/>
        </w:rPr>
        <w:t>weils mit RFA ablatiert werden.</w:t>
      </w:r>
      <w:r w:rsidR="00A4666C">
        <w:rPr>
          <w:rFonts w:asciiTheme="minorHAnsi" w:hAnsiTheme="minorHAnsi" w:cstheme="minorHAnsi"/>
        </w:rPr>
        <w:t xml:space="preserve"> </w:t>
      </w:r>
      <w:r w:rsidRPr="00C81EF5">
        <w:rPr>
          <w:rFonts w:asciiTheme="minorHAnsi" w:hAnsiTheme="minorHAnsi" w:cstheme="minorHAnsi"/>
        </w:rPr>
        <w:t xml:space="preserve">Bei unzureichender endoskopischer Therapie ist aufgrund der fehlenden Alternativen ein chirurgisches Vorgehen zu wählen. </w:t>
      </w:r>
    </w:p>
    <w:p w14:paraId="23B7D079" w14:textId="77777777" w:rsidR="00EF3F60" w:rsidRPr="008F42AC" w:rsidRDefault="00EF3F60" w:rsidP="00C81E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879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071"/>
        <w:gridCol w:w="3466"/>
      </w:tblGrid>
      <w:tr w:rsidR="00C81EF5" w:rsidRPr="00C81EF5" w14:paraId="23B7D07D" w14:textId="77777777" w:rsidTr="008F42AC">
        <w:trPr>
          <w:trHeight w:val="147"/>
          <w:jc w:val="center"/>
        </w:trPr>
        <w:tc>
          <w:tcPr>
            <w:tcW w:w="2259" w:type="dxa"/>
            <w:shd w:val="clear" w:color="auto" w:fill="365F91" w:themeFill="accent1" w:themeFillShade="BF"/>
            <w:vAlign w:val="center"/>
          </w:tcPr>
          <w:p w14:paraId="23B7D07A" w14:textId="77777777" w:rsidR="00C81EF5" w:rsidRPr="008F42AC" w:rsidRDefault="009334F5" w:rsidP="009334F5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Zeitpunkt</w:t>
            </w:r>
          </w:p>
        </w:tc>
        <w:tc>
          <w:tcPr>
            <w:tcW w:w="3071" w:type="dxa"/>
            <w:shd w:val="clear" w:color="auto" w:fill="365F91" w:themeFill="accent1" w:themeFillShade="BF"/>
            <w:vAlign w:val="center"/>
          </w:tcPr>
          <w:p w14:paraId="23B7D07B" w14:textId="77777777" w:rsidR="00C81EF5" w:rsidRPr="008F42AC" w:rsidRDefault="00C81EF5" w:rsidP="009334F5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Anamnese, Status</w:t>
            </w:r>
          </w:p>
        </w:tc>
        <w:tc>
          <w:tcPr>
            <w:tcW w:w="3466" w:type="dxa"/>
            <w:shd w:val="clear" w:color="auto" w:fill="365F91" w:themeFill="accent1" w:themeFillShade="BF"/>
            <w:vAlign w:val="center"/>
          </w:tcPr>
          <w:p w14:paraId="23B7D07C" w14:textId="378D904C" w:rsidR="00C81EF5" w:rsidRPr="008F42AC" w:rsidRDefault="000419D3" w:rsidP="000419D3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Surveillance </w:t>
            </w:r>
            <w:r w:rsidR="008F42AC"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Endoskopie</w:t>
            </w:r>
          </w:p>
        </w:tc>
      </w:tr>
      <w:tr w:rsidR="00C81EF5" w:rsidRPr="00C81EF5" w14:paraId="23B7D081" w14:textId="77777777" w:rsidTr="008F42AC">
        <w:trPr>
          <w:jc w:val="center"/>
        </w:trPr>
        <w:tc>
          <w:tcPr>
            <w:tcW w:w="2259" w:type="dxa"/>
            <w:shd w:val="clear" w:color="auto" w:fill="D9D9D9" w:themeFill="background1" w:themeFillShade="D9"/>
          </w:tcPr>
          <w:p w14:paraId="23B7D07E" w14:textId="77777777" w:rsidR="00C81EF5" w:rsidRPr="00EF3F60" w:rsidRDefault="00C81EF5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3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3B7D07F" w14:textId="6C31527E" w:rsidR="00C81EF5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23B7D080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C81EF5" w:rsidRPr="00C81EF5" w14:paraId="23B7D085" w14:textId="77777777" w:rsidTr="008F42AC">
        <w:trPr>
          <w:jc w:val="center"/>
        </w:trPr>
        <w:tc>
          <w:tcPr>
            <w:tcW w:w="2259" w:type="dxa"/>
            <w:shd w:val="clear" w:color="auto" w:fill="BFBFBF" w:themeFill="background1" w:themeFillShade="BF"/>
          </w:tcPr>
          <w:p w14:paraId="23B7D082" w14:textId="77777777" w:rsidR="00C81EF5" w:rsidRPr="00EF3F60" w:rsidRDefault="00C81EF5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6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3B7D083" w14:textId="76EA6EE0" w:rsidR="00C81EF5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66" w:type="dxa"/>
            <w:shd w:val="clear" w:color="auto" w:fill="BFBFBF" w:themeFill="background1" w:themeFillShade="BF"/>
          </w:tcPr>
          <w:p w14:paraId="23B7D084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C81EF5" w:rsidRPr="00C81EF5" w14:paraId="23B7D089" w14:textId="77777777" w:rsidTr="008F42AC">
        <w:trPr>
          <w:jc w:val="center"/>
        </w:trPr>
        <w:tc>
          <w:tcPr>
            <w:tcW w:w="2259" w:type="dxa"/>
            <w:shd w:val="clear" w:color="auto" w:fill="D9D9D9" w:themeFill="background1" w:themeFillShade="D9"/>
          </w:tcPr>
          <w:p w14:paraId="23B7D086" w14:textId="77777777" w:rsidR="00C81EF5" w:rsidRPr="00EF3F60" w:rsidRDefault="00C81EF5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9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3B7D087" w14:textId="56F67789" w:rsidR="00C81EF5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23B7D088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C81EF5" w:rsidRPr="00C81EF5" w14:paraId="23B7D08D" w14:textId="77777777" w:rsidTr="008F42AC">
        <w:trPr>
          <w:jc w:val="center"/>
        </w:trPr>
        <w:tc>
          <w:tcPr>
            <w:tcW w:w="2259" w:type="dxa"/>
            <w:shd w:val="clear" w:color="auto" w:fill="BFBFBF" w:themeFill="background1" w:themeFillShade="BF"/>
          </w:tcPr>
          <w:p w14:paraId="23B7D08A" w14:textId="77777777" w:rsidR="00C81EF5" w:rsidRPr="00EF3F60" w:rsidRDefault="00C81EF5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12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3B7D08B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66" w:type="dxa"/>
            <w:shd w:val="clear" w:color="auto" w:fill="BFBFBF" w:themeFill="background1" w:themeFillShade="BF"/>
          </w:tcPr>
          <w:p w14:paraId="23B7D08C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C81EF5" w:rsidRPr="00C81EF5" w14:paraId="23B7D091" w14:textId="77777777" w:rsidTr="008F42AC">
        <w:trPr>
          <w:jc w:val="center"/>
        </w:trPr>
        <w:tc>
          <w:tcPr>
            <w:tcW w:w="2259" w:type="dxa"/>
            <w:shd w:val="clear" w:color="auto" w:fill="D9D9D9" w:themeFill="background1" w:themeFillShade="D9"/>
          </w:tcPr>
          <w:p w14:paraId="23B7D08E" w14:textId="77777777" w:rsidR="00C81EF5" w:rsidRPr="00EF3F60" w:rsidRDefault="00C81EF5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 xml:space="preserve">Ab 1. Jahr jährlich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3B7D08F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23B7D090" w14:textId="77777777" w:rsidR="00C81EF5" w:rsidRPr="00EF3F60" w:rsidRDefault="00C81EF5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23B7D092" w14:textId="78D5CC1F" w:rsidR="00C81EF5" w:rsidRDefault="00A4666C" w:rsidP="008F42AC">
      <w:pPr>
        <w:spacing w:line="276" w:lineRule="auto"/>
        <w:ind w:right="4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Nachsorge für 5 Jahre</w:t>
      </w:r>
      <w:r w:rsidR="00BD40FD">
        <w:rPr>
          <w:rFonts w:ascii="Calibri" w:hAnsi="Calibri" w:cs="Calibri"/>
        </w:rPr>
        <w:t xml:space="preserve"> !</w:t>
      </w:r>
    </w:p>
    <w:p w14:paraId="3D04AB5C" w14:textId="214B7F1B" w:rsidR="002D3080" w:rsidRDefault="002D3080" w:rsidP="008F42AC">
      <w:pPr>
        <w:spacing w:line="276" w:lineRule="auto"/>
        <w:ind w:right="451"/>
        <w:jc w:val="both"/>
        <w:rPr>
          <w:rFonts w:ascii="Calibri" w:hAnsi="Calibri" w:cs="Calibri"/>
        </w:rPr>
      </w:pPr>
    </w:p>
    <w:p w14:paraId="6857F1B8" w14:textId="1981096D" w:rsidR="002D3080" w:rsidRDefault="002D3080" w:rsidP="008F42AC">
      <w:pPr>
        <w:spacing w:line="276" w:lineRule="auto"/>
        <w:ind w:right="451"/>
        <w:jc w:val="both"/>
        <w:rPr>
          <w:rFonts w:ascii="Calibri" w:hAnsi="Calibri" w:cs="Calibri"/>
        </w:rPr>
      </w:pPr>
    </w:p>
    <w:p w14:paraId="0653556C" w14:textId="77777777" w:rsidR="002D3080" w:rsidRDefault="002D3080" w:rsidP="008F42AC">
      <w:pPr>
        <w:spacing w:line="276" w:lineRule="auto"/>
        <w:ind w:right="451"/>
        <w:jc w:val="both"/>
        <w:rPr>
          <w:rFonts w:ascii="Calibri" w:hAnsi="Calibri" w:cs="Calibri"/>
        </w:rPr>
      </w:pPr>
    </w:p>
    <w:p w14:paraId="23B7D093" w14:textId="77777777" w:rsidR="002F60E7" w:rsidRPr="00295918" w:rsidRDefault="00295918" w:rsidP="008F42AC">
      <w:pPr>
        <w:pStyle w:val="berschrift2"/>
        <w:spacing w:after="0"/>
        <w:rPr>
          <w:lang w:val="de-AT"/>
        </w:rPr>
      </w:pPr>
      <w:bookmarkStart w:id="37" w:name="_Toc61872064"/>
      <w:r>
        <w:rPr>
          <w:lang w:val="de-AT"/>
        </w:rPr>
        <w:lastRenderedPageBreak/>
        <w:t>5.2</w:t>
      </w:r>
      <w:r>
        <w:rPr>
          <w:lang w:val="de-AT"/>
        </w:rPr>
        <w:tab/>
      </w:r>
      <w:r w:rsidR="002F60E7" w:rsidRPr="00295918">
        <w:rPr>
          <w:lang w:val="de-AT"/>
        </w:rPr>
        <w:t xml:space="preserve">Nachsorge nach definitiver </w:t>
      </w:r>
      <w:r w:rsidR="00C4297A">
        <w:rPr>
          <w:lang w:val="de-AT"/>
        </w:rPr>
        <w:t>Radio-Chemotherapie</w:t>
      </w:r>
      <w:bookmarkEnd w:id="37"/>
    </w:p>
    <w:tbl>
      <w:tblPr>
        <w:tblStyle w:val="Tabellenraster"/>
        <w:tblW w:w="0" w:type="auto"/>
        <w:tblInd w:w="39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118"/>
        <w:gridCol w:w="3402"/>
      </w:tblGrid>
      <w:tr w:rsidR="002F60E7" w:rsidRPr="009334F5" w14:paraId="23B7D097" w14:textId="77777777" w:rsidTr="008F42AC">
        <w:trPr>
          <w:trHeight w:val="50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23B7D094" w14:textId="77777777" w:rsidR="002F60E7" w:rsidRPr="008F42AC" w:rsidRDefault="002F60E7" w:rsidP="0035582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Zeitpunkt</w:t>
            </w:r>
          </w:p>
        </w:tc>
        <w:tc>
          <w:tcPr>
            <w:tcW w:w="3118" w:type="dxa"/>
            <w:shd w:val="clear" w:color="auto" w:fill="365F91" w:themeFill="accent1" w:themeFillShade="BF"/>
            <w:vAlign w:val="center"/>
          </w:tcPr>
          <w:p w14:paraId="23B7D095" w14:textId="77777777" w:rsidR="002F60E7" w:rsidRPr="008F42AC" w:rsidRDefault="002F60E7" w:rsidP="0035582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Gastroskopie</w:t>
            </w:r>
          </w:p>
        </w:tc>
        <w:tc>
          <w:tcPr>
            <w:tcW w:w="3402" w:type="dxa"/>
            <w:shd w:val="clear" w:color="auto" w:fill="365F91" w:themeFill="accent1" w:themeFillShade="BF"/>
            <w:vAlign w:val="center"/>
          </w:tcPr>
          <w:p w14:paraId="23B7D096" w14:textId="3423FFD3" w:rsidR="002F60E7" w:rsidRPr="008F42AC" w:rsidRDefault="00694398" w:rsidP="00355822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Stamm-</w:t>
            </w:r>
            <w:r w:rsidR="002F60E7"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CT</w:t>
            </w:r>
          </w:p>
        </w:tc>
      </w:tr>
      <w:tr w:rsidR="002F60E7" w:rsidRPr="009334F5" w14:paraId="23B7D09B" w14:textId="77777777" w:rsidTr="008F42AC">
        <w:tc>
          <w:tcPr>
            <w:tcW w:w="2268" w:type="dxa"/>
            <w:shd w:val="clear" w:color="auto" w:fill="D9D9D9" w:themeFill="background1" w:themeFillShade="D9"/>
          </w:tcPr>
          <w:p w14:paraId="23B7D098" w14:textId="7770A806" w:rsidR="002F60E7" w:rsidRPr="00EF3F60" w:rsidRDefault="00295918" w:rsidP="00355822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Monat 6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3B7D099" w14:textId="77777777" w:rsidR="002F60E7" w:rsidRPr="00EF3F60" w:rsidRDefault="002F60E7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B7D09A" w14:textId="77777777" w:rsidR="002F60E7" w:rsidRPr="00EF3F60" w:rsidRDefault="002F60E7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2F60E7" w:rsidRPr="009334F5" w14:paraId="23B7D09F" w14:textId="77777777" w:rsidTr="008F42AC">
        <w:tc>
          <w:tcPr>
            <w:tcW w:w="2268" w:type="dxa"/>
            <w:shd w:val="clear" w:color="auto" w:fill="BFBFBF" w:themeFill="background1" w:themeFillShade="BF"/>
          </w:tcPr>
          <w:p w14:paraId="23B7D09C" w14:textId="5F454E79" w:rsidR="002F60E7" w:rsidRPr="00EF3F60" w:rsidRDefault="002F60E7" w:rsidP="0029591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 xml:space="preserve">Monat </w:t>
            </w:r>
            <w:r w:rsidR="0029591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3B7D09D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3B7D09E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2F60E7" w:rsidRPr="009334F5" w14:paraId="23B7D0A3" w14:textId="77777777" w:rsidTr="008F42AC">
        <w:tc>
          <w:tcPr>
            <w:tcW w:w="2268" w:type="dxa"/>
            <w:shd w:val="clear" w:color="auto" w:fill="D9D9D9" w:themeFill="background1" w:themeFillShade="D9"/>
          </w:tcPr>
          <w:p w14:paraId="23B7D0A0" w14:textId="658D4520" w:rsidR="002F60E7" w:rsidRPr="00EF3F60" w:rsidRDefault="00295918" w:rsidP="00355822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3B7D0A1" w14:textId="77777777" w:rsidR="002F60E7" w:rsidRPr="00EF3F60" w:rsidRDefault="002F60E7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B7D0A2" w14:textId="77777777" w:rsidR="002F60E7" w:rsidRPr="00EF3F60" w:rsidRDefault="002F60E7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2F60E7" w:rsidRPr="009334F5" w14:paraId="23B7D0A7" w14:textId="77777777" w:rsidTr="008F42AC">
        <w:tc>
          <w:tcPr>
            <w:tcW w:w="2268" w:type="dxa"/>
            <w:shd w:val="clear" w:color="auto" w:fill="BFBFBF" w:themeFill="background1" w:themeFillShade="BF"/>
          </w:tcPr>
          <w:p w14:paraId="23B7D0A4" w14:textId="3129ECC6" w:rsidR="002F60E7" w:rsidRPr="00EF3F60" w:rsidRDefault="002F60E7" w:rsidP="0029591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 xml:space="preserve">Monat </w:t>
            </w:r>
            <w:r w:rsidR="00295918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3B7D0A5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3B7D0A6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2F60E7" w:rsidRPr="009334F5" w14:paraId="23B7D0AB" w14:textId="77777777" w:rsidTr="008F42AC">
        <w:tc>
          <w:tcPr>
            <w:tcW w:w="2268" w:type="dxa"/>
            <w:shd w:val="clear" w:color="auto" w:fill="D9D9D9" w:themeFill="background1" w:themeFillShade="D9"/>
          </w:tcPr>
          <w:p w14:paraId="23B7D0A8" w14:textId="6B6C7501" w:rsidR="002F60E7" w:rsidRPr="00EF3F60" w:rsidRDefault="00694398" w:rsidP="0069439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36</w:t>
            </w:r>
            <w:r w:rsidR="002959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3B7D0A9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B7D0AA" w14:textId="77777777" w:rsidR="002F60E7" w:rsidRPr="00EF3F60" w:rsidRDefault="00C4297A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375CC91F" w14:textId="77777777" w:rsidTr="00DA66BB">
        <w:tc>
          <w:tcPr>
            <w:tcW w:w="2268" w:type="dxa"/>
            <w:shd w:val="clear" w:color="auto" w:fill="BFBFBF" w:themeFill="background1" w:themeFillShade="BF"/>
          </w:tcPr>
          <w:p w14:paraId="1B20CE6B" w14:textId="09007B09" w:rsidR="00694398" w:rsidRDefault="00694398" w:rsidP="00355822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48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49BA1DB" w14:textId="778E0F44" w:rsidR="00694398" w:rsidRDefault="00694398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19D373B" w14:textId="5B5C7508" w:rsidR="00694398" w:rsidRDefault="00694398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4DD7E7BC" w14:textId="77777777" w:rsidTr="008F42AC">
        <w:tc>
          <w:tcPr>
            <w:tcW w:w="2268" w:type="dxa"/>
            <w:shd w:val="clear" w:color="auto" w:fill="D9D9D9" w:themeFill="background1" w:themeFillShade="D9"/>
          </w:tcPr>
          <w:p w14:paraId="2DABB097" w14:textId="75443AE4" w:rsidR="00694398" w:rsidRDefault="00694398" w:rsidP="00355822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60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A25C3C" w14:textId="1E4C0088" w:rsidR="00694398" w:rsidRDefault="00694398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B9394C" w14:textId="5445E7DA" w:rsidR="00694398" w:rsidRDefault="00694398" w:rsidP="003558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23B7D0AC" w14:textId="77777777" w:rsidR="00C4297A" w:rsidRDefault="00BD40FD" w:rsidP="008F42A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Nachsorge für 5 Jahre, jedoch nur bei therapeutischer Konsequenz notwendig !</w:t>
      </w:r>
    </w:p>
    <w:p w14:paraId="23B7D0AD" w14:textId="77777777" w:rsidR="00BD40FD" w:rsidRDefault="00BD40FD" w:rsidP="008F42A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(d.h.: Salvage-Ösophagektomie wäre sowohl technisch als auch bzgl. ECOG-Status möglich)</w:t>
      </w:r>
    </w:p>
    <w:p w14:paraId="23B7D0AE" w14:textId="77777777" w:rsidR="00C81EF5" w:rsidRPr="00C81EF5" w:rsidRDefault="00C81EF5" w:rsidP="008F42AC">
      <w:pPr>
        <w:pStyle w:val="berschrift2"/>
        <w:spacing w:after="0"/>
        <w:rPr>
          <w:lang w:val="de-AT"/>
        </w:rPr>
      </w:pPr>
      <w:bookmarkStart w:id="38" w:name="_Toc324424499"/>
      <w:bookmarkStart w:id="39" w:name="_Toc324424567"/>
      <w:bookmarkStart w:id="40" w:name="_Toc324424941"/>
      <w:bookmarkStart w:id="41" w:name="_Toc61872065"/>
      <w:r>
        <w:rPr>
          <w:lang w:val="de-AT"/>
        </w:rPr>
        <w:t>5</w:t>
      </w:r>
      <w:r w:rsidRPr="00C81EF5">
        <w:rPr>
          <w:lang w:val="de-AT"/>
        </w:rPr>
        <w:t>.</w:t>
      </w:r>
      <w:r w:rsidR="00295918">
        <w:rPr>
          <w:lang w:val="de-AT"/>
        </w:rPr>
        <w:t>3</w:t>
      </w:r>
      <w:r w:rsidRPr="00C81EF5">
        <w:rPr>
          <w:lang w:val="de-AT"/>
        </w:rPr>
        <w:tab/>
        <w:t>Nachsorge nach Ösophagusresektion</w:t>
      </w:r>
      <w:bookmarkEnd w:id="38"/>
      <w:bookmarkEnd w:id="39"/>
      <w:bookmarkEnd w:id="40"/>
      <w:bookmarkEnd w:id="41"/>
    </w:p>
    <w:tbl>
      <w:tblPr>
        <w:tblStyle w:val="Tabellenraster"/>
        <w:tblW w:w="0" w:type="auto"/>
        <w:tblInd w:w="39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67"/>
        <w:gridCol w:w="2127"/>
        <w:gridCol w:w="1420"/>
      </w:tblGrid>
      <w:tr w:rsidR="00694398" w:rsidRPr="009334F5" w14:paraId="23B7D0B3" w14:textId="7266D36E" w:rsidTr="008F42AC">
        <w:tc>
          <w:tcPr>
            <w:tcW w:w="2267" w:type="dxa"/>
            <w:shd w:val="clear" w:color="auto" w:fill="365F91" w:themeFill="accent1" w:themeFillShade="BF"/>
            <w:vAlign w:val="center"/>
          </w:tcPr>
          <w:p w14:paraId="23B7D0AF" w14:textId="77777777" w:rsidR="00694398" w:rsidRPr="008F42AC" w:rsidRDefault="00694398" w:rsidP="008F42AC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Zeitpunkt</w:t>
            </w:r>
          </w:p>
        </w:tc>
        <w:tc>
          <w:tcPr>
            <w:tcW w:w="2127" w:type="dxa"/>
            <w:shd w:val="clear" w:color="auto" w:fill="365F91" w:themeFill="accent1" w:themeFillShade="BF"/>
            <w:vAlign w:val="center"/>
          </w:tcPr>
          <w:p w14:paraId="23B7D0B0" w14:textId="0F3AD240" w:rsidR="00694398" w:rsidRPr="008F42AC" w:rsidRDefault="00694398" w:rsidP="008F42AC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Anamnese,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körperliche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U</w:t>
            </w: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ntersuchung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14:paraId="6DCA14C6" w14:textId="2CBC52B4" w:rsidR="00694398" w:rsidRPr="008F42AC" w:rsidRDefault="00694398" w:rsidP="008F42AC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F42A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CT-Stamm + Gastroskopie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*</w:t>
            </w:r>
          </w:p>
        </w:tc>
      </w:tr>
      <w:tr w:rsidR="00694398" w:rsidRPr="009334F5" w14:paraId="23B7D0B8" w14:textId="4F43DE53" w:rsidTr="008F42AC">
        <w:tc>
          <w:tcPr>
            <w:tcW w:w="2267" w:type="dxa"/>
            <w:shd w:val="clear" w:color="auto" w:fill="D9D9D9" w:themeFill="background1" w:themeFillShade="D9"/>
          </w:tcPr>
          <w:p w14:paraId="23B7D0B4" w14:textId="17B59DD5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B5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9B4FD1A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BD" w14:textId="09BC0EEB" w:rsidTr="008F42AC">
        <w:tc>
          <w:tcPr>
            <w:tcW w:w="2267" w:type="dxa"/>
            <w:shd w:val="clear" w:color="auto" w:fill="BFBFBF" w:themeFill="background1" w:themeFillShade="BF"/>
          </w:tcPr>
          <w:p w14:paraId="23B7D0B9" w14:textId="1B76191B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BA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0E951289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C2" w14:textId="70F4B7B0" w:rsidTr="008F42AC">
        <w:tc>
          <w:tcPr>
            <w:tcW w:w="2267" w:type="dxa"/>
            <w:shd w:val="clear" w:color="auto" w:fill="D9D9D9" w:themeFill="background1" w:themeFillShade="D9"/>
          </w:tcPr>
          <w:p w14:paraId="23B7D0BE" w14:textId="798FD682" w:rsidR="00694398" w:rsidRPr="00EF3F60" w:rsidRDefault="00694398" w:rsidP="00C81EF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BF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737D9F0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C7" w14:textId="55A8E9D2" w:rsidTr="008F42AC">
        <w:tc>
          <w:tcPr>
            <w:tcW w:w="2267" w:type="dxa"/>
            <w:shd w:val="clear" w:color="auto" w:fill="BFBFBF" w:themeFill="background1" w:themeFillShade="BF"/>
          </w:tcPr>
          <w:p w14:paraId="23B7D0C3" w14:textId="0449FC34" w:rsidR="00694398" w:rsidRPr="00EF3F60" w:rsidRDefault="00694398" w:rsidP="00C81EF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Monat 9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C4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4C1EF76D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CC" w14:textId="4D3E180E" w:rsidTr="008F42AC">
        <w:tc>
          <w:tcPr>
            <w:tcW w:w="2267" w:type="dxa"/>
            <w:shd w:val="clear" w:color="auto" w:fill="D9D9D9" w:themeFill="background1" w:themeFillShade="D9"/>
          </w:tcPr>
          <w:p w14:paraId="23B7D0C8" w14:textId="4D9647E9" w:rsidR="00694398" w:rsidRPr="00EF3F60" w:rsidRDefault="00694398" w:rsidP="00C81EF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12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C9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622DB51D" w14:textId="7A64D977" w:rsidR="00694398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23B7D0D1" w14:textId="2C7C55CF" w:rsidTr="008F42AC">
        <w:tc>
          <w:tcPr>
            <w:tcW w:w="2267" w:type="dxa"/>
            <w:shd w:val="clear" w:color="auto" w:fill="BFBFBF" w:themeFill="background1" w:themeFillShade="BF"/>
          </w:tcPr>
          <w:p w14:paraId="23B7D0CD" w14:textId="40275561" w:rsidR="00694398" w:rsidRPr="00EF3F60" w:rsidRDefault="00694398" w:rsidP="0069439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 xml:space="preserve">Monat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CE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38F49F5F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D6" w14:textId="4B423364" w:rsidTr="008F42AC">
        <w:tc>
          <w:tcPr>
            <w:tcW w:w="2267" w:type="dxa"/>
            <w:shd w:val="clear" w:color="auto" w:fill="D9D9D9" w:themeFill="background1" w:themeFillShade="D9"/>
          </w:tcPr>
          <w:p w14:paraId="23B7D0D2" w14:textId="0664F686" w:rsidR="00694398" w:rsidRPr="00EF3F60" w:rsidRDefault="00694398" w:rsidP="0069439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 xml:space="preserve">Monat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D3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5BA4FFB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DB" w14:textId="559481C1" w:rsidTr="008F42AC">
        <w:tc>
          <w:tcPr>
            <w:tcW w:w="2267" w:type="dxa"/>
            <w:shd w:val="clear" w:color="auto" w:fill="BFBFBF" w:themeFill="background1" w:themeFillShade="BF"/>
          </w:tcPr>
          <w:p w14:paraId="23B7D0D7" w14:textId="22351525" w:rsidR="00694398" w:rsidRPr="00EF3F60" w:rsidRDefault="00694398" w:rsidP="00C81EF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21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D8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3D429ADC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E0" w14:textId="72B33477" w:rsidTr="008F42AC">
        <w:tc>
          <w:tcPr>
            <w:tcW w:w="2267" w:type="dxa"/>
            <w:shd w:val="clear" w:color="auto" w:fill="D9D9D9" w:themeFill="background1" w:themeFillShade="D9"/>
          </w:tcPr>
          <w:p w14:paraId="23B7D0DC" w14:textId="77ECF628" w:rsidR="00694398" w:rsidRPr="00EF3F60" w:rsidRDefault="00694398" w:rsidP="00C81EF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24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DD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5FF0A80C" w14:textId="29E05E1F" w:rsidR="00694398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23B7D0E5" w14:textId="425A4D9E" w:rsidTr="008F42AC">
        <w:tc>
          <w:tcPr>
            <w:tcW w:w="2267" w:type="dxa"/>
            <w:shd w:val="clear" w:color="auto" w:fill="BFBFBF" w:themeFill="background1" w:themeFillShade="BF"/>
          </w:tcPr>
          <w:p w14:paraId="23B7D0E1" w14:textId="0293DB84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30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E2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1D607DFE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EA" w14:textId="7894FEB5" w:rsidTr="008F42AC">
        <w:tc>
          <w:tcPr>
            <w:tcW w:w="2267" w:type="dxa"/>
            <w:shd w:val="clear" w:color="auto" w:fill="D9D9D9" w:themeFill="background1" w:themeFillShade="D9"/>
          </w:tcPr>
          <w:p w14:paraId="23B7D0E6" w14:textId="775426B9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36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E7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6FC4E6F" w14:textId="41B826D0" w:rsidR="00694398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23B7D0EF" w14:textId="105DAB9C" w:rsidTr="008F42AC">
        <w:tc>
          <w:tcPr>
            <w:tcW w:w="2267" w:type="dxa"/>
            <w:shd w:val="clear" w:color="auto" w:fill="BFBFBF" w:themeFill="background1" w:themeFillShade="BF"/>
          </w:tcPr>
          <w:p w14:paraId="23B7D0EB" w14:textId="4B54DC7D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42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EC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748D450D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23B7D0F4" w14:textId="7178ABAC" w:rsidTr="008F42AC">
        <w:tc>
          <w:tcPr>
            <w:tcW w:w="2267" w:type="dxa"/>
            <w:shd w:val="clear" w:color="auto" w:fill="D9D9D9" w:themeFill="background1" w:themeFillShade="D9"/>
          </w:tcPr>
          <w:p w14:paraId="23B7D0F0" w14:textId="709BCF35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48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B7D0F1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D5ED5CD" w14:textId="7E59BB45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694398" w:rsidRPr="009334F5" w14:paraId="23B7D0F9" w14:textId="6F9D3717" w:rsidTr="008F42AC">
        <w:tc>
          <w:tcPr>
            <w:tcW w:w="2267" w:type="dxa"/>
            <w:shd w:val="clear" w:color="auto" w:fill="BFBFBF" w:themeFill="background1" w:themeFillShade="BF"/>
          </w:tcPr>
          <w:p w14:paraId="23B7D0F5" w14:textId="4A770AE3" w:rsidR="00694398" w:rsidRPr="00EF3F60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54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3B7D0F6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F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14:paraId="7D575919" w14:textId="77777777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98" w:rsidRPr="009334F5" w14:paraId="6391E6E4" w14:textId="77777777" w:rsidTr="00DA66BB">
        <w:tc>
          <w:tcPr>
            <w:tcW w:w="2267" w:type="dxa"/>
            <w:shd w:val="clear" w:color="auto" w:fill="D9D9D9" w:themeFill="background1" w:themeFillShade="D9"/>
          </w:tcPr>
          <w:p w14:paraId="7DB191A9" w14:textId="49791944" w:rsidR="00694398" w:rsidRDefault="00694398" w:rsidP="00C8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Monat 60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02DEFF7" w14:textId="0D371D33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BEA378" w14:textId="59C3856B" w:rsidR="00694398" w:rsidRPr="00EF3F60" w:rsidRDefault="00694398" w:rsidP="00C8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23B7D0FB" w14:textId="71B05E54" w:rsidR="00C81EF5" w:rsidRDefault="008F42AC" w:rsidP="008F42AC">
      <w:p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C804A6">
        <w:rPr>
          <w:rFonts w:asciiTheme="minorHAnsi" w:hAnsiTheme="minorHAnsi" w:cstheme="minorHAnsi"/>
        </w:rPr>
        <w:t>Gemäß Onkozert-Vorgaben ist für einen Zeitraum von insgesamt 5 Jahren eine jährliche Gastroskopie mit CT-Stamm zu planen.</w:t>
      </w:r>
    </w:p>
    <w:p w14:paraId="161F9F6D" w14:textId="77777777" w:rsidR="008F42AC" w:rsidRPr="00812A7D" w:rsidRDefault="008F42AC" w:rsidP="008F42AC">
      <w:pPr>
        <w:spacing w:line="240" w:lineRule="auto"/>
        <w:jc w:val="left"/>
      </w:pPr>
    </w:p>
    <w:p w14:paraId="23B7D0FC" w14:textId="77777777" w:rsidR="00C81EF5" w:rsidRPr="0016193C" w:rsidRDefault="009334F5" w:rsidP="009334F5">
      <w:pPr>
        <w:pStyle w:val="berschrift2"/>
        <w:rPr>
          <w:lang w:val="de-AT"/>
        </w:rPr>
      </w:pPr>
      <w:bookmarkStart w:id="42" w:name="_Toc324424500"/>
      <w:bookmarkStart w:id="43" w:name="_Toc324424568"/>
      <w:bookmarkStart w:id="44" w:name="_Toc324424942"/>
      <w:bookmarkStart w:id="45" w:name="_Toc61872066"/>
      <w:r w:rsidRPr="0016193C">
        <w:rPr>
          <w:lang w:val="de-AT"/>
        </w:rPr>
        <w:t>5.</w:t>
      </w:r>
      <w:r w:rsidR="00C4297A">
        <w:rPr>
          <w:lang w:val="de-AT"/>
        </w:rPr>
        <w:t>4</w:t>
      </w:r>
      <w:r w:rsidRPr="0016193C">
        <w:rPr>
          <w:lang w:val="de-AT"/>
        </w:rPr>
        <w:tab/>
      </w:r>
      <w:r w:rsidR="00C81EF5" w:rsidRPr="0016193C">
        <w:rPr>
          <w:lang w:val="de-AT"/>
        </w:rPr>
        <w:t>Restaging im palliativen Setting</w:t>
      </w:r>
      <w:bookmarkEnd w:id="42"/>
      <w:bookmarkEnd w:id="43"/>
      <w:bookmarkEnd w:id="44"/>
      <w:bookmarkEnd w:id="45"/>
    </w:p>
    <w:p w14:paraId="23B7D0FD" w14:textId="77777777" w:rsidR="00C81EF5" w:rsidRPr="009334F5" w:rsidRDefault="00C81EF5" w:rsidP="009334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334F5">
        <w:rPr>
          <w:rFonts w:asciiTheme="minorHAnsi" w:hAnsiTheme="minorHAnsi" w:cstheme="minorHAnsi"/>
        </w:rPr>
        <w:t xml:space="preserve">Das Restaging (Anamnese, Status, Labor, ggfs. Tumormarker, Ferritin, CT Thorax/Abdomen/Becken) unter laufender Therapie  erfolgt routinemäßig  alle 12 Wochen bzw. bei klinischem V.a. Progress. </w:t>
      </w:r>
    </w:p>
    <w:p w14:paraId="23B7D0FE" w14:textId="77777777" w:rsidR="00C81EF5" w:rsidRPr="009334F5" w:rsidRDefault="00C81EF5" w:rsidP="009334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334F5">
        <w:rPr>
          <w:rFonts w:asciiTheme="minorHAnsi" w:hAnsiTheme="minorHAnsi" w:cstheme="minorHAnsi"/>
        </w:rPr>
        <w:t xml:space="preserve">Eine PET-CT Kontrolle ist auch bei positivem Befund bei Erstdiagnose im Verlauf nicht sinnvoll. Eine Endoskopie ist nur bei Symptomen zwecks Evaluierung einer therapeutischen Intervention sinnvoll. </w:t>
      </w:r>
    </w:p>
    <w:p w14:paraId="23B7D0FF" w14:textId="77777777" w:rsidR="00C81EF5" w:rsidRPr="00812A7D" w:rsidRDefault="00C81EF5" w:rsidP="00C81EF5">
      <w:pPr>
        <w:jc w:val="both"/>
        <w:rPr>
          <w:rFonts w:cs="Arial"/>
        </w:rPr>
      </w:pPr>
    </w:p>
    <w:p w14:paraId="23B7D100" w14:textId="77777777" w:rsidR="00C81EF5" w:rsidRPr="009334F5" w:rsidRDefault="009334F5" w:rsidP="009334F5">
      <w:pPr>
        <w:pStyle w:val="berschrift2"/>
        <w:rPr>
          <w:lang w:val="de-AT"/>
        </w:rPr>
      </w:pPr>
      <w:bookmarkStart w:id="46" w:name="_Toc324424501"/>
      <w:bookmarkStart w:id="47" w:name="_Toc324424569"/>
      <w:bookmarkStart w:id="48" w:name="_Toc324424943"/>
      <w:bookmarkStart w:id="49" w:name="_Toc61872067"/>
      <w:r w:rsidRPr="009334F5">
        <w:rPr>
          <w:lang w:val="de-AT"/>
        </w:rPr>
        <w:lastRenderedPageBreak/>
        <w:t>5.</w:t>
      </w:r>
      <w:r w:rsidR="00C4297A">
        <w:rPr>
          <w:lang w:val="de-AT"/>
        </w:rPr>
        <w:t>5</w:t>
      </w:r>
      <w:r w:rsidRPr="009334F5">
        <w:rPr>
          <w:lang w:val="de-AT"/>
        </w:rPr>
        <w:tab/>
      </w:r>
      <w:r w:rsidR="00C81EF5" w:rsidRPr="009334F5">
        <w:rPr>
          <w:lang w:val="de-AT"/>
        </w:rPr>
        <w:t>Chemotherapie-refraktärer maligner Aszites</w:t>
      </w:r>
      <w:bookmarkEnd w:id="46"/>
      <w:bookmarkEnd w:id="47"/>
      <w:bookmarkEnd w:id="48"/>
      <w:bookmarkEnd w:id="49"/>
    </w:p>
    <w:p w14:paraId="23B7D101" w14:textId="77777777" w:rsidR="001F65CD" w:rsidRDefault="00C81EF5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334F5">
        <w:rPr>
          <w:rFonts w:asciiTheme="minorHAnsi" w:hAnsiTheme="minorHAnsi" w:cstheme="minorHAnsi"/>
        </w:rPr>
        <w:t>Die Standardtherapie des symptomatischen, Chemotherapie-refraktären malignen Aszites is</w:t>
      </w:r>
      <w:r w:rsidR="00DD470E">
        <w:rPr>
          <w:rFonts w:asciiTheme="minorHAnsi" w:hAnsiTheme="minorHAnsi" w:cstheme="minorHAnsi"/>
        </w:rPr>
        <w:t>t</w:t>
      </w:r>
      <w:r w:rsidRPr="009334F5">
        <w:rPr>
          <w:rFonts w:asciiTheme="minorHAnsi" w:hAnsiTheme="minorHAnsi" w:cstheme="minorHAnsi"/>
        </w:rPr>
        <w:t xml:space="preserve"> die </w:t>
      </w:r>
      <w:r w:rsidR="009B7854">
        <w:rPr>
          <w:rFonts w:asciiTheme="minorHAnsi" w:hAnsiTheme="minorHAnsi" w:cstheme="minorHAnsi"/>
        </w:rPr>
        <w:t xml:space="preserve">intermittierende </w:t>
      </w:r>
      <w:r w:rsidRPr="009334F5">
        <w:rPr>
          <w:rFonts w:asciiTheme="minorHAnsi" w:hAnsiTheme="minorHAnsi" w:cstheme="minorHAnsi"/>
        </w:rPr>
        <w:t>Parazentese.</w:t>
      </w:r>
      <w:r w:rsidR="00DD470E">
        <w:rPr>
          <w:rFonts w:asciiTheme="minorHAnsi" w:hAnsiTheme="minorHAnsi" w:cstheme="minorHAnsi"/>
        </w:rPr>
        <w:t xml:space="preserve"> </w:t>
      </w:r>
      <w:r w:rsidR="009B7854">
        <w:rPr>
          <w:rFonts w:asciiTheme="minorHAnsi" w:hAnsiTheme="minorHAnsi" w:cstheme="minorHAnsi"/>
        </w:rPr>
        <w:t>Zur Verbesserung der Lebensqualität sollte auc</w:t>
      </w:r>
      <w:r w:rsidR="00C804A6">
        <w:rPr>
          <w:rFonts w:asciiTheme="minorHAnsi" w:hAnsiTheme="minorHAnsi" w:cstheme="minorHAnsi"/>
        </w:rPr>
        <w:t>h an eine Anlage eines peritone</w:t>
      </w:r>
      <w:r w:rsidR="009B7854">
        <w:rPr>
          <w:rFonts w:asciiTheme="minorHAnsi" w:hAnsiTheme="minorHAnsi" w:cstheme="minorHAnsi"/>
        </w:rPr>
        <w:t>alen Pleur-X-Katheters gedacht werden.</w:t>
      </w:r>
    </w:p>
    <w:p w14:paraId="23B7D102" w14:textId="77777777" w:rsidR="002D524B" w:rsidRPr="002D524B" w:rsidRDefault="002D524B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103" w14:textId="77777777" w:rsidR="00315002" w:rsidRDefault="00315002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23B7D104" w14:textId="77777777" w:rsidR="006D4DAC" w:rsidRPr="00E344D4" w:rsidRDefault="006D4DAC" w:rsidP="007F3064">
      <w:pPr>
        <w:pStyle w:val="berschrift1"/>
      </w:pPr>
      <w:bookmarkStart w:id="50" w:name="_Toc367183620"/>
      <w:bookmarkStart w:id="51" w:name="_Toc367183858"/>
      <w:bookmarkStart w:id="52" w:name="_Toc61872068"/>
      <w:r w:rsidRPr="00E344D4">
        <w:t>6</w:t>
      </w:r>
      <w:r w:rsidRPr="00E344D4">
        <w:tab/>
        <w:t>Dokumentation und Qualitätsparameter</w:t>
      </w:r>
      <w:bookmarkEnd w:id="50"/>
      <w:bookmarkEnd w:id="51"/>
      <w:bookmarkEnd w:id="52"/>
    </w:p>
    <w:p w14:paraId="23B7D105" w14:textId="77777777" w:rsidR="00DF4634" w:rsidRDefault="00DF4634" w:rsidP="009334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106" w14:textId="77777777" w:rsidR="002D524B" w:rsidRDefault="00DF463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Dokumentation in celsius37. </w:t>
      </w:r>
    </w:p>
    <w:p w14:paraId="23B7D107" w14:textId="77777777" w:rsidR="00F34A58" w:rsidRDefault="009334F5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334F5">
        <w:rPr>
          <w:rFonts w:asciiTheme="minorHAnsi" w:hAnsiTheme="minorHAnsi" w:cstheme="minorHAnsi"/>
        </w:rPr>
        <w:t xml:space="preserve">Inhaltliche Grundlage für die Bestimmung der Qualitätsparameter </w:t>
      </w:r>
      <w:r w:rsidR="002D524B">
        <w:rPr>
          <w:rFonts w:asciiTheme="minorHAnsi" w:hAnsiTheme="minorHAnsi" w:cstheme="minorHAnsi"/>
        </w:rPr>
        <w:t>entspricht der Onkozert-Vorgabe.</w:t>
      </w:r>
    </w:p>
    <w:p w14:paraId="23B7D108" w14:textId="77777777" w:rsidR="002D524B" w:rsidRDefault="002D524B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109" w14:textId="2E77F361" w:rsidR="002D524B" w:rsidRDefault="002D524B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C08D4E" w14:textId="0860A496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96C7E2" w14:textId="4170801C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3EF8439" w14:textId="255269A3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5AB502E" w14:textId="3FA45E6F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FC7A204" w14:textId="5959C4C5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DEA5FC" w14:textId="6F3C58E0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92A877A" w14:textId="0FD0078B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ABE282D" w14:textId="2617EBC3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BC5ECB" w14:textId="2330A452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C1C9E74" w14:textId="078F71F4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5134940" w14:textId="186A7E09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871D6DE" w14:textId="4A31F9F6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A4F2EC0" w14:textId="544DEE6A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CC03C3D" w14:textId="40B036C9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332A0AD" w14:textId="401FBC3F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C85A20B" w14:textId="11A06CC7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279D64C" w14:textId="724E7A99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7C22F13" w14:textId="04411CE8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0FE9DC3" w14:textId="15B03140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E2C1C" w14:textId="05A58020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930EDA5" w14:textId="79FB7794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F276872" w14:textId="2DAF6833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D3D3C07" w14:textId="6319DA48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1D7E50E" w14:textId="2B83F553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0674A8C" w14:textId="747C87B2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86EB5C4" w14:textId="63CA8AA0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C350FF6" w14:textId="0C82BF02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EE668AD" w14:textId="590F3FA8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90A0585" w14:textId="77777777" w:rsidR="002D3080" w:rsidRDefault="002D3080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1FC68DA" w14:textId="77777777" w:rsidR="00134DD4" w:rsidRDefault="00134DD4" w:rsidP="002D52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B7D10A" w14:textId="77777777" w:rsidR="002D524B" w:rsidRDefault="002D524B" w:rsidP="002D524B">
      <w:pPr>
        <w:autoSpaceDE w:val="0"/>
        <w:autoSpaceDN w:val="0"/>
        <w:adjustRightInd w:val="0"/>
        <w:spacing w:line="276" w:lineRule="auto"/>
        <w:jc w:val="both"/>
      </w:pPr>
    </w:p>
    <w:p w14:paraId="23B7D10B" w14:textId="77777777" w:rsidR="006D4DAC" w:rsidRPr="002B7F34" w:rsidRDefault="006D4DAC" w:rsidP="007F3064">
      <w:pPr>
        <w:pStyle w:val="berschrift1"/>
        <w:rPr>
          <w:lang w:val="en-US"/>
        </w:rPr>
      </w:pPr>
      <w:bookmarkStart w:id="53" w:name="_Toc367183621"/>
      <w:bookmarkStart w:id="54" w:name="_Toc367183859"/>
      <w:bookmarkStart w:id="55" w:name="_Toc61872069"/>
      <w:r w:rsidRPr="002B7F34">
        <w:rPr>
          <w:lang w:val="en-US"/>
        </w:rPr>
        <w:lastRenderedPageBreak/>
        <w:t>7</w:t>
      </w:r>
      <w:r w:rsidRPr="002B7F34">
        <w:rPr>
          <w:lang w:val="en-US"/>
        </w:rPr>
        <w:tab/>
        <w:t>Literatur/Quellenangaben</w:t>
      </w:r>
      <w:bookmarkEnd w:id="53"/>
      <w:bookmarkEnd w:id="54"/>
      <w:bookmarkEnd w:id="55"/>
    </w:p>
    <w:p w14:paraId="23B7D10C" w14:textId="77777777" w:rsidR="00A6435E" w:rsidRPr="002B7F34" w:rsidRDefault="00A6435E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 w:val="4"/>
          <w:szCs w:val="4"/>
          <w:lang w:val="en-US"/>
        </w:rPr>
      </w:pPr>
      <w:r w:rsidRPr="002B7F34">
        <w:rPr>
          <w:rFonts w:asciiTheme="minorHAnsi" w:hAnsiTheme="minorHAnsi" w:cstheme="minorHAnsi"/>
          <w:szCs w:val="22"/>
          <w:lang w:val="en-US"/>
        </w:rPr>
        <w:tab/>
      </w:r>
    </w:p>
    <w:p w14:paraId="23B7D10D" w14:textId="76782EF1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 xml:space="preserve">Early Barrett's carcinoma with "low-risk" submucosal invasion: long-term results of endoscopic resection with a curative intent. </w:t>
      </w:r>
      <w:r w:rsidRPr="00065387">
        <w:rPr>
          <w:rFonts w:asciiTheme="minorHAnsi" w:hAnsiTheme="minorHAnsi" w:cstheme="minorHAnsi"/>
          <w:color w:val="000000"/>
          <w:szCs w:val="22"/>
          <w:lang w:eastAsia="de-AT"/>
        </w:rPr>
        <w:t xml:space="preserve">Manner H, May A, Pech O, Gossner L, Rabenstein T, Günter E, Vieth M, Stolte M, Ell C Am J Gastroenterol. </w:t>
      </w: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>2008;103(10):2589.</w:t>
      </w:r>
    </w:p>
    <w:p w14:paraId="23B7D10E" w14:textId="77777777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>Risk of lymph node metastasis associated with deeper invasion by early adenocarcinoma of the esophagus and cardia: study based on endoscopic resection specimens.</w:t>
      </w:r>
    </w:p>
    <w:p w14:paraId="23B7D10F" w14:textId="77777777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eastAsia="de-AT"/>
        </w:rPr>
        <w:t xml:space="preserve">Alvarez Herrero L, Pouw RE, van Vilsteren FG, ten Kate FJ, Visser M, van Berge Henegouwen MI, Weusten BL, Bergman JJ. </w:t>
      </w: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>Endoscopy. 2010 Dec;42(12):1030-6. Epub 2010 Oct 19.</w:t>
      </w:r>
    </w:p>
    <w:p w14:paraId="23B7D110" w14:textId="77777777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 xml:space="preserve">Long-term results and risk factor analysis for recurrence after curative endoscopic therapy in 349 patients with high-grade intraepithelial neoplasia and mucosal adenocarcinoma in Barrett's oesophagus. </w:t>
      </w:r>
      <w:r w:rsidRPr="00065387">
        <w:rPr>
          <w:rFonts w:asciiTheme="minorHAnsi" w:hAnsiTheme="minorHAnsi" w:cstheme="minorHAnsi"/>
          <w:color w:val="000000"/>
          <w:szCs w:val="22"/>
          <w:lang w:eastAsia="de-AT"/>
        </w:rPr>
        <w:t>Pech O, Behrens A, May A, Nachbar L, Gossner L, Rabenstein T, Manner H, Guenter E, Huijsmans J, Vieth M, Stolte M, Ell C Gut. 2008;57(9):1200.</w:t>
      </w:r>
    </w:p>
    <w:p w14:paraId="23B7D111" w14:textId="77777777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>Endoscopic mucosal resection for squamous premalignant and early malignant lesions of the esophagus. Ciocirlan M, Lapalus MG, Hervieu V, Souquet JC, Napoléon B, Scoazec JY, Lefort C, Saurin JC, Ponchon T Endoscopy. 2007;39(1):24.</w:t>
      </w:r>
    </w:p>
    <w:p w14:paraId="23B7D112" w14:textId="77777777" w:rsidR="00761919" w:rsidRPr="00065387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065387">
        <w:rPr>
          <w:rFonts w:asciiTheme="minorHAnsi" w:hAnsiTheme="minorHAnsi" w:cstheme="minorHAnsi"/>
          <w:color w:val="000000"/>
          <w:szCs w:val="22"/>
          <w:lang w:val="en-GB" w:eastAsia="de-AT"/>
        </w:rPr>
        <w:t>Curative endoscopic resection of early esophageal adenocarcinomas (Barrett's cancer). Ell C, May A, Pech O, Gossner L, Guenter E, Behrens A, Nachbar L, Huijsmans J, Vieth M, Stolte M</w:t>
      </w:r>
    </w:p>
    <w:p w14:paraId="23B7D113" w14:textId="77777777" w:rsidR="00761919" w:rsidRPr="006A4845" w:rsidRDefault="00761919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6A4845">
        <w:rPr>
          <w:rFonts w:asciiTheme="minorHAnsi" w:hAnsiTheme="minorHAnsi" w:cstheme="minorHAnsi"/>
          <w:color w:val="000000"/>
          <w:szCs w:val="22"/>
          <w:lang w:val="en-GB" w:eastAsia="de-AT"/>
        </w:rPr>
        <w:t>Gastrointest Endosc. 2007;65(1):3.</w:t>
      </w:r>
    </w:p>
    <w:p w14:paraId="23B7D114" w14:textId="77777777" w:rsidR="00AA76DB" w:rsidRPr="006A4845" w:rsidRDefault="00AA76DB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6A4845">
        <w:rPr>
          <w:rFonts w:asciiTheme="minorHAnsi" w:hAnsiTheme="minorHAnsi" w:cstheme="minorHAnsi"/>
          <w:color w:val="000000"/>
          <w:szCs w:val="22"/>
          <w:lang w:val="en-GB" w:eastAsia="de-AT"/>
        </w:rPr>
        <w:t>Shapiro J et al. Neoadjuvant chemoradiotherapy plus surgery versus surgery alone for oesophageal or junctional cancer (CROSS): long-term results of a randomised controlled trial, Lancet Oncology Volume 16, ISSUE 9, P1090-1098, September 01, 2015.</w:t>
      </w:r>
    </w:p>
    <w:p w14:paraId="23B7D115" w14:textId="700D38E0" w:rsidR="001F65CD" w:rsidRDefault="001F65CD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1F65CD">
        <w:rPr>
          <w:rFonts w:asciiTheme="minorHAnsi" w:hAnsiTheme="minorHAnsi" w:cstheme="minorHAnsi"/>
          <w:color w:val="000000"/>
          <w:szCs w:val="22"/>
          <w:lang w:eastAsia="de-AT"/>
        </w:rPr>
        <w:t>Mönig P et al. Oligometastasierung – soll operiert</w:t>
      </w:r>
      <w:r>
        <w:rPr>
          <w:rFonts w:asciiTheme="minorHAnsi" w:hAnsiTheme="minorHAnsi" w:cstheme="minorHAnsi"/>
          <w:color w:val="000000"/>
          <w:szCs w:val="22"/>
          <w:lang w:eastAsia="de-AT"/>
        </w:rPr>
        <w:t xml:space="preserve"> </w:t>
      </w:r>
      <w:r w:rsidRPr="001F65CD">
        <w:rPr>
          <w:rFonts w:asciiTheme="minorHAnsi" w:hAnsiTheme="minorHAnsi" w:cstheme="minorHAnsi"/>
          <w:color w:val="000000"/>
          <w:szCs w:val="22"/>
          <w:lang w:eastAsia="de-AT"/>
        </w:rPr>
        <w:t>werden oder nicht?</w:t>
      </w:r>
      <w:r>
        <w:rPr>
          <w:rFonts w:asciiTheme="minorHAnsi" w:hAnsiTheme="minorHAnsi" w:cstheme="minorHAnsi"/>
          <w:color w:val="000000"/>
          <w:szCs w:val="22"/>
          <w:lang w:eastAsia="de-AT"/>
        </w:rPr>
        <w:t xml:space="preserve"> </w:t>
      </w:r>
      <w:r w:rsidRPr="00C16E49">
        <w:rPr>
          <w:rFonts w:asciiTheme="minorHAnsi" w:hAnsiTheme="minorHAnsi" w:cstheme="minorHAnsi"/>
          <w:color w:val="000000"/>
          <w:szCs w:val="22"/>
          <w:lang w:val="en-GB" w:eastAsia="de-AT"/>
        </w:rPr>
        <w:t>Swiss Medical Forum – Schweizerisches Medizin-Forum 2017; 17(4):74-76.</w:t>
      </w:r>
    </w:p>
    <w:p w14:paraId="24A87AA3" w14:textId="7D8B1F99" w:rsidR="00A42C1A" w:rsidRP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>ESMO 2020, Abstract LBA6_PR: Nivolumab (NIVO) plus chemotherapy (chemo) versus chemo as first-line (1l) treatment for advanced gastric cancer/gastroesophageal junction cancer (GC/GEJC)/esophageal adenocarcinoma (EAC): First results of the CheckMate 649; Annals of Oncology, Volume 31 Supplement 4, September 2020.</w:t>
      </w:r>
    </w:p>
    <w:p w14:paraId="6E7589C4" w14:textId="720DCA65" w:rsidR="00A42C1A" w:rsidRP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>ESMO 2020, Abstract LBA8_PR: Pembrolizumab plus chemotherapy versus chemotherapy as first-line therapy in patients with advanced esophageal cancer: The phase 3 KEYNOTE-590 study; Annals of Oncology, Volume 31 Supplement 4, September 2020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2E331A24" w14:textId="3459CEFE" w:rsidR="00A42C1A" w:rsidRP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 xml:space="preserve">ESMO 2020, Abstr. LBA9_PR: Adjuvant nivolumab in resected esophageal or gastroesophageal junction cancer (EC/GEJC) following neoadjuvant chemoradiation therapy: First results of the CheckMate 577 study. </w:t>
      </w:r>
    </w:p>
    <w:p w14:paraId="72C06384" w14:textId="77777777" w:rsid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>ASCO 2020, Abstr. 4023: FOLFIRI plus ramucirumab versus paclitaxel plus ramucirumab for patients with advanced or metastatic adenocarcinoma of the stomach or gastroesophageal junction as second-line therapy: Interim safety and efficacy results from the phase II RAMIRIS Study (AIO-STO-0415) of the German Gastric Group at AIO. Journal of Clinical Oncology 37, no. 15_suppl (May 20, 2019) 4023-4023.</w:t>
      </w:r>
    </w:p>
    <w:p w14:paraId="6745FE32" w14:textId="4A25D64D" w:rsidR="00A42C1A" w:rsidRP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>Cho BC, Kato K, Takahashi M, et al. Nivolumab versus chemotherapy in advanced esophageal squamous cell carcinoma (ESCC): the phase III ATTRACTION-3 study. Ann Oncol. 2019;30(suppl 5):V873-V874. doi:10.1093/annonc/mdz394.028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3FB86776" w14:textId="08907F33" w:rsidR="00A42C1A" w:rsidRP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t>Al-Batran, et al. Effect of Neoadjuvant Chemotherapy Followed by Surgical Resection on Survival in Patients With Limited Metastatic Gastric or Gastroesophageal Junction Cancer, The AIO-FLOT3 Trial, JAMA Oncol. 2017 Sep; 3(9): 1237–1244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464BD186" w14:textId="402BF88B" w:rsidR="00A42C1A" w:rsidRDefault="00A42C1A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A42C1A">
        <w:rPr>
          <w:rFonts w:asciiTheme="minorHAnsi" w:hAnsiTheme="minorHAnsi" w:cstheme="minorHAnsi"/>
          <w:color w:val="000000"/>
          <w:szCs w:val="22"/>
          <w:lang w:val="en-GB" w:eastAsia="de-AT"/>
        </w:rPr>
        <w:lastRenderedPageBreak/>
        <w:t>Al-Batran, et al. Perioperative chemotherapy with fluorouracil plus leucovorin, oxaliplatin, and docetaxel versus fluorouracil or capecitabine plus cisplatin and epirubicin for locally advanced, resectable gastric or gastro-oesophageal junction adenocarcinoma (FLOT4): a randomised, phase 2/3 trial, Lancet 2019 May 11;393(10184):1948-1957.</w:t>
      </w:r>
    </w:p>
    <w:p w14:paraId="2BFFB053" w14:textId="4522EADC" w:rsidR="00E21ED7" w:rsidRPr="004C5BF1" w:rsidRDefault="00E21ED7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Sun JM et al., Pembrolizumab plus chemotherapy versus chemotherapy alone for first-line treatment of advanced oesophageal cancer (KEYNOTE-590): a randomised, placebo-controlled, phase 3 study; Lancet Volume 398, ISSUE 10302, P759-771, August 28, 2021.</w:t>
      </w:r>
    </w:p>
    <w:p w14:paraId="6798CB84" w14:textId="24C39B0B" w:rsidR="00E21ED7" w:rsidRPr="004C5BF1" w:rsidRDefault="00E21ED7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Kelly RJ, Adjuvant Nivolumab in Resected Esophageal or Gastroesophageal Junction Cancer; N Engl J Med 2021; 384:1191-1203.</w:t>
      </w:r>
    </w:p>
    <w:p w14:paraId="7F1FC7A3" w14:textId="0A3009CD" w:rsidR="00E21ED7" w:rsidRPr="004C5BF1" w:rsidRDefault="00E21ED7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 xml:space="preserve">Janjigian YY et al., First-line nivolumab plus chemotherapy versus chemotherapy alone for advanced gastric, gastro-oesophageal junction, and oesophageal adenocarcinoma (CheckMate 649): a randomised, open-label, phase 3 trial; Lancet. 2021 Jul 3;398(10294):27-40.  doi: 10.1016/S0140-6736(21)00797-2.  </w:t>
      </w:r>
    </w:p>
    <w:p w14:paraId="6FF4A3D5" w14:textId="10F98F52" w:rsidR="00E21ED7" w:rsidRPr="004C5BF1" w:rsidRDefault="00E21ED7" w:rsidP="00FE743A">
      <w:p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Janjigian YY et al., The KEYNOTE-811 trial of dual PD-1 and HER2 blockade in HER2-positive gastric cancer; Nature volume 600, pages 727–730 (2021)</w:t>
      </w:r>
    </w:p>
    <w:p w14:paraId="23B7D116" w14:textId="0A59DE26" w:rsidR="00AA76DB" w:rsidRPr="004C5BF1" w:rsidRDefault="00E21ED7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Shitara k et al., Trastuzumab Deruxtecan in Previously Treated HER2-Positive Gastric Cancer; N Engl J Med 2020; 382:2419-2430.</w:t>
      </w:r>
    </w:p>
    <w:p w14:paraId="34AC1060" w14:textId="51F53F2A" w:rsidR="00E21ED7" w:rsidRPr="004C5BF1" w:rsidRDefault="00E21ED7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 xml:space="preserve">Hall PS et al., Efficacy of Reduced-Intensity Chemotherapy With Oxaliplatin and Capecitabine on Quality of Life and Cancer Control Among Older and Frail Patients With Advanced Gastroesophageal Cancer: The GO2 Phase 3 Randomized Clinical Trial; JAMA Oncol. 2021;7(6):869-877. </w:t>
      </w:r>
    </w:p>
    <w:p w14:paraId="48850387" w14:textId="350B6DB8" w:rsidR="00FE743A" w:rsidRPr="004C5BF1" w:rsidRDefault="00FE743A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Chau I, Doki Y, Ajani JA, et al: Nivolumab plus ipilimumab or nivolumab plus chemotherapy versus chemotherapy as first-line treatment for advanced esophageal squamous cell carcinoma: First results of the CheckMate 648 study. 2021 ASCO Annual Meeting. Abstract 4001. Presented June 5, 2021.</w:t>
      </w:r>
    </w:p>
    <w:p w14:paraId="127D0D2E" w14:textId="3F07DEEB" w:rsidR="00FE743A" w:rsidRPr="004C5BF1" w:rsidRDefault="00FE743A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Janjigian YY et al., Nivolumab (NIVO) plus chemotherapy (Chemo) or ipilimumab (IPI) vs chemo as first-line (1L) treatment for advanced gastric cancer/gastroesophageal junction cancer/esophageal adenocarcinoma (GC/GEJC/EAC): CheckMate 649 study; Annals of Oncology (2021) 32 (suppl_5): S1283-S1346. 10.1016/annonc/annonc741.</w:t>
      </w:r>
    </w:p>
    <w:p w14:paraId="096EE4FD" w14:textId="509A13B2" w:rsidR="004C5BF1" w:rsidRPr="004C5BF1" w:rsidRDefault="004C5BF1" w:rsidP="004C5BF1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Al-Batran et al., Final results and subgroup analysis of the PETRARCA randomized phase II AIO trial: Perioperative trastuzumab and pertuzumab in combination with FLOT versus FLOT alone for HER2 positive resectable esophagogastric adenocarcinoma, ASCO/ESMO 2020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7E5383AA" w14:textId="5C99CDBE" w:rsidR="004C5BF1" w:rsidRPr="004C5BF1" w:rsidRDefault="004C5BF1" w:rsidP="004C5BF1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Al-Batran et al., Perioperative FLOT plus ramucirumab versus FLOT alone for resectable esophagogastric adenocarcinoma. Updated results and subgroup analyses of the randomized phase II/III trial RAMSES/FLOT7 of the German AIO and Italian GOIM, ASCO/ESMO 2020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64EF1514" w14:textId="4D08A3B3" w:rsidR="004C5BF1" w:rsidRPr="004C5BF1" w:rsidRDefault="004C5BF1" w:rsidP="004C5BF1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Al-Batran et al., 1429P - Pathological regression in patients with microsatellite instability (MSI) receiving perioperative atezolizumab in combination with FLOT vs. FLOT alone for resectable esophagogastric adenocarcinoma: Results from the DANTE trial of the German Gastric Group at the AIO and SAKK, 1429P ESMO 2021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3BBEFBC0" w14:textId="40AF8C2B" w:rsidR="004C5BF1" w:rsidRPr="004C5BF1" w:rsidRDefault="004C5BF1" w:rsidP="004C5BF1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r w:rsidRPr="004C5BF1">
        <w:rPr>
          <w:rFonts w:asciiTheme="minorHAnsi" w:hAnsiTheme="minorHAnsi" w:cstheme="minorHAnsi"/>
          <w:color w:val="000000"/>
          <w:szCs w:val="22"/>
          <w:lang w:val="en-GB" w:eastAsia="de-AT"/>
        </w:rPr>
        <w:t>Shitara et al., Nivolumab plus chemotherapy or ipilimumab in gastro-oesophageal cancer, Nature 2022; https://doi.org/10.1038/s41586-022-04508-4</w:t>
      </w:r>
      <w:r>
        <w:rPr>
          <w:rFonts w:asciiTheme="minorHAnsi" w:hAnsiTheme="minorHAnsi" w:cstheme="minorHAnsi"/>
          <w:color w:val="000000"/>
          <w:szCs w:val="22"/>
          <w:lang w:val="en-GB" w:eastAsia="de-AT"/>
        </w:rPr>
        <w:t>.</w:t>
      </w:r>
    </w:p>
    <w:p w14:paraId="2BFFC61F" w14:textId="6BD33FE7" w:rsidR="004C5BF1" w:rsidRDefault="004C5BF1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</w:p>
    <w:p w14:paraId="2247785B" w14:textId="3D4B4EB4" w:rsidR="004C5BF1" w:rsidRDefault="004C5BF1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</w:p>
    <w:p w14:paraId="0D17366C" w14:textId="77777777" w:rsidR="004C5BF1" w:rsidRPr="004C5BF1" w:rsidRDefault="004C5BF1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  <w:bookmarkStart w:id="56" w:name="_GoBack"/>
      <w:bookmarkEnd w:id="56"/>
    </w:p>
    <w:p w14:paraId="3892B1E7" w14:textId="77777777" w:rsidR="00FE743A" w:rsidRPr="00C16E49" w:rsidRDefault="00FE743A" w:rsidP="00FE743A">
      <w:pPr>
        <w:autoSpaceDE w:val="0"/>
        <w:autoSpaceDN w:val="0"/>
        <w:adjustRightInd w:val="0"/>
        <w:spacing w:before="60" w:after="200" w:line="240" w:lineRule="auto"/>
        <w:jc w:val="left"/>
        <w:rPr>
          <w:rFonts w:asciiTheme="minorHAnsi" w:hAnsiTheme="minorHAnsi" w:cstheme="minorHAnsi"/>
          <w:color w:val="000000"/>
          <w:szCs w:val="22"/>
          <w:lang w:val="en-GB" w:eastAsia="de-AT"/>
        </w:rPr>
      </w:pPr>
    </w:p>
    <w:p w14:paraId="23B7D117" w14:textId="58C1D906" w:rsidR="00A6435E" w:rsidRPr="00C16E49" w:rsidRDefault="00A6435E" w:rsidP="007F3064">
      <w:pPr>
        <w:pStyle w:val="berschrift1"/>
        <w:rPr>
          <w:lang w:val="en-GB"/>
        </w:rPr>
      </w:pPr>
      <w:bookmarkStart w:id="57" w:name="_Toc61872070"/>
      <w:bookmarkStart w:id="58" w:name="_Toc367183622"/>
      <w:bookmarkStart w:id="59" w:name="_Toc367183860"/>
      <w:r w:rsidRPr="00C16E49">
        <w:rPr>
          <w:lang w:val="en-GB"/>
        </w:rPr>
        <w:lastRenderedPageBreak/>
        <w:t>Anhang</w:t>
      </w:r>
      <w:r w:rsidR="00B96F18" w:rsidRPr="00C16E49">
        <w:rPr>
          <w:lang w:val="en-GB"/>
        </w:rPr>
        <w:t>:</w:t>
      </w:r>
      <w:r w:rsidRPr="00C16E49">
        <w:rPr>
          <w:lang w:val="en-GB"/>
        </w:rPr>
        <w:t xml:space="preserve"> Studienblatt</w:t>
      </w:r>
      <w:bookmarkEnd w:id="57"/>
      <w:r w:rsidR="00ED24ED" w:rsidRPr="00C16E49">
        <w:rPr>
          <w:lang w:val="en-GB"/>
        </w:rPr>
        <w:t xml:space="preserve"> </w:t>
      </w:r>
      <w:bookmarkEnd w:id="58"/>
      <w:bookmarkEnd w:id="59"/>
    </w:p>
    <w:p w14:paraId="23B7D118" w14:textId="43435FA1" w:rsidR="007F3064" w:rsidRPr="00C16E49" w:rsidRDefault="007F3064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  <w:lang w:val="en-GB"/>
        </w:rPr>
      </w:pPr>
    </w:p>
    <w:p w14:paraId="0AB869ED" w14:textId="5F20FA17" w:rsidR="0009680E" w:rsidRDefault="007C7079" w:rsidP="00350CB7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  <w:lang w:val="en-GB"/>
        </w:rPr>
      </w:pPr>
      <w:hyperlink r:id="rId25" w:history="1">
        <w:r w:rsidR="0009680E" w:rsidRPr="00350CB7">
          <w:rPr>
            <w:rStyle w:val="Hyperlink"/>
            <w:rFonts w:asciiTheme="minorHAnsi" w:hAnsiTheme="minorHAnsi" w:cstheme="minorHAnsi"/>
            <w:szCs w:val="22"/>
            <w:lang w:val="en-GB"/>
          </w:rPr>
          <w:t>Skyscraper</w:t>
        </w:r>
      </w:hyperlink>
      <w:r w:rsidR="0009680E" w:rsidRPr="00350CB7">
        <w:rPr>
          <w:rFonts w:asciiTheme="minorHAnsi" w:hAnsiTheme="minorHAnsi" w:cstheme="minorHAnsi"/>
          <w:szCs w:val="22"/>
          <w:lang w:val="en-GB"/>
        </w:rPr>
        <w:t xml:space="preserve">: </w:t>
      </w:r>
      <w:r w:rsidR="00350CB7" w:rsidRPr="00350CB7">
        <w:rPr>
          <w:rFonts w:asciiTheme="minorHAnsi" w:hAnsiTheme="minorHAnsi" w:cstheme="minorHAnsi"/>
          <w:szCs w:val="22"/>
          <w:lang w:val="en-GB"/>
        </w:rPr>
        <w:t>A Study of Atezolizumab With or Without Tiragolumab in Participants With Unresectable Locally Advanced Esophageal Squamous Cell Carcinoma (SKYSCRAPER-07)</w:t>
      </w:r>
      <w:r w:rsidR="00350CB7">
        <w:rPr>
          <w:rFonts w:asciiTheme="minorHAnsi" w:hAnsiTheme="minorHAnsi" w:cstheme="minorHAnsi"/>
          <w:szCs w:val="22"/>
          <w:lang w:val="en-GB"/>
        </w:rPr>
        <w:t>.</w:t>
      </w:r>
    </w:p>
    <w:p w14:paraId="300DE0F4" w14:textId="4429342B" w:rsidR="00350CB7" w:rsidRPr="00C16E49" w:rsidRDefault="00350CB7" w:rsidP="00350CB7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en-GB"/>
        </w:rPr>
        <w:tab/>
      </w:r>
      <w:r w:rsidRPr="00C16E49">
        <w:rPr>
          <w:rFonts w:asciiTheme="minorHAnsi" w:hAnsiTheme="minorHAnsi" w:cstheme="minorHAnsi"/>
          <w:szCs w:val="22"/>
        </w:rPr>
        <w:t>Ordensklinikum Linz</w:t>
      </w:r>
    </w:p>
    <w:p w14:paraId="7BC332FA" w14:textId="11CDBDBC" w:rsidR="00350CB7" w:rsidRPr="00350CB7" w:rsidRDefault="00350CB7" w:rsidP="00350CB7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C16E49">
        <w:rPr>
          <w:rFonts w:asciiTheme="minorHAnsi" w:hAnsiTheme="minorHAnsi" w:cstheme="minorHAnsi"/>
          <w:szCs w:val="22"/>
        </w:rPr>
        <w:tab/>
      </w:r>
      <w:r w:rsidRPr="00350CB7">
        <w:rPr>
          <w:rFonts w:asciiTheme="minorHAnsi" w:hAnsiTheme="minorHAnsi" w:cstheme="minorHAnsi"/>
          <w:szCs w:val="22"/>
        </w:rPr>
        <w:t>PI PD Dr. Holger Rumpold</w:t>
      </w:r>
    </w:p>
    <w:p w14:paraId="41405720" w14:textId="2FD2947A" w:rsidR="0009680E" w:rsidRDefault="0009680E" w:rsidP="00350CB7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3C96C7F7" w14:textId="77777777" w:rsidR="00A42C1A" w:rsidRPr="00350CB7" w:rsidRDefault="00A42C1A" w:rsidP="00350CB7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23B7D11A" w14:textId="77777777" w:rsidR="00A6435E" w:rsidRPr="00E344D4" w:rsidRDefault="00A6435E" w:rsidP="00775C98">
      <w:pPr>
        <w:pStyle w:val="berschrift1"/>
        <w:pBdr>
          <w:bottom w:val="single" w:sz="4" w:space="0" w:color="auto"/>
        </w:pBdr>
      </w:pPr>
      <w:bookmarkStart w:id="60" w:name="_Toc367183623"/>
      <w:bookmarkStart w:id="61" w:name="_Toc367183861"/>
      <w:bookmarkStart w:id="62" w:name="_Toc61872071"/>
      <w:r w:rsidRPr="00E344D4">
        <w:t>Anhang: Wirtschaftliche Analyse</w:t>
      </w:r>
      <w:r w:rsidR="00ED24ED">
        <w:t xml:space="preserve"> (optional)</w:t>
      </w:r>
      <w:bookmarkEnd w:id="60"/>
      <w:bookmarkEnd w:id="61"/>
      <w:bookmarkEnd w:id="62"/>
    </w:p>
    <w:p w14:paraId="23B7D11B" w14:textId="77777777" w:rsidR="00CF0EFD" w:rsidRPr="007F3064" w:rsidRDefault="00CF0EFD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sectPr w:rsidR="00CF0EFD" w:rsidRPr="007F3064" w:rsidSect="001D11C7">
      <w:headerReference w:type="even" r:id="rId26"/>
      <w:footerReference w:type="even" r:id="rId27"/>
      <w:headerReference w:type="first" r:id="rId28"/>
      <w:footerReference w:type="first" r:id="rId29"/>
      <w:pgSz w:w="11906" w:h="16838"/>
      <w:pgMar w:top="743" w:right="1106" w:bottom="1134" w:left="1418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D134" w14:textId="77777777" w:rsidR="00222D18" w:rsidRDefault="00222D18">
      <w:r>
        <w:separator/>
      </w:r>
    </w:p>
    <w:p w14:paraId="23B7D135" w14:textId="77777777" w:rsidR="00222D18" w:rsidRDefault="00222D18"/>
  </w:endnote>
  <w:endnote w:type="continuationSeparator" w:id="0">
    <w:p w14:paraId="23B7D136" w14:textId="77777777" w:rsidR="00222D18" w:rsidRDefault="00222D18">
      <w:r>
        <w:continuationSeparator/>
      </w:r>
    </w:p>
    <w:p w14:paraId="23B7D137" w14:textId="77777777" w:rsidR="00222D18" w:rsidRDefault="00222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0" w14:textId="524A70EB" w:rsidR="00222D18" w:rsidRDefault="00222D18" w:rsidP="00951BE2">
    <w:pPr>
      <w:pStyle w:val="Fuzeile"/>
      <w:pBdr>
        <w:top w:val="single" w:sz="4" w:space="1" w:color="000000"/>
      </w:pBdr>
      <w:tabs>
        <w:tab w:val="clear" w:pos="9072"/>
        <w:tab w:val="right" w:pos="9356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C7079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7C7079">
      <w:rPr>
        <w:noProof/>
        <w:sz w:val="18"/>
        <w:szCs w:val="18"/>
      </w:rPr>
      <w:t>16</w:t>
    </w:r>
    <w:r>
      <w:rPr>
        <w:sz w:val="18"/>
        <w:szCs w:val="18"/>
      </w:rPr>
      <w:fldChar w:fldCharType="end"/>
    </w:r>
  </w:p>
  <w:p w14:paraId="23B7D141" w14:textId="77777777" w:rsidR="00222D18" w:rsidRPr="00B6342E" w:rsidRDefault="00222D18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3" w14:textId="50963076" w:rsidR="00222D18" w:rsidRDefault="00222D18">
    <w:pPr>
      <w:pStyle w:val="Fuzeile"/>
      <w:jc w:val="left"/>
    </w:pPr>
    <w:r>
      <w:rPr>
        <w:snapToGrid w:val="0"/>
        <w:sz w:val="18"/>
      </w:rPr>
      <w:t xml:space="preserve">Abgelegt in: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7C7079">
      <w:rPr>
        <w:noProof/>
        <w:snapToGrid w:val="0"/>
        <w:sz w:val="18"/>
      </w:rPr>
      <w:t>https://ooeg.info/dokumente/Lists/KH_Tumorzentrum_Extern/Leitlinie Ösophaguskarzinom.docx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5" w14:textId="77777777" w:rsidR="00222D18" w:rsidRDefault="00222D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7" w14:textId="77777777" w:rsidR="00222D18" w:rsidRDefault="00222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D130" w14:textId="77777777" w:rsidR="00222D18" w:rsidRDefault="00222D18">
      <w:r>
        <w:separator/>
      </w:r>
    </w:p>
    <w:p w14:paraId="23B7D131" w14:textId="77777777" w:rsidR="00222D18" w:rsidRDefault="00222D18"/>
  </w:footnote>
  <w:footnote w:type="continuationSeparator" w:id="0">
    <w:p w14:paraId="23B7D132" w14:textId="77777777" w:rsidR="00222D18" w:rsidRDefault="00222D18">
      <w:r>
        <w:continuationSeparator/>
      </w:r>
    </w:p>
    <w:p w14:paraId="23B7D133" w14:textId="77777777" w:rsidR="00222D18" w:rsidRDefault="00222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38" w14:textId="334CBB25" w:rsidR="00222D18" w:rsidRDefault="00222D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7079">
      <w:rPr>
        <w:rStyle w:val="Seitenzahl"/>
        <w:noProof/>
      </w:rPr>
      <w:t>16</w:t>
    </w:r>
    <w:r>
      <w:rPr>
        <w:rStyle w:val="Seitenzahl"/>
      </w:rPr>
      <w:fldChar w:fldCharType="end"/>
    </w:r>
  </w:p>
  <w:p w14:paraId="23B7D139" w14:textId="77777777" w:rsidR="00222D18" w:rsidRDefault="00222D1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118"/>
      <w:gridCol w:w="3543"/>
    </w:tblGrid>
    <w:tr w:rsidR="00222D18" w14:paraId="23B7D13E" w14:textId="77777777" w:rsidTr="00C059DB">
      <w:tc>
        <w:tcPr>
          <w:tcW w:w="3687" w:type="dxa"/>
        </w:tcPr>
        <w:p w14:paraId="23B7D13A" w14:textId="77777777" w:rsidR="00222D18" w:rsidRDefault="00222D18" w:rsidP="00321482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-74" w:right="357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23B7D148" wp14:editId="23B7D149">
                <wp:extent cx="1080760" cy="469557"/>
                <wp:effectExtent l="0" t="0" r="5715" b="6985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23B7D13B" w14:textId="77777777" w:rsidR="00222D18" w:rsidRDefault="00222D18" w:rsidP="00321482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14:paraId="23B7D13C" w14:textId="77777777" w:rsidR="00222D18" w:rsidRDefault="00222D18" w:rsidP="00321482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543" w:type="dxa"/>
          <w:vAlign w:val="center"/>
        </w:tcPr>
        <w:p w14:paraId="23B7D13D" w14:textId="77777777" w:rsidR="00222D18" w:rsidRDefault="00222D18" w:rsidP="00321482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Leitlinie</w:t>
          </w:r>
          <w:r w:rsidRPr="008544D2">
            <w:rPr>
              <w:rFonts w:cs="Arial"/>
              <w:b/>
              <w:sz w:val="18"/>
              <w:szCs w:val="18"/>
              <w:lang w:val="de-DE" w:eastAsia="ar-SA"/>
            </w:rPr>
            <w:br/>
          </w:r>
          <w:sdt>
            <w:sdtPr>
              <w:rPr>
                <w:rFonts w:cs="Arial"/>
                <w:sz w:val="18"/>
                <w:szCs w:val="18"/>
                <w:lang w:val="de-DE" w:eastAsia="ar-SA"/>
              </w:rPr>
              <w:alias w:val="Titel"/>
              <w:tag w:val=""/>
              <w:id w:val="-42180175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cs="Arial"/>
                  <w:sz w:val="18"/>
                  <w:szCs w:val="18"/>
                  <w:lang w:val="de-DE" w:eastAsia="ar-SA"/>
                </w:rPr>
                <w:t>Ösophaguskarzinom</w:t>
              </w:r>
            </w:sdtContent>
          </w:sdt>
        </w:p>
      </w:tc>
    </w:tr>
  </w:tbl>
  <w:p w14:paraId="23B7D13F" w14:textId="77777777" w:rsidR="00222D18" w:rsidRDefault="00222D18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2" w14:textId="6A497821" w:rsidR="00222D18" w:rsidRDefault="00222D18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 wp14:anchorId="23B7D14A" wp14:editId="23B7D14B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3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7C7079">
      <w:rPr>
        <w:rStyle w:val="Seitenzahl"/>
        <w:noProof/>
        <w:sz w:val="18"/>
      </w:rPr>
      <w:t>16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7C7079">
      <w:rPr>
        <w:rStyle w:val="Seitenzahl"/>
        <w:noProof/>
        <w:sz w:val="18"/>
      </w:rPr>
      <w:t>16</w:t>
    </w:r>
    <w:r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4" w14:textId="77777777" w:rsidR="00222D18" w:rsidRDefault="00222D1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D146" w14:textId="77777777" w:rsidR="00222D18" w:rsidRDefault="00222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0CD"/>
    <w:multiLevelType w:val="multilevel"/>
    <w:tmpl w:val="6CC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B1A54"/>
    <w:multiLevelType w:val="hybridMultilevel"/>
    <w:tmpl w:val="C2420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3" w15:restartNumberingAfterBreak="0">
    <w:nsid w:val="14412748"/>
    <w:multiLevelType w:val="multilevel"/>
    <w:tmpl w:val="44EC7A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9E5249C"/>
    <w:multiLevelType w:val="hybridMultilevel"/>
    <w:tmpl w:val="6F9C4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32E"/>
    <w:multiLevelType w:val="hybridMultilevel"/>
    <w:tmpl w:val="FE1290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4C54"/>
    <w:multiLevelType w:val="hybridMultilevel"/>
    <w:tmpl w:val="FF4234CE"/>
    <w:lvl w:ilvl="0" w:tplc="0C07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23B6883"/>
    <w:multiLevelType w:val="multilevel"/>
    <w:tmpl w:val="4E3E2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F5B52"/>
    <w:multiLevelType w:val="hybridMultilevel"/>
    <w:tmpl w:val="6930C70C"/>
    <w:lvl w:ilvl="0" w:tplc="ADC04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05531"/>
    <w:multiLevelType w:val="multilevel"/>
    <w:tmpl w:val="E1D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2325D"/>
    <w:multiLevelType w:val="multilevel"/>
    <w:tmpl w:val="AF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17D47"/>
    <w:multiLevelType w:val="hybridMultilevel"/>
    <w:tmpl w:val="E6E0B048"/>
    <w:lvl w:ilvl="0" w:tplc="F91E9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2631"/>
    <w:multiLevelType w:val="multilevel"/>
    <w:tmpl w:val="B76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B7458"/>
    <w:multiLevelType w:val="multilevel"/>
    <w:tmpl w:val="58D8CB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1E91158"/>
    <w:multiLevelType w:val="multilevel"/>
    <w:tmpl w:val="0A5CEA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B223A4"/>
    <w:multiLevelType w:val="multilevel"/>
    <w:tmpl w:val="0A3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13088"/>
    <w:multiLevelType w:val="multilevel"/>
    <w:tmpl w:val="3FA298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EA5CB6"/>
    <w:multiLevelType w:val="hybridMultilevel"/>
    <w:tmpl w:val="97A2B4A0"/>
    <w:lvl w:ilvl="0" w:tplc="CF1CD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4799F"/>
    <w:multiLevelType w:val="hybridMultilevel"/>
    <w:tmpl w:val="918A0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B5428"/>
    <w:multiLevelType w:val="hybridMultilevel"/>
    <w:tmpl w:val="939AF7C4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A9C6A45"/>
    <w:multiLevelType w:val="multilevel"/>
    <w:tmpl w:val="31D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F62BF"/>
    <w:multiLevelType w:val="hybridMultilevel"/>
    <w:tmpl w:val="E6528B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1FCC"/>
    <w:multiLevelType w:val="multilevel"/>
    <w:tmpl w:val="5A0AC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B50A35"/>
    <w:multiLevelType w:val="multilevel"/>
    <w:tmpl w:val="B0D8D0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68A4B05"/>
    <w:multiLevelType w:val="hybridMultilevel"/>
    <w:tmpl w:val="4DC056D0"/>
    <w:lvl w:ilvl="0" w:tplc="C19C284C">
      <w:start w:val="1"/>
      <w:numFmt w:val="lowerLetter"/>
      <w:lvlText w:val="%1.)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78924452"/>
    <w:multiLevelType w:val="multilevel"/>
    <w:tmpl w:val="7EC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F1844"/>
    <w:multiLevelType w:val="multilevel"/>
    <w:tmpl w:val="4A6228D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5"/>
  </w:num>
  <w:num w:numId="5">
    <w:abstractNumId w:val="25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8"/>
  </w:num>
  <w:num w:numId="15">
    <w:abstractNumId w:val="16"/>
  </w:num>
  <w:num w:numId="16">
    <w:abstractNumId w:val="7"/>
  </w:num>
  <w:num w:numId="17">
    <w:abstractNumId w:val="3"/>
  </w:num>
  <w:num w:numId="18">
    <w:abstractNumId w:val="22"/>
  </w:num>
  <w:num w:numId="19">
    <w:abstractNumId w:val="22"/>
  </w:num>
  <w:num w:numId="20">
    <w:abstractNumId w:val="11"/>
  </w:num>
  <w:num w:numId="21">
    <w:abstractNumId w:val="13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8"/>
  </w:num>
  <w:num w:numId="30">
    <w:abstractNumId w:val="4"/>
  </w:num>
  <w:num w:numId="31">
    <w:abstractNumId w:val="23"/>
  </w:num>
  <w:num w:numId="32">
    <w:abstractNumId w:val="24"/>
  </w:num>
  <w:num w:numId="33">
    <w:abstractNumId w:val="14"/>
  </w:num>
  <w:num w:numId="34">
    <w:abstractNumId w:val="23"/>
  </w:num>
  <w:num w:numId="35">
    <w:abstractNumId w:val="23"/>
  </w:num>
  <w:num w:numId="36">
    <w:abstractNumId w:val="23"/>
  </w:num>
  <w:num w:numId="37">
    <w:abstractNumId w:val="19"/>
  </w:num>
  <w:num w:numId="38">
    <w:abstractNumId w:val="1"/>
  </w:num>
  <w:num w:numId="3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7"/>
    <w:rsid w:val="00003374"/>
    <w:rsid w:val="000046F3"/>
    <w:rsid w:val="0000548C"/>
    <w:rsid w:val="00007A0D"/>
    <w:rsid w:val="0002186C"/>
    <w:rsid w:val="000272D9"/>
    <w:rsid w:val="00030D42"/>
    <w:rsid w:val="000419D3"/>
    <w:rsid w:val="00045ABC"/>
    <w:rsid w:val="00065387"/>
    <w:rsid w:val="000660ED"/>
    <w:rsid w:val="00074CF6"/>
    <w:rsid w:val="00085217"/>
    <w:rsid w:val="00090105"/>
    <w:rsid w:val="000936FE"/>
    <w:rsid w:val="0009476C"/>
    <w:rsid w:val="00094B39"/>
    <w:rsid w:val="0009680E"/>
    <w:rsid w:val="000A2694"/>
    <w:rsid w:val="000B57DC"/>
    <w:rsid w:val="000C1C85"/>
    <w:rsid w:val="000D4365"/>
    <w:rsid w:val="000D4640"/>
    <w:rsid w:val="000D5C01"/>
    <w:rsid w:val="000E3D2C"/>
    <w:rsid w:val="000E3EFA"/>
    <w:rsid w:val="000F3622"/>
    <w:rsid w:val="00105C03"/>
    <w:rsid w:val="00115BB4"/>
    <w:rsid w:val="00134DD4"/>
    <w:rsid w:val="00137388"/>
    <w:rsid w:val="001448E2"/>
    <w:rsid w:val="00147C43"/>
    <w:rsid w:val="00156BD6"/>
    <w:rsid w:val="0016193C"/>
    <w:rsid w:val="00170FFF"/>
    <w:rsid w:val="00183CD1"/>
    <w:rsid w:val="001876E7"/>
    <w:rsid w:val="00190D48"/>
    <w:rsid w:val="00195521"/>
    <w:rsid w:val="001A336E"/>
    <w:rsid w:val="001B222A"/>
    <w:rsid w:val="001C32B0"/>
    <w:rsid w:val="001C5212"/>
    <w:rsid w:val="001C7737"/>
    <w:rsid w:val="001D11C7"/>
    <w:rsid w:val="001D34A4"/>
    <w:rsid w:val="001F2BEC"/>
    <w:rsid w:val="001F65CD"/>
    <w:rsid w:val="00205CEF"/>
    <w:rsid w:val="00212248"/>
    <w:rsid w:val="00217C51"/>
    <w:rsid w:val="002201ED"/>
    <w:rsid w:val="00222D18"/>
    <w:rsid w:val="00245C0B"/>
    <w:rsid w:val="00250E53"/>
    <w:rsid w:val="00257B22"/>
    <w:rsid w:val="002622DC"/>
    <w:rsid w:val="002758C3"/>
    <w:rsid w:val="002777A0"/>
    <w:rsid w:val="002814DF"/>
    <w:rsid w:val="00295918"/>
    <w:rsid w:val="00297932"/>
    <w:rsid w:val="002A2023"/>
    <w:rsid w:val="002A5177"/>
    <w:rsid w:val="002B6078"/>
    <w:rsid w:val="002B7F34"/>
    <w:rsid w:val="002C14FF"/>
    <w:rsid w:val="002C26D0"/>
    <w:rsid w:val="002D3080"/>
    <w:rsid w:val="002D49A4"/>
    <w:rsid w:val="002D524B"/>
    <w:rsid w:val="002E4DD8"/>
    <w:rsid w:val="002E7743"/>
    <w:rsid w:val="002F296D"/>
    <w:rsid w:val="002F60E7"/>
    <w:rsid w:val="003050D6"/>
    <w:rsid w:val="00313B47"/>
    <w:rsid w:val="00315002"/>
    <w:rsid w:val="00315792"/>
    <w:rsid w:val="00321482"/>
    <w:rsid w:val="00327D55"/>
    <w:rsid w:val="00330AFE"/>
    <w:rsid w:val="00332A40"/>
    <w:rsid w:val="00340ADF"/>
    <w:rsid w:val="00350CB7"/>
    <w:rsid w:val="00355822"/>
    <w:rsid w:val="00366104"/>
    <w:rsid w:val="00393CA8"/>
    <w:rsid w:val="00395EFE"/>
    <w:rsid w:val="003A06DD"/>
    <w:rsid w:val="003A4701"/>
    <w:rsid w:val="003A70E3"/>
    <w:rsid w:val="003C182E"/>
    <w:rsid w:val="003C4308"/>
    <w:rsid w:val="003C5111"/>
    <w:rsid w:val="003C6310"/>
    <w:rsid w:val="003D245A"/>
    <w:rsid w:val="003D779B"/>
    <w:rsid w:val="003E34A4"/>
    <w:rsid w:val="003F16FB"/>
    <w:rsid w:val="003F1EA9"/>
    <w:rsid w:val="003F4C9C"/>
    <w:rsid w:val="004252AA"/>
    <w:rsid w:val="004326E6"/>
    <w:rsid w:val="00433153"/>
    <w:rsid w:val="00442668"/>
    <w:rsid w:val="00454F3B"/>
    <w:rsid w:val="0045594E"/>
    <w:rsid w:val="00470F84"/>
    <w:rsid w:val="00473B56"/>
    <w:rsid w:val="00480033"/>
    <w:rsid w:val="00486C3A"/>
    <w:rsid w:val="00491093"/>
    <w:rsid w:val="0049768A"/>
    <w:rsid w:val="004B10F2"/>
    <w:rsid w:val="004B61B2"/>
    <w:rsid w:val="004C5BF1"/>
    <w:rsid w:val="004D5CA7"/>
    <w:rsid w:val="004D7350"/>
    <w:rsid w:val="004E45E4"/>
    <w:rsid w:val="004E7FC0"/>
    <w:rsid w:val="004F0D6D"/>
    <w:rsid w:val="004F2D21"/>
    <w:rsid w:val="005107EB"/>
    <w:rsid w:val="005163F4"/>
    <w:rsid w:val="00516467"/>
    <w:rsid w:val="00522EE8"/>
    <w:rsid w:val="00522FFB"/>
    <w:rsid w:val="0052400C"/>
    <w:rsid w:val="00524A45"/>
    <w:rsid w:val="00534643"/>
    <w:rsid w:val="00545067"/>
    <w:rsid w:val="00553965"/>
    <w:rsid w:val="00556683"/>
    <w:rsid w:val="00565BC1"/>
    <w:rsid w:val="005663D5"/>
    <w:rsid w:val="005716B3"/>
    <w:rsid w:val="005847E4"/>
    <w:rsid w:val="005915C3"/>
    <w:rsid w:val="00592BA2"/>
    <w:rsid w:val="00594D56"/>
    <w:rsid w:val="005973BD"/>
    <w:rsid w:val="005A3EDD"/>
    <w:rsid w:val="005C2135"/>
    <w:rsid w:val="005C5568"/>
    <w:rsid w:val="005D23B9"/>
    <w:rsid w:val="005D5403"/>
    <w:rsid w:val="005E0058"/>
    <w:rsid w:val="00601C83"/>
    <w:rsid w:val="0061336E"/>
    <w:rsid w:val="0062318C"/>
    <w:rsid w:val="00632D4B"/>
    <w:rsid w:val="00632D8C"/>
    <w:rsid w:val="00637DE9"/>
    <w:rsid w:val="00655023"/>
    <w:rsid w:val="00670B44"/>
    <w:rsid w:val="0067150E"/>
    <w:rsid w:val="00671A8B"/>
    <w:rsid w:val="00682FD0"/>
    <w:rsid w:val="00692B69"/>
    <w:rsid w:val="00694398"/>
    <w:rsid w:val="006A0570"/>
    <w:rsid w:val="006A4845"/>
    <w:rsid w:val="006A5DF9"/>
    <w:rsid w:val="006B7830"/>
    <w:rsid w:val="006C5EB4"/>
    <w:rsid w:val="006D4DAC"/>
    <w:rsid w:val="006D5098"/>
    <w:rsid w:val="006D6C87"/>
    <w:rsid w:val="006E20C5"/>
    <w:rsid w:val="006E2DDF"/>
    <w:rsid w:val="006F62A1"/>
    <w:rsid w:val="00701184"/>
    <w:rsid w:val="007132F1"/>
    <w:rsid w:val="007153C6"/>
    <w:rsid w:val="007172A6"/>
    <w:rsid w:val="0072186C"/>
    <w:rsid w:val="00727E33"/>
    <w:rsid w:val="00733408"/>
    <w:rsid w:val="00734878"/>
    <w:rsid w:val="00746A20"/>
    <w:rsid w:val="007473D9"/>
    <w:rsid w:val="00761919"/>
    <w:rsid w:val="00762661"/>
    <w:rsid w:val="00775C98"/>
    <w:rsid w:val="00784585"/>
    <w:rsid w:val="0078505D"/>
    <w:rsid w:val="00793157"/>
    <w:rsid w:val="00794700"/>
    <w:rsid w:val="007C18C9"/>
    <w:rsid w:val="007C67EA"/>
    <w:rsid w:val="007C6B29"/>
    <w:rsid w:val="007C7079"/>
    <w:rsid w:val="007D3574"/>
    <w:rsid w:val="007F0A54"/>
    <w:rsid w:val="007F3064"/>
    <w:rsid w:val="007F33B5"/>
    <w:rsid w:val="00800B21"/>
    <w:rsid w:val="0080606E"/>
    <w:rsid w:val="008128B7"/>
    <w:rsid w:val="00822E59"/>
    <w:rsid w:val="0083578C"/>
    <w:rsid w:val="00836EC1"/>
    <w:rsid w:val="00837FDE"/>
    <w:rsid w:val="00840310"/>
    <w:rsid w:val="008456E6"/>
    <w:rsid w:val="008544D2"/>
    <w:rsid w:val="00864E4B"/>
    <w:rsid w:val="00875ABC"/>
    <w:rsid w:val="008772E0"/>
    <w:rsid w:val="008775DC"/>
    <w:rsid w:val="00880061"/>
    <w:rsid w:val="00880B3B"/>
    <w:rsid w:val="008972CA"/>
    <w:rsid w:val="008A1E23"/>
    <w:rsid w:val="008A3694"/>
    <w:rsid w:val="008A3F3E"/>
    <w:rsid w:val="008A4BE8"/>
    <w:rsid w:val="008A4E9F"/>
    <w:rsid w:val="008A602E"/>
    <w:rsid w:val="008A7324"/>
    <w:rsid w:val="008B2595"/>
    <w:rsid w:val="008B2917"/>
    <w:rsid w:val="008E2288"/>
    <w:rsid w:val="008E2521"/>
    <w:rsid w:val="008F3C62"/>
    <w:rsid w:val="008F42AC"/>
    <w:rsid w:val="008F4427"/>
    <w:rsid w:val="008F4D5E"/>
    <w:rsid w:val="00900461"/>
    <w:rsid w:val="00913D1D"/>
    <w:rsid w:val="009229DF"/>
    <w:rsid w:val="00925241"/>
    <w:rsid w:val="00932ADE"/>
    <w:rsid w:val="009334F5"/>
    <w:rsid w:val="00934CFE"/>
    <w:rsid w:val="00942705"/>
    <w:rsid w:val="0094434D"/>
    <w:rsid w:val="0095092F"/>
    <w:rsid w:val="00951BE2"/>
    <w:rsid w:val="0096697B"/>
    <w:rsid w:val="0096742E"/>
    <w:rsid w:val="00973270"/>
    <w:rsid w:val="009879DF"/>
    <w:rsid w:val="0099254E"/>
    <w:rsid w:val="009952D0"/>
    <w:rsid w:val="00996D15"/>
    <w:rsid w:val="009A01D6"/>
    <w:rsid w:val="009A4ED1"/>
    <w:rsid w:val="009B6C5D"/>
    <w:rsid w:val="009B7854"/>
    <w:rsid w:val="009C1F85"/>
    <w:rsid w:val="009C39DC"/>
    <w:rsid w:val="009C6C4F"/>
    <w:rsid w:val="009D5241"/>
    <w:rsid w:val="009D706D"/>
    <w:rsid w:val="009F26B7"/>
    <w:rsid w:val="00A00B35"/>
    <w:rsid w:val="00A14D36"/>
    <w:rsid w:val="00A24E96"/>
    <w:rsid w:val="00A34AB1"/>
    <w:rsid w:val="00A36123"/>
    <w:rsid w:val="00A42C1A"/>
    <w:rsid w:val="00A4666C"/>
    <w:rsid w:val="00A6435E"/>
    <w:rsid w:val="00A676A7"/>
    <w:rsid w:val="00A75FBB"/>
    <w:rsid w:val="00A76551"/>
    <w:rsid w:val="00A83F59"/>
    <w:rsid w:val="00A91873"/>
    <w:rsid w:val="00A91ACF"/>
    <w:rsid w:val="00AA0D47"/>
    <w:rsid w:val="00AA5041"/>
    <w:rsid w:val="00AA7014"/>
    <w:rsid w:val="00AA75A2"/>
    <w:rsid w:val="00AA76DB"/>
    <w:rsid w:val="00AA7B86"/>
    <w:rsid w:val="00AB010D"/>
    <w:rsid w:val="00AB20C4"/>
    <w:rsid w:val="00AC7335"/>
    <w:rsid w:val="00AD1B8D"/>
    <w:rsid w:val="00AE6224"/>
    <w:rsid w:val="00AE7061"/>
    <w:rsid w:val="00AF2382"/>
    <w:rsid w:val="00B00C98"/>
    <w:rsid w:val="00B03BE3"/>
    <w:rsid w:val="00B074C4"/>
    <w:rsid w:val="00B40D3E"/>
    <w:rsid w:val="00B4744B"/>
    <w:rsid w:val="00B530BE"/>
    <w:rsid w:val="00B547D4"/>
    <w:rsid w:val="00B558AF"/>
    <w:rsid w:val="00B63247"/>
    <w:rsid w:val="00B6342E"/>
    <w:rsid w:val="00B76073"/>
    <w:rsid w:val="00B76C7B"/>
    <w:rsid w:val="00B80CD1"/>
    <w:rsid w:val="00B96F18"/>
    <w:rsid w:val="00BA6342"/>
    <w:rsid w:val="00BA6712"/>
    <w:rsid w:val="00BA6854"/>
    <w:rsid w:val="00BB0871"/>
    <w:rsid w:val="00BB2D1D"/>
    <w:rsid w:val="00BB5FE2"/>
    <w:rsid w:val="00BC44EB"/>
    <w:rsid w:val="00BD259B"/>
    <w:rsid w:val="00BD2FE2"/>
    <w:rsid w:val="00BD40FD"/>
    <w:rsid w:val="00BE70AC"/>
    <w:rsid w:val="00C02676"/>
    <w:rsid w:val="00C03D56"/>
    <w:rsid w:val="00C059DB"/>
    <w:rsid w:val="00C12E87"/>
    <w:rsid w:val="00C16E49"/>
    <w:rsid w:val="00C206CC"/>
    <w:rsid w:val="00C26F7E"/>
    <w:rsid w:val="00C34CAA"/>
    <w:rsid w:val="00C4297A"/>
    <w:rsid w:val="00C43598"/>
    <w:rsid w:val="00C44FC8"/>
    <w:rsid w:val="00C46AF6"/>
    <w:rsid w:val="00C47A83"/>
    <w:rsid w:val="00C529CA"/>
    <w:rsid w:val="00C53F68"/>
    <w:rsid w:val="00C54708"/>
    <w:rsid w:val="00C67B72"/>
    <w:rsid w:val="00C709F4"/>
    <w:rsid w:val="00C70AA2"/>
    <w:rsid w:val="00C758E7"/>
    <w:rsid w:val="00C80423"/>
    <w:rsid w:val="00C804A6"/>
    <w:rsid w:val="00C81BA8"/>
    <w:rsid w:val="00C81EF5"/>
    <w:rsid w:val="00C84A1A"/>
    <w:rsid w:val="00C86F05"/>
    <w:rsid w:val="00C90FB9"/>
    <w:rsid w:val="00CA17CA"/>
    <w:rsid w:val="00CA1CF7"/>
    <w:rsid w:val="00CA42F6"/>
    <w:rsid w:val="00CA5AAA"/>
    <w:rsid w:val="00CA5BB7"/>
    <w:rsid w:val="00CA75DF"/>
    <w:rsid w:val="00CB63CB"/>
    <w:rsid w:val="00CD5570"/>
    <w:rsid w:val="00CD6389"/>
    <w:rsid w:val="00CD7883"/>
    <w:rsid w:val="00CE09EE"/>
    <w:rsid w:val="00CE59DE"/>
    <w:rsid w:val="00CE5F88"/>
    <w:rsid w:val="00CF0EFD"/>
    <w:rsid w:val="00CF3031"/>
    <w:rsid w:val="00D02334"/>
    <w:rsid w:val="00D03B7B"/>
    <w:rsid w:val="00D04263"/>
    <w:rsid w:val="00D1076F"/>
    <w:rsid w:val="00D353D6"/>
    <w:rsid w:val="00D40BC9"/>
    <w:rsid w:val="00D570ED"/>
    <w:rsid w:val="00D57BD9"/>
    <w:rsid w:val="00D57F20"/>
    <w:rsid w:val="00D60E5E"/>
    <w:rsid w:val="00D777C4"/>
    <w:rsid w:val="00D923DA"/>
    <w:rsid w:val="00D960A9"/>
    <w:rsid w:val="00DA0C18"/>
    <w:rsid w:val="00DA66BB"/>
    <w:rsid w:val="00DA784B"/>
    <w:rsid w:val="00DB198C"/>
    <w:rsid w:val="00DB3D99"/>
    <w:rsid w:val="00DB3EB6"/>
    <w:rsid w:val="00DB4F7E"/>
    <w:rsid w:val="00DB67BC"/>
    <w:rsid w:val="00DC54E7"/>
    <w:rsid w:val="00DC65EB"/>
    <w:rsid w:val="00DD470E"/>
    <w:rsid w:val="00DD7B03"/>
    <w:rsid w:val="00DE66B6"/>
    <w:rsid w:val="00DF4013"/>
    <w:rsid w:val="00DF4634"/>
    <w:rsid w:val="00DF62C6"/>
    <w:rsid w:val="00E0353C"/>
    <w:rsid w:val="00E036CC"/>
    <w:rsid w:val="00E10BB8"/>
    <w:rsid w:val="00E12F9B"/>
    <w:rsid w:val="00E13961"/>
    <w:rsid w:val="00E21ED7"/>
    <w:rsid w:val="00E23732"/>
    <w:rsid w:val="00E3343C"/>
    <w:rsid w:val="00E344D4"/>
    <w:rsid w:val="00E434B5"/>
    <w:rsid w:val="00E475D2"/>
    <w:rsid w:val="00E55456"/>
    <w:rsid w:val="00E62655"/>
    <w:rsid w:val="00E63272"/>
    <w:rsid w:val="00E67988"/>
    <w:rsid w:val="00E7074C"/>
    <w:rsid w:val="00E9650F"/>
    <w:rsid w:val="00EB4B73"/>
    <w:rsid w:val="00EC00DC"/>
    <w:rsid w:val="00EC7D7A"/>
    <w:rsid w:val="00ED24ED"/>
    <w:rsid w:val="00EE2D5D"/>
    <w:rsid w:val="00EE38C0"/>
    <w:rsid w:val="00EF0F48"/>
    <w:rsid w:val="00EF3F60"/>
    <w:rsid w:val="00EF46F8"/>
    <w:rsid w:val="00F06BFA"/>
    <w:rsid w:val="00F075B2"/>
    <w:rsid w:val="00F16865"/>
    <w:rsid w:val="00F175F8"/>
    <w:rsid w:val="00F31FAD"/>
    <w:rsid w:val="00F34A58"/>
    <w:rsid w:val="00F40751"/>
    <w:rsid w:val="00F443D5"/>
    <w:rsid w:val="00F54D35"/>
    <w:rsid w:val="00F55814"/>
    <w:rsid w:val="00F55B3C"/>
    <w:rsid w:val="00F57DA1"/>
    <w:rsid w:val="00F643D0"/>
    <w:rsid w:val="00F66399"/>
    <w:rsid w:val="00F70285"/>
    <w:rsid w:val="00F72AC8"/>
    <w:rsid w:val="00F73C57"/>
    <w:rsid w:val="00F74762"/>
    <w:rsid w:val="00F74E28"/>
    <w:rsid w:val="00F942CB"/>
    <w:rsid w:val="00FA0941"/>
    <w:rsid w:val="00FA2A89"/>
    <w:rsid w:val="00FA3F12"/>
    <w:rsid w:val="00FA5241"/>
    <w:rsid w:val="00FD6D58"/>
    <w:rsid w:val="00FE4C14"/>
    <w:rsid w:val="00FE743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3B7CE83"/>
  <w15:docId w15:val="{34256506-375E-4F82-B9B3-AD2B2D5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7F3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9650F"/>
    <w:pPr>
      <w:keepNext/>
      <w:spacing w:before="240" w:after="60"/>
      <w:ind w:left="576" w:hanging="576"/>
      <w:jc w:val="both"/>
      <w:outlineLvl w:val="1"/>
    </w:pPr>
    <w:rPr>
      <w:rFonts w:cs="Arial"/>
      <w:b/>
      <w:bCs/>
      <w:i/>
      <w:iCs/>
      <w:sz w:val="24"/>
      <w:szCs w:val="24"/>
      <w:lang w:val="en-GB"/>
    </w:rPr>
  </w:style>
  <w:style w:type="paragraph" w:styleId="berschrift3">
    <w:name w:val="heading 3"/>
    <w:basedOn w:val="Standard"/>
    <w:next w:val="Standard"/>
    <w:qFormat/>
    <w:rsid w:val="00EF3F60"/>
    <w:pPr>
      <w:keepNext/>
      <w:numPr>
        <w:ilvl w:val="2"/>
        <w:numId w:val="31"/>
      </w:numPr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C182E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7F3064"/>
    <w:pPr>
      <w:spacing w:after="100"/>
    </w:p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D777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692B69"/>
    <w:pPr>
      <w:tabs>
        <w:tab w:val="left" w:pos="1418"/>
        <w:tab w:val="right" w:leader="dot" w:pos="9372"/>
      </w:tabs>
      <w:spacing w:after="100" w:line="276" w:lineRule="auto"/>
      <w:ind w:left="440"/>
      <w:jc w:val="both"/>
    </w:pPr>
  </w:style>
  <w:style w:type="character" w:styleId="Kommentarzeichen">
    <w:name w:val="annotation reference"/>
    <w:basedOn w:val="Absatz-Standardschriftart"/>
    <w:rsid w:val="00AA75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75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A75A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A7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75A2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21482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5B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4C5BF1"/>
  </w:style>
  <w:style w:type="character" w:customStyle="1" w:styleId="ezstring-field">
    <w:name w:val="ezstring-field"/>
    <w:basedOn w:val="Absatz-Standardschriftart"/>
    <w:rsid w:val="004C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gif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gi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s://clinicaltrials.gov/ct2/show/NCT0454361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gi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gi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6.gif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9.gif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1CD9AAA8D4651B2F1E88EC3F3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0E4C-8C59-41B4-98FC-5B0767FAB110}"/>
      </w:docPartPr>
      <w:docPartBody>
        <w:p w:rsidR="00C9385A" w:rsidRDefault="00741567">
          <w:pPr>
            <w:pStyle w:val="2051CD9AAA8D4651B2F1E88EC3F37254"/>
          </w:pPr>
          <w:r w:rsidRPr="00EC3CF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85A"/>
    <w:rsid w:val="00030071"/>
    <w:rsid w:val="000808FE"/>
    <w:rsid w:val="000F0598"/>
    <w:rsid w:val="00106E28"/>
    <w:rsid w:val="001414A1"/>
    <w:rsid w:val="00172754"/>
    <w:rsid w:val="0017795C"/>
    <w:rsid w:val="001C4240"/>
    <w:rsid w:val="00253979"/>
    <w:rsid w:val="00292F90"/>
    <w:rsid w:val="002B10F3"/>
    <w:rsid w:val="003207F8"/>
    <w:rsid w:val="003A13AC"/>
    <w:rsid w:val="00422F28"/>
    <w:rsid w:val="004678E6"/>
    <w:rsid w:val="00495269"/>
    <w:rsid w:val="004B227E"/>
    <w:rsid w:val="006424AA"/>
    <w:rsid w:val="00682F3B"/>
    <w:rsid w:val="006C7205"/>
    <w:rsid w:val="006F2C66"/>
    <w:rsid w:val="007063B1"/>
    <w:rsid w:val="00741567"/>
    <w:rsid w:val="007C17D0"/>
    <w:rsid w:val="007E01B7"/>
    <w:rsid w:val="007F4278"/>
    <w:rsid w:val="00873CA5"/>
    <w:rsid w:val="008E5527"/>
    <w:rsid w:val="00906A3B"/>
    <w:rsid w:val="00910BFE"/>
    <w:rsid w:val="009D627A"/>
    <w:rsid w:val="009E7937"/>
    <w:rsid w:val="00A522F6"/>
    <w:rsid w:val="00B158A7"/>
    <w:rsid w:val="00B23347"/>
    <w:rsid w:val="00B26C98"/>
    <w:rsid w:val="00B47852"/>
    <w:rsid w:val="00C55900"/>
    <w:rsid w:val="00C9385A"/>
    <w:rsid w:val="00C966AE"/>
    <w:rsid w:val="00CF7160"/>
    <w:rsid w:val="00D958C5"/>
    <w:rsid w:val="00DD20CE"/>
    <w:rsid w:val="00E62305"/>
    <w:rsid w:val="00EA3D62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9FF90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7F8"/>
    <w:rPr>
      <w:color w:val="808080"/>
    </w:rPr>
  </w:style>
  <w:style w:type="paragraph" w:customStyle="1" w:styleId="2051CD9AAA8D4651B2F1E88EC3F37254">
    <w:name w:val="2051CD9AAA8D4651B2F1E88EC3F37254"/>
    <w:rsid w:val="0032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fr_finishedtecapprovers xmlns="http://schemas.microsoft.com/sharepoint/v3">
      <UserInfo>
        <DisplayName/>
        <AccountId xsi:nil="true"/>
        <AccountType/>
      </UserInfo>
    </dfr_finishedtecapprovers>
    <dfr_actionlink xmlns="http://schemas.microsoft.com/sharepoint/v3">https://ooeg.info/dokumente/_layouts/gespag.dfr/revise.aspx?IsDlg=1&amp;listID=18c45198-6fc7-4da6-aad9-951c94b71f4f&amp;itemID=42, revisionieren</dfr_actionlink>
    <dfr_prevdepartment xmlns="http://schemas.microsoft.com/sharepoint/v3" xsi:nil="true"/>
    <dfr_creator xmlns="http://schemas.microsoft.com/sharepoint/v3">
      <UserInfo>
        <DisplayName>Pichler Thomas</DisplayName>
        <AccountId>28327</AccountId>
        <AccountType/>
      </UserInfo>
    </dfr_creator>
    <dfr_approvalid xmlns="http://schemas.microsoft.com/sharepoint/v3">c7b16b89-a385-48c8-bd73-f6340b7d6af6</dfr_approvalid>
    <dfr_taskinitializer xmlns="http://schemas.microsoft.com/sharepoint/v3">
      <UserInfo>
        <DisplayName>Pichler Thomas</DisplayName>
        <AccountId>28327</AccountId>
        <AccountType/>
      </UserInfo>
    </dfr_taskinitializer>
    <dfr_finishedorgapprovers xmlns="http://schemas.microsoft.com/sharepoint/v3">
      <UserInfo>
        <DisplayName>Pichler Thomas</DisplayName>
        <AccountId>28327</AccountId>
        <AccountType/>
      </UserInfo>
    </dfr_finishedorgapprovers>
    <dfr_contenttype xmlns="http://schemas.microsoft.com/sharepoint/v3">Leitlinie</dfr_contenttype>
    <dfr_taskid xmlns="http://schemas.microsoft.com/sharepoint/v3" xsi:nil="true"/>
    <dfr_orgunit xmlns="http://schemas.microsoft.com/sharepoint/v3">Tumorzentrum</dfr_orgunit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archived xmlns="http://schemas.microsoft.com/sharepoint/v3" xsi:nil="true"/>
    <dfr_comments xmlns="http://schemas.microsoft.com/sharepoint/v3">19.04.2022 15:42:15 Pichler Thomas (Initiator) : Freigabe der Revision OA Dr. Huber per Mail vom 08.04.2022
19.04.2022 15:42:28 Pichler Thomas (Freigeber) : .
</dfr_comments>
    <dfr_lastnotification xmlns="http://schemas.microsoft.com/sharepoint/v3" xsi:nil="true"/>
    <dfr_lastrevision xmlns="http://schemas.microsoft.com/sharepoint/v3" xsi:nil="true"/>
    <dfr_finishedcheckers xmlns="http://schemas.microsoft.com/sharepoint/v3">
      <UserInfo>
        <DisplayName/>
        <AccountId xsi:nil="true"/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>Kein Vermerk</dfr_headernote>
    <dfr_nextrevision xmlns="http://schemas.microsoft.com/sharepoint/v3">2023-04-19T13:42:31+00:00</dfr_nextrevision>
    <dfr_pendingorgapprovers xmlns="http://schemas.microsoft.com/sharepoint/v3">
      <UserInfo>
        <DisplayName/>
        <AccountId xsi:nil="true"/>
        <AccountType/>
      </UserInfo>
    </dfr_pendingorgapprovers>
    <dfr_orgscope xmlns="http://schemas.microsoft.com/sharepoint/v3">
      <Value>Tumorzentrum</Value>
    </dfr_orgscope>
    <dfr_revision xmlns="http://schemas.microsoft.com/sharepoint/v3">0</dfr_revision>
    <dfr_department xmlns="http://schemas.microsoft.com/sharepoint/v3">Leitlinien solide Tumore</dfr_department>
    <dfr_taskownerresponsibility xmlns="http://schemas.microsoft.com/sharepoint/v3" xsi:nil="true"/>
    <dfr_publisheddate xmlns="http://schemas.microsoft.com/sharepoint/v3">2022-04-19T13:42:28+00:00</dfr_publisheddate>
    <customfield_majorversion xmlns="http://schemas.microsoft.com/sharepoint/v3" xsi:nil="true"/>
    <dfr_location xmlns="http://schemas.microsoft.com/sharepoint/v3">KH</dfr_location>
    <dfr_majorversion xmlns="18c45198-6fc7-4da6-aad9-951c94b71f4f">10.0</dfr_majorversion>
    <dfr_classification xmlns="18c45198-6fc7-4da6-aad9-951c94b71f4f">öffentlich</dfr_classification>
    <dfr_nextasknotification xmlns="18c45198-6fc7-4da6-aad9-951c94b71f4f" xsi:nil="true"/>
    <dfr_inforecipients xmlns="http://schemas.microsoft.com/sharepoint/v3">
      <UserInfo>
        <DisplayName/>
        <AccountId xsi:nil="true"/>
        <AccountType/>
      </UserInfo>
    </dfr_inforecipients>
    <dfr_infodistributionlist xmlns="http://schemas.microsoft.com/sharepoint/v3" xsi:nil="true"/>
    <TaxCatchAll xmlns="824990fe-55f0-45e8-a37e-05db7cf8aedc"/>
    <TaxKeywordTaxHTField xmlns="824990fe-55f0-45e8-a37e-05db7cf8aedc">
      <Terms xmlns="http://schemas.microsoft.com/office/infopath/2007/PartnerControls"/>
    </TaxKeywordTaxHTField>
    <dfr_defaultorgapprovers xmlns="http://schemas.microsoft.com/sharepoint/v3">
      <UserInfo>
        <DisplayName>Pichler Thomas</DisplayName>
        <AccountId>28327</AccountId>
        <AccountType/>
      </UserInfo>
    </dfr_defaultorgapprovers>
    <dfr_defaultcheckers xmlns="http://schemas.microsoft.com/sharepoint/v3">
      <UserInfo>
        <DisplayName/>
        <AccountId xsi:nil="true"/>
        <AccountType/>
      </UserInfo>
    </dfr_defaultcheck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itlinie" ma:contentTypeID="0x010100702417A06B9047CAB652CC4AA8856879007A6474B24F3947A8AB0E117FB186CABB009255144ACA0D4F4497381DBA8E2574A4" ma:contentTypeVersion="30" ma:contentTypeDescription="" ma:contentTypeScope="" ma:versionID="1f7a6b31271d44cc590f845a31a803e4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d4c57224080659064694c2fc513c7b38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Hepatobiläres Board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4B2FC-CE0E-46C1-9F54-E0024A95C9FA}"/>
</file>

<file path=customXml/itemProps2.xml><?xml version="1.0" encoding="utf-8"?>
<ds:datastoreItem xmlns:ds="http://schemas.openxmlformats.org/officeDocument/2006/customXml" ds:itemID="{E20FE06A-E31F-40A7-8894-4B5B42C79A73}"/>
</file>

<file path=customXml/itemProps3.xml><?xml version="1.0" encoding="utf-8"?>
<ds:datastoreItem xmlns:ds="http://schemas.openxmlformats.org/officeDocument/2006/customXml" ds:itemID="{274BC783-A813-4297-99AD-9E9E8A1521E2}"/>
</file>

<file path=customXml/itemProps4.xml><?xml version="1.0" encoding="utf-8"?>
<ds:datastoreItem xmlns:ds="http://schemas.openxmlformats.org/officeDocument/2006/customXml" ds:itemID="{87459580-3403-423D-9923-CB8FAB715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3243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Ösophaguskarzinom</vt:lpstr>
    </vt:vector>
  </TitlesOfParts>
  <Company>gespag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Ösophaguskarzinom</dc:title>
  <dc:creator>Mag. Pichler (KI), (71)20090, kipichth</dc:creator>
  <cp:keywords/>
  <cp:lastModifiedBy>Pichler, Thomas</cp:lastModifiedBy>
  <cp:revision>37</cp:revision>
  <cp:lastPrinted>2022-04-19T13:40:00Z</cp:lastPrinted>
  <dcterms:created xsi:type="dcterms:W3CDTF">2019-11-04T13:38:00Z</dcterms:created>
  <dcterms:modified xsi:type="dcterms:W3CDTF">2022-04-19T13:41:00Z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hemen">
    <vt:lpwstr>118;#Medizin;#119;#Pflege</vt:lpwstr>
  </property>
  <property fmtid="{D5CDD505-2E9C-101B-9397-08002B2CF9AE}" pid="3" name="Hauptthemen">
    <vt:lpwstr>4;#QM</vt:lpwstr>
  </property>
  <property fmtid="{D5CDD505-2E9C-101B-9397-08002B2CF9AE}" pid="4" name="Absenderauswahl">
    <vt:lpwstr>ul</vt:lpwstr>
  </property>
  <property fmtid="{D5CDD505-2E9C-101B-9397-08002B2CF9AE}" pid="5" name="Dokumenten_Stichwoerter">
    <vt:lpwstr>Standard; Vorlage; Muster; gespag</vt:lpwstr>
  </property>
  <property fmtid="{D5CDD505-2E9C-101B-9397-08002B2CF9AE}" pid="6" name="Vertraulich">
    <vt:lpwstr>0</vt:lpwstr>
  </property>
  <property fmtid="{D5CDD505-2E9C-101B-9397-08002B2CF9AE}" pid="7" name="Audience">
    <vt:lpwstr/>
  </property>
  <property fmtid="{D5CDD505-2E9C-101B-9397-08002B2CF9AE}" pid="8" name="ContentType">
    <vt:lpwstr>Formulare</vt:lpwstr>
  </property>
  <property fmtid="{D5CDD505-2E9C-101B-9397-08002B2CF9AE}" pid="9" name="ContentTypeId">
    <vt:lpwstr>0x010100702417A06B9047CAB652CC4AA8856879007A6474B24F3947A8AB0E117FB186CABB009255144ACA0D4F4497381DBA8E2574A4</vt:lpwstr>
  </property>
  <property fmtid="{D5CDD505-2E9C-101B-9397-08002B2CF9AE}" pid="10" name="Themenauswahl">
    <vt:lpwstr>118;119;</vt:lpwstr>
  </property>
  <property fmtid="{D5CDD505-2E9C-101B-9397-08002B2CF9AE}" pid="11" name="Absender">
    <vt:lpwstr>11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/>
  </property>
  <property fmtid="{D5CDD505-2E9C-101B-9397-08002B2CF9AE}" pid="15" name="Order">
    <vt:lpwstr>4900.00000000000</vt:lpwstr>
  </property>
  <property fmtid="{D5CDD505-2E9C-101B-9397-08002B2CF9AE}" pid="16" name="URL">
    <vt:lpwstr/>
  </property>
  <property fmtid="{D5CDD505-2E9C-101B-9397-08002B2CF9AE}" pid="17" name="Zielgruppenauswahl">
    <vt:lpwstr>;;;;</vt:lpwstr>
  </property>
  <property fmtid="{D5CDD505-2E9C-101B-9397-08002B2CF9AE}" pid="18" name="DLCPolicyLabelValue">
    <vt:lpwstr>Version: 0.1 Status: Entwurf</vt:lpwstr>
  </property>
  <property fmtid="{D5CDD505-2E9C-101B-9397-08002B2CF9AE}" pid="19" name="_dlc_ExpireDate">
    <vt:filetime>2013-12-17T15:13:37Z</vt:filetime>
  </property>
  <property fmtid="{D5CDD505-2E9C-101B-9397-08002B2CF9AE}" pid="20" name="Kernprozess">
    <vt:lpwstr>Leitlinien Onkologie</vt:lpwstr>
  </property>
  <property fmtid="{D5CDD505-2E9C-101B-9397-08002B2CF9AE}" pid="21" name="archiviert">
    <vt:lpwstr>Nein</vt:lpwstr>
  </property>
  <property fmtid="{D5CDD505-2E9C-101B-9397-08002B2CF9AE}" pid="22" name="Bereich">
    <vt:lpwstr>Vorlagen</vt:lpwstr>
  </property>
  <property fmtid="{D5CDD505-2E9C-101B-9397-08002B2CF9AE}" pid="23" name="Archivieren">
    <vt:lpwstr>Nein</vt:lpwstr>
  </property>
  <property fmtid="{D5CDD505-2E9C-101B-9397-08002B2CF9AE}" pid="24" name="läuft ab am">
    <vt:lpwstr>2098-12-31T23:00:00+00:00</vt:lpwstr>
  </property>
  <property fmtid="{D5CDD505-2E9C-101B-9397-08002B2CF9AE}" pid="25" name="Berufsgruppe">
    <vt:lpwstr>2;#</vt:lpwstr>
  </property>
  <property fmtid="{D5CDD505-2E9C-101B-9397-08002B2CF9AE}" pid="26" name="TaxKeyword">
    <vt:lpwstr/>
  </property>
</Properties>
</file>