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BED25" w14:textId="77777777" w:rsidR="00B6342E" w:rsidRPr="00B6342E" w:rsidRDefault="00B6342E" w:rsidP="00B6342E">
      <w:pPr>
        <w:pStyle w:val="Titel"/>
        <w:jc w:val="left"/>
        <w:rPr>
          <w:b/>
          <w:sz w:val="20"/>
        </w:rPr>
      </w:pPr>
    </w:p>
    <w:p w14:paraId="56757EF4" w14:textId="77777777" w:rsidR="00B6342E" w:rsidRPr="00B6342E" w:rsidRDefault="00B6342E" w:rsidP="00B6342E">
      <w:pPr>
        <w:pStyle w:val="Titel"/>
        <w:jc w:val="left"/>
        <w:rPr>
          <w:b/>
          <w:sz w:val="20"/>
        </w:rPr>
      </w:pPr>
    </w:p>
    <w:p w14:paraId="749440A9" w14:textId="77777777" w:rsidR="00B6342E" w:rsidRPr="00B6342E" w:rsidRDefault="00B6342E" w:rsidP="00B6342E">
      <w:pPr>
        <w:pStyle w:val="Titel"/>
        <w:jc w:val="left"/>
        <w:rPr>
          <w:b/>
          <w:sz w:val="20"/>
        </w:rPr>
      </w:pPr>
    </w:p>
    <w:p w14:paraId="7681946B" w14:textId="77777777" w:rsidR="00B6342E" w:rsidRPr="00B6342E" w:rsidRDefault="00B6342E" w:rsidP="00B6342E">
      <w:pPr>
        <w:pStyle w:val="Titel"/>
        <w:jc w:val="left"/>
        <w:rPr>
          <w:b/>
          <w:sz w:val="20"/>
        </w:rPr>
      </w:pPr>
    </w:p>
    <w:p w14:paraId="6427C4FB" w14:textId="77777777" w:rsidR="00B6342E" w:rsidRDefault="00B6342E" w:rsidP="00B6342E">
      <w:pPr>
        <w:pStyle w:val="Titel"/>
        <w:jc w:val="left"/>
        <w:rPr>
          <w:b/>
          <w:sz w:val="48"/>
          <w:szCs w:val="48"/>
        </w:rPr>
      </w:pPr>
    </w:p>
    <w:p w14:paraId="64BCB19D" w14:textId="77777777" w:rsidR="00E67988" w:rsidRDefault="00E67988" w:rsidP="00B6342E">
      <w:pPr>
        <w:pStyle w:val="Titel"/>
        <w:jc w:val="left"/>
        <w:rPr>
          <w:b/>
          <w:sz w:val="48"/>
          <w:szCs w:val="48"/>
        </w:rPr>
      </w:pPr>
    </w:p>
    <w:p w14:paraId="35F6CB79" w14:textId="77777777" w:rsidR="00250E53" w:rsidRDefault="00250E53" w:rsidP="00B6342E">
      <w:pPr>
        <w:pStyle w:val="Titel"/>
        <w:jc w:val="left"/>
        <w:rPr>
          <w:b/>
          <w:sz w:val="48"/>
          <w:szCs w:val="48"/>
        </w:rPr>
      </w:pPr>
    </w:p>
    <w:p w14:paraId="57E8A8F6" w14:textId="77777777" w:rsidR="008A7324" w:rsidRPr="00E344D4" w:rsidRDefault="00D62E15" w:rsidP="00B6342E">
      <w:pPr>
        <w:pStyle w:val="Titel"/>
        <w:jc w:val="left"/>
        <w:rPr>
          <w:b/>
          <w:sz w:val="48"/>
          <w:szCs w:val="48"/>
        </w:rPr>
      </w:pPr>
      <w:sdt>
        <w:sdtPr>
          <w:rPr>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EndPr/>
        <w:sdtContent>
          <w:r w:rsidR="003744DF">
            <w:rPr>
              <w:b/>
              <w:sz w:val="48"/>
              <w:szCs w:val="48"/>
              <w:lang w:val="de-AT"/>
            </w:rPr>
            <w:t>Gastrointestinale Stromatumore - GIST</w:t>
          </w:r>
        </w:sdtContent>
      </w:sdt>
    </w:p>
    <w:p w14:paraId="13A6D490" w14:textId="77777777" w:rsidR="008A7324" w:rsidRPr="00B6342E" w:rsidRDefault="008A7324" w:rsidP="005E0058">
      <w:pPr>
        <w:pStyle w:val="Titel"/>
        <w:ind w:left="-56"/>
        <w:jc w:val="left"/>
        <w:rPr>
          <w:sz w:val="28"/>
          <w:szCs w:val="28"/>
        </w:rPr>
      </w:pPr>
    </w:p>
    <w:p w14:paraId="02356112" w14:textId="77777777" w:rsidR="005163F4" w:rsidRDefault="005163F4" w:rsidP="00B6342E">
      <w:pPr>
        <w:tabs>
          <w:tab w:val="left" w:pos="1418"/>
        </w:tabs>
        <w:spacing w:line="276" w:lineRule="auto"/>
        <w:jc w:val="both"/>
        <w:rPr>
          <w:rFonts w:cs="Arial"/>
          <w:sz w:val="28"/>
          <w:szCs w:val="28"/>
        </w:rPr>
      </w:pPr>
    </w:p>
    <w:p w14:paraId="54D9B153" w14:textId="77777777" w:rsidR="00B6342E" w:rsidRDefault="00B6342E" w:rsidP="00B6342E">
      <w:pPr>
        <w:tabs>
          <w:tab w:val="left" w:pos="1418"/>
        </w:tabs>
        <w:spacing w:line="276" w:lineRule="auto"/>
        <w:jc w:val="both"/>
        <w:rPr>
          <w:rFonts w:cs="Arial"/>
          <w:sz w:val="28"/>
          <w:szCs w:val="28"/>
        </w:rPr>
      </w:pPr>
    </w:p>
    <w:p w14:paraId="3E74A96D" w14:textId="77777777" w:rsidR="00B6342E" w:rsidRPr="0062716A" w:rsidRDefault="00A6435E" w:rsidP="00B6342E">
      <w:pPr>
        <w:spacing w:line="276" w:lineRule="auto"/>
        <w:jc w:val="both"/>
        <w:rPr>
          <w:rFonts w:cs="Arial"/>
          <w:b/>
          <w:sz w:val="40"/>
          <w:szCs w:val="40"/>
        </w:rPr>
      </w:pPr>
      <w:r w:rsidRPr="0067150E">
        <w:rPr>
          <w:rFonts w:cs="Arial"/>
          <w:b/>
          <w:sz w:val="40"/>
          <w:szCs w:val="40"/>
        </w:rPr>
        <w:t xml:space="preserve">Medizinische </w:t>
      </w:r>
      <w:r w:rsidR="00B6342E" w:rsidRPr="0067150E">
        <w:rPr>
          <w:rFonts w:cs="Arial"/>
          <w:b/>
          <w:sz w:val="40"/>
          <w:szCs w:val="40"/>
        </w:rPr>
        <w:t>Leitlinie</w:t>
      </w:r>
    </w:p>
    <w:p w14:paraId="1C949723" w14:textId="77777777" w:rsidR="00B6342E" w:rsidRDefault="00192465" w:rsidP="00192465">
      <w:pPr>
        <w:tabs>
          <w:tab w:val="left" w:pos="1418"/>
        </w:tabs>
        <w:spacing w:line="276" w:lineRule="auto"/>
        <w:ind w:left="426"/>
        <w:jc w:val="both"/>
        <w:rPr>
          <w:rFonts w:cs="Arial"/>
          <w:sz w:val="28"/>
          <w:szCs w:val="28"/>
        </w:rPr>
      </w:pPr>
      <w:r w:rsidRPr="00EB0F6F">
        <w:rPr>
          <w:rFonts w:cs="Arial"/>
          <w:b/>
          <w:szCs w:val="22"/>
        </w:rPr>
        <w:t>Tumorzentrum</w:t>
      </w:r>
      <w:r>
        <w:rPr>
          <w:rFonts w:cs="Arial"/>
          <w:b/>
          <w:szCs w:val="22"/>
        </w:rPr>
        <w:t xml:space="preserve"> Oberösterreich</w:t>
      </w:r>
    </w:p>
    <w:p w14:paraId="0B76D9B5" w14:textId="77777777" w:rsidR="00B6342E" w:rsidRDefault="00B6342E" w:rsidP="00B6342E">
      <w:pPr>
        <w:tabs>
          <w:tab w:val="left" w:pos="1418"/>
        </w:tabs>
        <w:spacing w:line="276" w:lineRule="auto"/>
        <w:jc w:val="both"/>
        <w:rPr>
          <w:rFonts w:cs="Arial"/>
          <w:sz w:val="28"/>
          <w:szCs w:val="28"/>
        </w:rPr>
      </w:pPr>
    </w:p>
    <w:p w14:paraId="698AACDF" w14:textId="77777777" w:rsidR="00B6342E" w:rsidRDefault="00B6342E" w:rsidP="00B6342E">
      <w:pPr>
        <w:tabs>
          <w:tab w:val="left" w:pos="1418"/>
        </w:tabs>
        <w:spacing w:line="276" w:lineRule="auto"/>
        <w:jc w:val="both"/>
        <w:rPr>
          <w:rFonts w:cs="Arial"/>
          <w:sz w:val="28"/>
          <w:szCs w:val="28"/>
        </w:rPr>
      </w:pPr>
    </w:p>
    <w:p w14:paraId="0816E917" w14:textId="77777777" w:rsidR="005163F4" w:rsidRDefault="005163F4" w:rsidP="00B6342E">
      <w:pPr>
        <w:tabs>
          <w:tab w:val="left" w:pos="1418"/>
        </w:tabs>
        <w:spacing w:line="276" w:lineRule="auto"/>
        <w:jc w:val="both"/>
        <w:rPr>
          <w:rFonts w:cs="Arial"/>
          <w:sz w:val="28"/>
          <w:szCs w:val="28"/>
        </w:rPr>
      </w:pPr>
    </w:p>
    <w:p w14:paraId="71F8D76B" w14:textId="77777777" w:rsidR="005163F4" w:rsidRDefault="005163F4" w:rsidP="00B6342E">
      <w:pPr>
        <w:tabs>
          <w:tab w:val="left" w:pos="1418"/>
        </w:tabs>
        <w:spacing w:line="276" w:lineRule="auto"/>
        <w:jc w:val="both"/>
        <w:rPr>
          <w:rFonts w:cs="Arial"/>
          <w:sz w:val="28"/>
          <w:szCs w:val="28"/>
        </w:rPr>
      </w:pPr>
    </w:p>
    <w:p w14:paraId="726D0952" w14:textId="77777777" w:rsidR="005163F4" w:rsidRDefault="005163F4" w:rsidP="00B6342E">
      <w:pPr>
        <w:tabs>
          <w:tab w:val="left" w:pos="1418"/>
        </w:tabs>
        <w:spacing w:line="276" w:lineRule="auto"/>
        <w:jc w:val="both"/>
        <w:rPr>
          <w:rFonts w:cs="Arial"/>
          <w:sz w:val="28"/>
          <w:szCs w:val="28"/>
        </w:rPr>
      </w:pPr>
    </w:p>
    <w:p w14:paraId="5C0B8CE4" w14:textId="77777777" w:rsidR="005163F4" w:rsidRDefault="005163F4" w:rsidP="00B6342E">
      <w:pPr>
        <w:tabs>
          <w:tab w:val="left" w:pos="1418"/>
        </w:tabs>
        <w:spacing w:line="276" w:lineRule="auto"/>
        <w:jc w:val="both"/>
        <w:rPr>
          <w:rFonts w:cs="Arial"/>
          <w:sz w:val="28"/>
          <w:szCs w:val="28"/>
        </w:rPr>
      </w:pPr>
    </w:p>
    <w:p w14:paraId="4228FBA4" w14:textId="77777777" w:rsidR="005163F4"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602"/>
        <w:gridCol w:w="7088"/>
      </w:tblGrid>
      <w:tr w:rsidR="002E7743" w:rsidRPr="00192465" w14:paraId="6A61208C" w14:textId="77777777" w:rsidTr="00192465">
        <w:trPr>
          <w:trHeight w:val="567"/>
        </w:trPr>
        <w:tc>
          <w:tcPr>
            <w:tcW w:w="2602" w:type="dxa"/>
            <w:vAlign w:val="center"/>
          </w:tcPr>
          <w:p w14:paraId="394AA33D"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erstellt von:</w:t>
            </w:r>
          </w:p>
        </w:tc>
        <w:tc>
          <w:tcPr>
            <w:tcW w:w="7088" w:type="dxa"/>
            <w:vAlign w:val="center"/>
          </w:tcPr>
          <w:p w14:paraId="7F651AC5" w14:textId="77777777" w:rsidR="005B2111" w:rsidRPr="00D62E15" w:rsidRDefault="00192465" w:rsidP="0095092F">
            <w:pPr>
              <w:spacing w:line="276" w:lineRule="auto"/>
              <w:jc w:val="left"/>
              <w:rPr>
                <w:rFonts w:asciiTheme="minorHAnsi" w:hAnsiTheme="minorHAnsi" w:cstheme="minorHAnsi"/>
              </w:rPr>
            </w:pPr>
            <w:r w:rsidRPr="00D62E15">
              <w:rPr>
                <w:rFonts w:asciiTheme="minorHAnsi" w:hAnsiTheme="minorHAnsi" w:cstheme="minorHAnsi"/>
              </w:rPr>
              <w:t>FA Dr. Ulrich Popper (OKL)</w:t>
            </w:r>
            <w:r w:rsidR="005B2111" w:rsidRPr="00D62E15">
              <w:rPr>
                <w:rFonts w:asciiTheme="minorHAnsi" w:hAnsiTheme="minorHAnsi" w:cstheme="minorHAnsi"/>
              </w:rPr>
              <w:t>, OA Dr. Uwe Fröschl (</w:t>
            </w:r>
            <w:r w:rsidR="00BE0529" w:rsidRPr="00D62E15">
              <w:rPr>
                <w:rFonts w:asciiTheme="minorHAnsi" w:hAnsiTheme="minorHAnsi" w:cstheme="minorHAnsi"/>
              </w:rPr>
              <w:t>OKL</w:t>
            </w:r>
            <w:r w:rsidR="005B2111" w:rsidRPr="00D62E15">
              <w:rPr>
                <w:rFonts w:asciiTheme="minorHAnsi" w:hAnsiTheme="minorHAnsi" w:cstheme="minorHAnsi"/>
              </w:rPr>
              <w:t xml:space="preserve">), </w:t>
            </w:r>
          </w:p>
          <w:p w14:paraId="64C0FFEF" w14:textId="77777777" w:rsidR="005B2111" w:rsidRPr="00D62E15" w:rsidRDefault="005B2111" w:rsidP="0095092F">
            <w:pPr>
              <w:spacing w:line="276" w:lineRule="auto"/>
              <w:jc w:val="left"/>
              <w:rPr>
                <w:rFonts w:asciiTheme="minorHAnsi" w:hAnsiTheme="minorHAnsi" w:cstheme="minorHAnsi"/>
              </w:rPr>
            </w:pPr>
            <w:r w:rsidRPr="00D62E15">
              <w:rPr>
                <w:rFonts w:asciiTheme="minorHAnsi" w:hAnsiTheme="minorHAnsi" w:cstheme="minorHAnsi"/>
              </w:rPr>
              <w:t xml:space="preserve">OA Dr. Christian Pauzenberger (KI), </w:t>
            </w:r>
            <w:r w:rsidR="00192465" w:rsidRPr="00D62E15">
              <w:rPr>
                <w:rFonts w:asciiTheme="minorHAnsi" w:hAnsiTheme="minorHAnsi" w:cstheme="minorHAnsi"/>
              </w:rPr>
              <w:t>Dr. Gerald Webersinke (OKL),</w:t>
            </w:r>
          </w:p>
          <w:p w14:paraId="5B276424" w14:textId="77777777" w:rsidR="002E7743" w:rsidRPr="00D62E15" w:rsidRDefault="005B2111" w:rsidP="00192465">
            <w:pPr>
              <w:spacing w:line="276" w:lineRule="auto"/>
              <w:jc w:val="left"/>
              <w:rPr>
                <w:rFonts w:asciiTheme="minorHAnsi" w:hAnsiTheme="minorHAnsi" w:cstheme="minorHAnsi"/>
                <w:lang w:val="en-GB"/>
              </w:rPr>
            </w:pPr>
            <w:r w:rsidRPr="00D62E15">
              <w:rPr>
                <w:rFonts w:asciiTheme="minorHAnsi" w:hAnsiTheme="minorHAnsi" w:cstheme="minorHAnsi"/>
                <w:lang w:val="en-GB"/>
              </w:rPr>
              <w:t>OA Dr. Ratislav Synak (</w:t>
            </w:r>
            <w:r w:rsidR="00BE0529" w:rsidRPr="00D62E15">
              <w:rPr>
                <w:rFonts w:asciiTheme="minorHAnsi" w:hAnsiTheme="minorHAnsi" w:cstheme="minorHAnsi"/>
                <w:lang w:val="en-GB"/>
              </w:rPr>
              <w:t>S</w:t>
            </w:r>
            <w:r w:rsidR="00192465" w:rsidRPr="00D62E15">
              <w:rPr>
                <w:rFonts w:asciiTheme="minorHAnsi" w:hAnsiTheme="minorHAnsi" w:cstheme="minorHAnsi"/>
                <w:lang w:val="en-GB"/>
              </w:rPr>
              <w:t>K</w:t>
            </w:r>
            <w:r w:rsidR="00BE0529" w:rsidRPr="00D62E15">
              <w:rPr>
                <w:rFonts w:asciiTheme="minorHAnsi" w:hAnsiTheme="minorHAnsi" w:cstheme="minorHAnsi"/>
                <w:lang w:val="en-GB"/>
              </w:rPr>
              <w:t>)</w:t>
            </w:r>
            <w:r w:rsidR="00192465" w:rsidRPr="00D62E15">
              <w:rPr>
                <w:rFonts w:asciiTheme="minorHAnsi" w:hAnsiTheme="minorHAnsi" w:cstheme="minorHAnsi"/>
                <w:lang w:val="en-GB"/>
              </w:rPr>
              <w:t>, OA Dr. Alexandra Bergmayr (OKL),</w:t>
            </w:r>
          </w:p>
          <w:p w14:paraId="11399DA3" w14:textId="77777777" w:rsidR="00192465" w:rsidRPr="00D62E15" w:rsidRDefault="00192465" w:rsidP="00192465">
            <w:pPr>
              <w:spacing w:line="276" w:lineRule="auto"/>
              <w:jc w:val="left"/>
              <w:rPr>
                <w:rFonts w:asciiTheme="minorHAnsi" w:hAnsiTheme="minorHAnsi" w:cstheme="minorHAnsi"/>
                <w:lang w:val="en-GB"/>
              </w:rPr>
            </w:pPr>
            <w:r w:rsidRPr="00D62E15">
              <w:rPr>
                <w:rFonts w:asciiTheme="minorHAnsi" w:hAnsiTheme="minorHAnsi" w:cstheme="minorHAnsi"/>
                <w:lang w:val="en-GB"/>
              </w:rPr>
              <w:t>OA Dr. Vedat Alibegovic (OKL)</w:t>
            </w:r>
          </w:p>
        </w:tc>
      </w:tr>
      <w:tr w:rsidR="002E7743" w:rsidRPr="006256D9" w14:paraId="0F66EC30" w14:textId="77777777" w:rsidTr="00192465">
        <w:trPr>
          <w:trHeight w:val="567"/>
        </w:trPr>
        <w:tc>
          <w:tcPr>
            <w:tcW w:w="2602" w:type="dxa"/>
            <w:vAlign w:val="center"/>
          </w:tcPr>
          <w:p w14:paraId="2B2A8CC1"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geprüft von:</w:t>
            </w:r>
          </w:p>
        </w:tc>
        <w:tc>
          <w:tcPr>
            <w:tcW w:w="7088" w:type="dxa"/>
            <w:vAlign w:val="center"/>
          </w:tcPr>
          <w:p w14:paraId="1A667F30" w14:textId="77777777" w:rsidR="00192465" w:rsidRPr="00D62E15" w:rsidRDefault="005B2111" w:rsidP="00192465">
            <w:pPr>
              <w:spacing w:line="276" w:lineRule="auto"/>
              <w:jc w:val="left"/>
              <w:rPr>
                <w:rFonts w:asciiTheme="minorHAnsi" w:hAnsiTheme="minorHAnsi" w:cstheme="minorHAnsi"/>
              </w:rPr>
            </w:pPr>
            <w:r w:rsidRPr="00D62E15">
              <w:rPr>
                <w:rFonts w:asciiTheme="minorHAnsi" w:hAnsiTheme="minorHAnsi" w:cstheme="minorHAnsi"/>
              </w:rPr>
              <w:t>Prim. Dr. Dietmar-Hans Seewald (</w:t>
            </w:r>
            <w:r w:rsidR="00192465" w:rsidRPr="00D62E15">
              <w:rPr>
                <w:rFonts w:asciiTheme="minorHAnsi" w:hAnsiTheme="minorHAnsi" w:cstheme="minorHAnsi"/>
              </w:rPr>
              <w:t>SK</w:t>
            </w:r>
            <w:r w:rsidRPr="00D62E15">
              <w:rPr>
                <w:rFonts w:asciiTheme="minorHAnsi" w:hAnsiTheme="minorHAnsi" w:cstheme="minorHAnsi"/>
              </w:rPr>
              <w:t>), Prim. Univ. Prof. Dr. Reinhold Függer (</w:t>
            </w:r>
            <w:r w:rsidR="00192465" w:rsidRPr="00D62E15">
              <w:rPr>
                <w:rFonts w:asciiTheme="minorHAnsi" w:hAnsiTheme="minorHAnsi" w:cstheme="minorHAnsi"/>
              </w:rPr>
              <w:t>OKL</w:t>
            </w:r>
            <w:r w:rsidRPr="00D62E15">
              <w:rPr>
                <w:rFonts w:asciiTheme="minorHAnsi" w:hAnsiTheme="minorHAnsi" w:cstheme="minorHAnsi"/>
              </w:rPr>
              <w:t xml:space="preserve">), </w:t>
            </w:r>
            <w:r w:rsidR="00192465" w:rsidRPr="00D62E15">
              <w:rPr>
                <w:rFonts w:asciiTheme="minorHAnsi" w:hAnsiTheme="minorHAnsi" w:cstheme="minorHAnsi"/>
              </w:rPr>
              <w:t>OA Dr. Georg Schreil (</w:t>
            </w:r>
            <w:r w:rsidR="00EC608E" w:rsidRPr="00D62E15">
              <w:rPr>
                <w:rFonts w:asciiTheme="minorHAnsi" w:hAnsiTheme="minorHAnsi" w:cstheme="minorHAnsi"/>
              </w:rPr>
              <w:t>PEK</w:t>
            </w:r>
            <w:r w:rsidR="00192465" w:rsidRPr="00D62E15">
              <w:rPr>
                <w:rFonts w:asciiTheme="minorHAnsi" w:hAnsiTheme="minorHAnsi" w:cstheme="minorHAnsi"/>
              </w:rPr>
              <w:t>)</w:t>
            </w:r>
            <w:r w:rsidRPr="00D62E15">
              <w:rPr>
                <w:rFonts w:asciiTheme="minorHAnsi" w:hAnsiTheme="minorHAnsi" w:cstheme="minorHAnsi"/>
              </w:rPr>
              <w:t>, Prim. Dr. Peter Panholzer (</w:t>
            </w:r>
            <w:r w:rsidR="00192465" w:rsidRPr="00D62E15">
              <w:rPr>
                <w:rFonts w:asciiTheme="minorHAnsi" w:hAnsiTheme="minorHAnsi" w:cstheme="minorHAnsi"/>
              </w:rPr>
              <w:t>SK</w:t>
            </w:r>
            <w:r w:rsidRPr="00D62E15">
              <w:rPr>
                <w:rFonts w:asciiTheme="minorHAnsi" w:hAnsiTheme="minorHAnsi" w:cstheme="minorHAnsi"/>
              </w:rPr>
              <w:t>)</w:t>
            </w:r>
            <w:r w:rsidR="00192465" w:rsidRPr="00D62E15">
              <w:rPr>
                <w:rFonts w:asciiTheme="minorHAnsi" w:hAnsiTheme="minorHAnsi" w:cstheme="minorHAnsi"/>
              </w:rPr>
              <w:t xml:space="preserve">, </w:t>
            </w:r>
          </w:p>
          <w:p w14:paraId="3B321B7C" w14:textId="77777777" w:rsidR="006602F1" w:rsidRPr="00D62E15" w:rsidRDefault="00192465" w:rsidP="006602F1">
            <w:pPr>
              <w:spacing w:line="276" w:lineRule="auto"/>
              <w:jc w:val="left"/>
              <w:rPr>
                <w:rFonts w:asciiTheme="minorHAnsi" w:hAnsiTheme="minorHAnsi" w:cstheme="minorHAnsi"/>
              </w:rPr>
            </w:pPr>
            <w:r w:rsidRPr="00D62E15">
              <w:rPr>
                <w:rFonts w:asciiTheme="minorHAnsi" w:hAnsiTheme="minorHAnsi" w:cstheme="minorHAnsi"/>
              </w:rPr>
              <w:t xml:space="preserve">Prim. Doz. Dr. Claus Kölblinger (RI), </w:t>
            </w:r>
            <w:r w:rsidR="006602F1" w:rsidRPr="00D62E15">
              <w:rPr>
                <w:rFonts w:asciiTheme="minorHAnsi" w:hAnsiTheme="minorHAnsi" w:cstheme="minorHAnsi"/>
              </w:rPr>
              <w:t>PD</w:t>
            </w:r>
            <w:r w:rsidRPr="00D62E15">
              <w:rPr>
                <w:rFonts w:asciiTheme="minorHAnsi" w:hAnsiTheme="minorHAnsi" w:cstheme="minorHAnsi"/>
              </w:rPr>
              <w:t xml:space="preserve"> Dr. Holger Rumpold (OKL), </w:t>
            </w:r>
          </w:p>
          <w:p w14:paraId="692A1B51" w14:textId="34F1CC29" w:rsidR="002E7743" w:rsidRPr="00D62E15" w:rsidRDefault="00192465" w:rsidP="006602F1">
            <w:pPr>
              <w:spacing w:line="276" w:lineRule="auto"/>
              <w:jc w:val="left"/>
              <w:rPr>
                <w:rFonts w:asciiTheme="minorHAnsi" w:hAnsiTheme="minorHAnsi" w:cstheme="minorHAnsi"/>
              </w:rPr>
            </w:pPr>
            <w:r w:rsidRPr="00D62E15">
              <w:rPr>
                <w:rFonts w:asciiTheme="minorHAnsi" w:hAnsiTheme="minorHAnsi" w:cstheme="minorHAnsi"/>
              </w:rPr>
              <w:t xml:space="preserve">OA Dr. Sonja Hasenschwandtner (OKL), </w:t>
            </w:r>
          </w:p>
        </w:tc>
      </w:tr>
      <w:tr w:rsidR="002E7743" w:rsidRPr="006256D9" w14:paraId="2032C025" w14:textId="77777777" w:rsidTr="00192465">
        <w:trPr>
          <w:trHeight w:val="567"/>
        </w:trPr>
        <w:tc>
          <w:tcPr>
            <w:tcW w:w="2602" w:type="dxa"/>
            <w:vAlign w:val="center"/>
          </w:tcPr>
          <w:p w14:paraId="7A7FA747" w14:textId="77777777" w:rsidR="002E7743" w:rsidRPr="00D02334" w:rsidRDefault="00ED24ED" w:rsidP="00C80423">
            <w:pPr>
              <w:spacing w:line="276" w:lineRule="auto"/>
              <w:jc w:val="left"/>
              <w:rPr>
                <w:rFonts w:asciiTheme="minorHAnsi" w:hAnsiTheme="minorHAnsi" w:cstheme="minorHAnsi"/>
              </w:rPr>
            </w:pPr>
            <w:r w:rsidRPr="00D02334">
              <w:rPr>
                <w:rFonts w:asciiTheme="minorHAnsi" w:hAnsiTheme="minorHAnsi" w:cstheme="minorHAnsi"/>
              </w:rPr>
              <w:t>Fachliche Freigabe:</w:t>
            </w:r>
          </w:p>
        </w:tc>
        <w:tc>
          <w:tcPr>
            <w:tcW w:w="7088" w:type="dxa"/>
            <w:vAlign w:val="center"/>
          </w:tcPr>
          <w:p w14:paraId="0E4157B1" w14:textId="77777777" w:rsidR="00DF0655" w:rsidRPr="00D62E15" w:rsidRDefault="00DF0655" w:rsidP="00DE275D">
            <w:pPr>
              <w:spacing w:line="276" w:lineRule="auto"/>
              <w:jc w:val="left"/>
              <w:rPr>
                <w:rFonts w:asciiTheme="minorHAnsi" w:hAnsiTheme="minorHAnsi" w:cstheme="minorHAnsi"/>
              </w:rPr>
            </w:pPr>
            <w:r w:rsidRPr="00D62E15">
              <w:rPr>
                <w:rFonts w:asciiTheme="minorHAnsi" w:hAnsiTheme="minorHAnsi" w:cstheme="minorHAnsi"/>
              </w:rPr>
              <w:t xml:space="preserve">FA Dr. Ulrich Popper </w:t>
            </w:r>
          </w:p>
          <w:p w14:paraId="7BCDCF61" w14:textId="77777777" w:rsidR="002E7743" w:rsidRPr="00D62E15" w:rsidRDefault="005B2111" w:rsidP="00DE275D">
            <w:pPr>
              <w:spacing w:line="276" w:lineRule="auto"/>
              <w:jc w:val="left"/>
              <w:rPr>
                <w:rFonts w:asciiTheme="minorHAnsi" w:hAnsiTheme="minorHAnsi" w:cstheme="minorHAnsi"/>
              </w:rPr>
            </w:pPr>
            <w:r w:rsidRPr="00D62E15">
              <w:rPr>
                <w:rFonts w:asciiTheme="minorHAnsi" w:hAnsiTheme="minorHAnsi" w:cstheme="minorHAnsi"/>
              </w:rPr>
              <w:t>Leitliniengruppe</w:t>
            </w:r>
            <w:r w:rsidR="00DE275D" w:rsidRPr="00D62E15">
              <w:rPr>
                <w:rFonts w:asciiTheme="minorHAnsi" w:hAnsiTheme="minorHAnsi" w:cstheme="minorHAnsi"/>
              </w:rPr>
              <w:t xml:space="preserve"> </w:t>
            </w:r>
            <w:r w:rsidRPr="00D62E15">
              <w:rPr>
                <w:rFonts w:asciiTheme="minorHAnsi" w:hAnsiTheme="minorHAnsi" w:cstheme="minorHAnsi"/>
              </w:rPr>
              <w:t>Protokoll v.</w:t>
            </w:r>
            <w:r w:rsidR="00F13CC2" w:rsidRPr="00D62E15">
              <w:rPr>
                <w:rFonts w:asciiTheme="minorHAnsi" w:hAnsiTheme="minorHAnsi" w:cstheme="minorHAnsi"/>
              </w:rPr>
              <w:t xml:space="preserve"> 11.11.2014</w:t>
            </w:r>
          </w:p>
          <w:p w14:paraId="2199B147" w14:textId="77777777" w:rsidR="00BD27AA" w:rsidRPr="00D62E15" w:rsidRDefault="00BD27AA" w:rsidP="00DF0655">
            <w:pPr>
              <w:spacing w:line="276" w:lineRule="auto"/>
              <w:jc w:val="left"/>
              <w:rPr>
                <w:rFonts w:asciiTheme="minorHAnsi" w:hAnsiTheme="minorHAnsi" w:cstheme="minorHAnsi"/>
              </w:rPr>
            </w:pPr>
            <w:r w:rsidRPr="00D62E15">
              <w:rPr>
                <w:rFonts w:asciiTheme="minorHAnsi" w:hAnsiTheme="minorHAnsi" w:cstheme="minorHAnsi"/>
              </w:rPr>
              <w:t xml:space="preserve">Revision v. </w:t>
            </w:r>
            <w:r w:rsidR="00DF0655" w:rsidRPr="00D62E15">
              <w:rPr>
                <w:rFonts w:asciiTheme="minorHAnsi" w:hAnsiTheme="minorHAnsi" w:cstheme="minorHAnsi"/>
              </w:rPr>
              <w:t>25.05.2020</w:t>
            </w:r>
          </w:p>
        </w:tc>
      </w:tr>
    </w:tbl>
    <w:p w14:paraId="56020CA1" w14:textId="77777777" w:rsidR="008B2595" w:rsidRDefault="008B2595">
      <w:pPr>
        <w:spacing w:line="240" w:lineRule="auto"/>
        <w:jc w:val="left"/>
      </w:pPr>
    </w:p>
    <w:p w14:paraId="27AB5761" w14:textId="77777777" w:rsidR="00D02334" w:rsidRDefault="00D02334" w:rsidP="00D02334">
      <w:pPr>
        <w:spacing w:line="276" w:lineRule="auto"/>
        <w:jc w:val="both"/>
        <w:rPr>
          <w:rFonts w:asciiTheme="minorHAnsi" w:hAnsiTheme="minorHAnsi" w:cstheme="minorHAnsi"/>
          <w:sz w:val="18"/>
          <w:szCs w:val="18"/>
        </w:rPr>
      </w:pPr>
    </w:p>
    <w:p w14:paraId="7343E460" w14:textId="77777777" w:rsidR="00D02334" w:rsidRDefault="00D02334" w:rsidP="00D02334">
      <w:pPr>
        <w:spacing w:line="276" w:lineRule="auto"/>
        <w:jc w:val="both"/>
        <w:rPr>
          <w:rFonts w:asciiTheme="minorHAnsi" w:hAnsiTheme="minorHAnsi" w:cstheme="minorHAnsi"/>
          <w:sz w:val="18"/>
          <w:szCs w:val="18"/>
        </w:rPr>
      </w:pPr>
    </w:p>
    <w:p w14:paraId="0E9D234D" w14:textId="77777777" w:rsidR="00D02334" w:rsidRDefault="00D02334" w:rsidP="00D02334">
      <w:pPr>
        <w:spacing w:line="276" w:lineRule="auto"/>
        <w:jc w:val="both"/>
        <w:rPr>
          <w:rFonts w:asciiTheme="minorHAnsi" w:hAnsiTheme="minorHAnsi" w:cstheme="minorHAnsi"/>
          <w:sz w:val="18"/>
          <w:szCs w:val="18"/>
        </w:rPr>
      </w:pPr>
    </w:p>
    <w:p w14:paraId="3D5FEE28" w14:textId="77777777" w:rsidR="00D02334" w:rsidRPr="00D02334" w:rsidRDefault="00D02334" w:rsidP="00D02334">
      <w:pPr>
        <w:spacing w:line="276" w:lineRule="auto"/>
        <w:jc w:val="both"/>
        <w:rPr>
          <w:rFonts w:asciiTheme="minorHAnsi" w:hAnsiTheme="minorHAnsi" w:cstheme="minorHAnsi"/>
          <w:sz w:val="18"/>
          <w:szCs w:val="18"/>
        </w:rPr>
      </w:pPr>
      <w:r w:rsidRPr="00D02334">
        <w:rPr>
          <w:rFonts w:asciiTheme="minorHAnsi" w:hAnsiTheme="minorHAnsi" w:cstheme="minorHAnsi"/>
          <w:sz w:val="18"/>
          <w:szCs w:val="18"/>
        </w:rPr>
        <w:t xml:space="preserve">Diese Leitlinie ist eine Grundlage für die Diagnostik und Therapie innerhalb des Tumorzentrums </w:t>
      </w:r>
      <w:r w:rsidR="00192465">
        <w:rPr>
          <w:rFonts w:asciiTheme="minorHAnsi" w:hAnsiTheme="minorHAnsi" w:cstheme="minorHAnsi"/>
          <w:sz w:val="18"/>
          <w:szCs w:val="18"/>
        </w:rPr>
        <w:t>Oberösterreich</w:t>
      </w:r>
      <w:r w:rsidRPr="00D02334">
        <w:rPr>
          <w:rFonts w:asciiTheme="minorHAnsi" w:hAnsiTheme="minorHAnsi" w:cstheme="minorHAnsi"/>
          <w:sz w:val="18"/>
          <w:szCs w:val="18"/>
        </w:rPr>
        <w:t xml:space="preserve"> und erhebt nicht den Anspruch auf Vollständigkeit.</w:t>
      </w:r>
      <w:bookmarkStart w:id="0" w:name="_GoBack"/>
      <w:bookmarkEnd w:id="0"/>
    </w:p>
    <w:p w14:paraId="24403C51" w14:textId="77777777" w:rsidR="00D02334" w:rsidRDefault="00D02334" w:rsidP="00D02334">
      <w:pPr>
        <w:spacing w:line="240" w:lineRule="auto"/>
        <w:jc w:val="both"/>
      </w:pPr>
      <w:r w:rsidRPr="00D02334">
        <w:rPr>
          <w:rFonts w:asciiTheme="minorHAnsi" w:hAnsiTheme="minorHAnsi" w:cstheme="minorHAnsi"/>
          <w:sz w:val="18"/>
          <w:szCs w:val="18"/>
        </w:rPr>
        <w:t>Darüberhinaus von den jeweiligen Fachgesellschaften festgelegte Qualitätsstandards sind dem Stand der Wissenschaft entsprechend</w:t>
      </w:r>
      <w:r>
        <w:rPr>
          <w:rFonts w:asciiTheme="minorHAnsi" w:hAnsiTheme="minorHAnsi" w:cstheme="minorHAnsi"/>
          <w:sz w:val="18"/>
          <w:szCs w:val="18"/>
        </w:rPr>
        <w:t xml:space="preserve"> enzubeziehen.</w:t>
      </w:r>
    </w:p>
    <w:p w14:paraId="4F56A35A" w14:textId="77777777" w:rsidR="00D02334" w:rsidRDefault="00D02334">
      <w:pPr>
        <w:spacing w:line="240" w:lineRule="auto"/>
        <w:jc w:val="left"/>
      </w:pPr>
    </w:p>
    <w:p w14:paraId="7DFA4D10" w14:textId="77777777" w:rsidR="00D02334" w:rsidRPr="00D02334" w:rsidRDefault="00D02334" w:rsidP="00D02334">
      <w:pPr>
        <w:spacing w:line="276" w:lineRule="auto"/>
        <w:jc w:val="both"/>
        <w:rPr>
          <w:rFonts w:asciiTheme="minorHAnsi" w:hAnsiTheme="minorHAnsi" w:cstheme="minorHAnsi"/>
          <w:sz w:val="18"/>
          <w:szCs w:val="18"/>
        </w:rPr>
        <w:sectPr w:rsidR="00D02334" w:rsidRPr="00D02334" w:rsidSect="008544D2">
          <w:headerReference w:type="even" r:id="rId11"/>
          <w:headerReference w:type="default" r:id="rId12"/>
          <w:footerReference w:type="default" r:id="rId13"/>
          <w:headerReference w:type="first" r:id="rId14"/>
          <w:footerReference w:type="first" r:id="rId15"/>
          <w:pgSz w:w="11906" w:h="16838"/>
          <w:pgMar w:top="1871" w:right="1106" w:bottom="1134" w:left="1418" w:header="567" w:footer="403" w:gutter="0"/>
          <w:cols w:space="720"/>
        </w:sectPr>
      </w:pPr>
    </w:p>
    <w:sdt>
      <w:sdtPr>
        <w:rPr>
          <w:rFonts w:ascii="Arial" w:eastAsia="Times New Roman" w:hAnsi="Arial" w:cs="Times New Roman"/>
          <w:b w:val="0"/>
          <w:bCs w:val="0"/>
          <w:color w:val="auto"/>
          <w:szCs w:val="20"/>
          <w:lang w:val="de-DE" w:eastAsia="de-DE"/>
        </w:rPr>
        <w:id w:val="-1099178055"/>
        <w:docPartObj>
          <w:docPartGallery w:val="Table of Contents"/>
          <w:docPartUnique/>
        </w:docPartObj>
      </w:sdtPr>
      <w:sdtEndPr/>
      <w:sdtContent>
        <w:p w14:paraId="066B4BD6" w14:textId="77777777" w:rsidR="007F3064" w:rsidRDefault="00524CBE" w:rsidP="007F3064">
          <w:pPr>
            <w:pStyle w:val="Inhaltsverzeichnisberschrift"/>
            <w:shd w:val="clear" w:color="auto" w:fill="FFFFFF" w:themeFill="background1"/>
            <w:rPr>
              <w:rFonts w:asciiTheme="minorHAnsi" w:hAnsiTheme="minorHAnsi" w:cstheme="minorHAnsi"/>
              <w:color w:val="auto"/>
              <w:sz w:val="28"/>
              <w:lang w:val="de-DE"/>
            </w:rPr>
          </w:pPr>
          <w:r>
            <w:rPr>
              <w:rFonts w:asciiTheme="minorHAnsi" w:hAnsiTheme="minorHAnsi" w:cstheme="minorHAnsi"/>
              <w:color w:val="auto"/>
              <w:sz w:val="28"/>
              <w:lang w:val="de-DE"/>
            </w:rPr>
            <w:t>Inhaltsverzeichnis</w:t>
          </w:r>
        </w:p>
        <w:p w14:paraId="5D490F4E" w14:textId="77777777" w:rsidR="007F3064" w:rsidRPr="005B11B2" w:rsidRDefault="007F3064" w:rsidP="005B11B2">
          <w:pPr>
            <w:spacing w:line="276" w:lineRule="auto"/>
            <w:rPr>
              <w:rFonts w:asciiTheme="minorHAnsi" w:hAnsiTheme="minorHAnsi"/>
              <w:lang w:val="de-DE" w:eastAsia="de-AT"/>
            </w:rPr>
          </w:pPr>
        </w:p>
        <w:p w14:paraId="56DD16E0" w14:textId="653EFF27" w:rsidR="00D2023C" w:rsidRPr="00D2023C" w:rsidRDefault="00C37F38" w:rsidP="00D2023C">
          <w:pPr>
            <w:pStyle w:val="Verzeichnis1"/>
            <w:tabs>
              <w:tab w:val="left" w:pos="440"/>
              <w:tab w:val="right" w:leader="dot" w:pos="9372"/>
            </w:tabs>
            <w:spacing w:line="276" w:lineRule="auto"/>
            <w:rPr>
              <w:rFonts w:asciiTheme="minorHAnsi" w:eastAsiaTheme="minorEastAsia" w:hAnsiTheme="minorHAnsi" w:cstheme="minorHAnsi"/>
              <w:noProof/>
              <w:szCs w:val="22"/>
              <w:lang w:eastAsia="de-AT"/>
            </w:rPr>
          </w:pPr>
          <w:r w:rsidRPr="005B11B2">
            <w:rPr>
              <w:rFonts w:asciiTheme="minorHAnsi" w:hAnsiTheme="minorHAnsi"/>
            </w:rPr>
            <w:fldChar w:fldCharType="begin"/>
          </w:r>
          <w:r w:rsidR="007F3064" w:rsidRPr="005B11B2">
            <w:rPr>
              <w:rFonts w:asciiTheme="minorHAnsi" w:hAnsiTheme="minorHAnsi"/>
            </w:rPr>
            <w:instrText xml:space="preserve"> TOC \o "1-3" \h \z \u </w:instrText>
          </w:r>
          <w:r w:rsidRPr="005B11B2">
            <w:rPr>
              <w:rFonts w:asciiTheme="minorHAnsi" w:hAnsiTheme="minorHAnsi"/>
            </w:rPr>
            <w:fldChar w:fldCharType="separate"/>
          </w:r>
          <w:hyperlink w:anchor="_Toc41307590" w:history="1">
            <w:r w:rsidR="00D2023C" w:rsidRPr="00D2023C">
              <w:rPr>
                <w:rStyle w:val="Hyperlink"/>
                <w:rFonts w:asciiTheme="minorHAnsi" w:hAnsiTheme="minorHAnsi" w:cstheme="minorHAnsi"/>
                <w:noProof/>
              </w:rPr>
              <w:t>1</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Allgemeines</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_Toc41307590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sidR="00D62E15">
              <w:rPr>
                <w:rFonts w:asciiTheme="minorHAnsi" w:hAnsiTheme="minorHAnsi" w:cstheme="minorHAnsi"/>
                <w:noProof/>
                <w:webHidden/>
              </w:rPr>
              <w:t>3</w:t>
            </w:r>
            <w:r w:rsidR="00D2023C" w:rsidRPr="00D2023C">
              <w:rPr>
                <w:rFonts w:asciiTheme="minorHAnsi" w:hAnsiTheme="minorHAnsi" w:cstheme="minorHAnsi"/>
                <w:noProof/>
                <w:webHidden/>
              </w:rPr>
              <w:fldChar w:fldCharType="end"/>
            </w:r>
          </w:hyperlink>
        </w:p>
        <w:p w14:paraId="7AC36CA8" w14:textId="74C40559" w:rsidR="00D2023C" w:rsidRPr="00D2023C" w:rsidRDefault="00D62E15" w:rsidP="00D2023C">
          <w:pPr>
            <w:pStyle w:val="Verzeichnis2"/>
            <w:tabs>
              <w:tab w:val="left" w:pos="880"/>
              <w:tab w:val="right" w:leader="dot" w:pos="9372"/>
            </w:tabs>
            <w:spacing w:line="276" w:lineRule="auto"/>
            <w:rPr>
              <w:rFonts w:asciiTheme="minorHAnsi" w:eastAsiaTheme="minorEastAsia" w:hAnsiTheme="minorHAnsi" w:cstheme="minorHAnsi"/>
              <w:noProof/>
              <w:szCs w:val="22"/>
              <w:lang w:eastAsia="de-AT"/>
            </w:rPr>
          </w:pPr>
          <w:hyperlink w:anchor="_Toc41307591" w:history="1">
            <w:r w:rsidR="00D2023C" w:rsidRPr="00D2023C">
              <w:rPr>
                <w:rStyle w:val="Hyperlink"/>
                <w:rFonts w:asciiTheme="minorHAnsi" w:hAnsiTheme="minorHAnsi" w:cstheme="minorHAnsi"/>
                <w:noProof/>
              </w:rPr>
              <w:t>1.1</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„GIST auf einer Seite“</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_Toc41307591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3</w:t>
            </w:r>
            <w:r w:rsidR="00D2023C" w:rsidRPr="00D2023C">
              <w:rPr>
                <w:rFonts w:asciiTheme="minorHAnsi" w:hAnsiTheme="minorHAnsi" w:cstheme="minorHAnsi"/>
                <w:noProof/>
                <w:webHidden/>
              </w:rPr>
              <w:fldChar w:fldCharType="end"/>
            </w:r>
          </w:hyperlink>
        </w:p>
        <w:p w14:paraId="362C6EB4" w14:textId="7371727C" w:rsidR="00D2023C" w:rsidRPr="00D2023C" w:rsidRDefault="00D62E15" w:rsidP="00D2023C">
          <w:pPr>
            <w:pStyle w:val="Verzeichnis2"/>
            <w:tabs>
              <w:tab w:val="left" w:pos="880"/>
              <w:tab w:val="right" w:leader="dot" w:pos="9372"/>
            </w:tabs>
            <w:spacing w:line="276" w:lineRule="auto"/>
            <w:rPr>
              <w:rFonts w:asciiTheme="minorHAnsi" w:eastAsiaTheme="minorEastAsia" w:hAnsiTheme="minorHAnsi" w:cstheme="minorHAnsi"/>
              <w:noProof/>
              <w:szCs w:val="22"/>
              <w:lang w:eastAsia="de-AT"/>
            </w:rPr>
          </w:pPr>
          <w:hyperlink w:anchor="_Toc41307592" w:history="1">
            <w:r w:rsidR="00D2023C" w:rsidRPr="00D2023C">
              <w:rPr>
                <w:rStyle w:val="Hyperlink"/>
                <w:rFonts w:asciiTheme="minorHAnsi" w:hAnsiTheme="minorHAnsi" w:cstheme="minorHAnsi"/>
                <w:noProof/>
                <w:lang w:val="de-DE"/>
              </w:rPr>
              <w:t>1.2</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lang w:val="de-DE"/>
              </w:rPr>
              <w:t>Allgemeines</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_Toc41307592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3</w:t>
            </w:r>
            <w:r w:rsidR="00D2023C" w:rsidRPr="00D2023C">
              <w:rPr>
                <w:rFonts w:asciiTheme="minorHAnsi" w:hAnsiTheme="minorHAnsi" w:cstheme="minorHAnsi"/>
                <w:noProof/>
                <w:webHidden/>
              </w:rPr>
              <w:fldChar w:fldCharType="end"/>
            </w:r>
          </w:hyperlink>
        </w:p>
        <w:p w14:paraId="619FCB07" w14:textId="7F8D93AD" w:rsidR="00D2023C" w:rsidRPr="00D2023C" w:rsidRDefault="00D62E15" w:rsidP="00D2023C">
          <w:pPr>
            <w:pStyle w:val="Verzeichnis2"/>
            <w:tabs>
              <w:tab w:val="left" w:pos="880"/>
              <w:tab w:val="right" w:leader="dot" w:pos="9372"/>
            </w:tabs>
            <w:spacing w:line="276" w:lineRule="auto"/>
            <w:rPr>
              <w:rFonts w:asciiTheme="minorHAnsi" w:eastAsiaTheme="minorEastAsia" w:hAnsiTheme="minorHAnsi" w:cstheme="minorHAnsi"/>
              <w:noProof/>
              <w:szCs w:val="22"/>
              <w:lang w:eastAsia="de-AT"/>
            </w:rPr>
          </w:pPr>
          <w:hyperlink w:anchor="_Toc41307593" w:history="1">
            <w:r w:rsidR="00D2023C" w:rsidRPr="00D2023C">
              <w:rPr>
                <w:rStyle w:val="Hyperlink"/>
                <w:rFonts w:asciiTheme="minorHAnsi" w:hAnsiTheme="minorHAnsi" w:cstheme="minorHAnsi"/>
                <w:noProof/>
              </w:rPr>
              <w:t>1.3</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Genetik und molekulare Pathologie</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_Toc41307593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4</w:t>
            </w:r>
            <w:r w:rsidR="00D2023C" w:rsidRPr="00D2023C">
              <w:rPr>
                <w:rFonts w:asciiTheme="minorHAnsi" w:hAnsiTheme="minorHAnsi" w:cstheme="minorHAnsi"/>
                <w:noProof/>
                <w:webHidden/>
              </w:rPr>
              <w:fldChar w:fldCharType="end"/>
            </w:r>
          </w:hyperlink>
        </w:p>
        <w:p w14:paraId="4A3CAB00" w14:textId="5B46636F" w:rsidR="00D2023C" w:rsidRPr="00D2023C" w:rsidRDefault="00D62E15" w:rsidP="00D2023C">
          <w:pPr>
            <w:pStyle w:val="Verzeichnis1"/>
            <w:tabs>
              <w:tab w:val="left" w:pos="440"/>
              <w:tab w:val="right" w:leader="dot" w:pos="9372"/>
            </w:tabs>
            <w:spacing w:line="276" w:lineRule="auto"/>
            <w:rPr>
              <w:rFonts w:asciiTheme="minorHAnsi" w:eastAsiaTheme="minorEastAsia" w:hAnsiTheme="minorHAnsi" w:cstheme="minorHAnsi"/>
              <w:noProof/>
              <w:szCs w:val="22"/>
              <w:lang w:eastAsia="de-AT"/>
            </w:rPr>
          </w:pPr>
          <w:hyperlink w:anchor="_Toc41307594" w:history="1">
            <w:r w:rsidR="00D2023C" w:rsidRPr="00D2023C">
              <w:rPr>
                <w:rStyle w:val="Hyperlink"/>
                <w:rFonts w:asciiTheme="minorHAnsi" w:hAnsiTheme="minorHAnsi" w:cstheme="minorHAnsi"/>
                <w:noProof/>
              </w:rPr>
              <w:t>2</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Diagnostik und Scoring</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_Toc41307594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6</w:t>
            </w:r>
            <w:r w:rsidR="00D2023C" w:rsidRPr="00D2023C">
              <w:rPr>
                <w:rFonts w:asciiTheme="minorHAnsi" w:hAnsiTheme="minorHAnsi" w:cstheme="minorHAnsi"/>
                <w:noProof/>
                <w:webHidden/>
              </w:rPr>
              <w:fldChar w:fldCharType="end"/>
            </w:r>
          </w:hyperlink>
        </w:p>
        <w:p w14:paraId="14790894" w14:textId="484872AF" w:rsidR="00D2023C" w:rsidRPr="00D2023C" w:rsidRDefault="00D62E15" w:rsidP="00D2023C">
          <w:pPr>
            <w:pStyle w:val="Verzeichnis2"/>
            <w:tabs>
              <w:tab w:val="left" w:pos="880"/>
              <w:tab w:val="right" w:leader="dot" w:pos="9372"/>
            </w:tabs>
            <w:spacing w:line="276" w:lineRule="auto"/>
            <w:rPr>
              <w:rFonts w:asciiTheme="minorHAnsi" w:eastAsiaTheme="minorEastAsia" w:hAnsiTheme="minorHAnsi" w:cstheme="minorHAnsi"/>
              <w:noProof/>
              <w:szCs w:val="22"/>
              <w:lang w:eastAsia="de-AT"/>
            </w:rPr>
          </w:pPr>
          <w:hyperlink w:anchor="_Toc41307595" w:history="1">
            <w:r w:rsidR="00D2023C" w:rsidRPr="00D2023C">
              <w:rPr>
                <w:rStyle w:val="Hyperlink"/>
                <w:rFonts w:asciiTheme="minorHAnsi" w:hAnsiTheme="minorHAnsi" w:cstheme="minorHAnsi"/>
                <w:noProof/>
              </w:rPr>
              <w:t>2.1</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Diagnose</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_Toc41307595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6</w:t>
            </w:r>
            <w:r w:rsidR="00D2023C" w:rsidRPr="00D2023C">
              <w:rPr>
                <w:rFonts w:asciiTheme="minorHAnsi" w:hAnsiTheme="minorHAnsi" w:cstheme="minorHAnsi"/>
                <w:noProof/>
                <w:webHidden/>
              </w:rPr>
              <w:fldChar w:fldCharType="end"/>
            </w:r>
          </w:hyperlink>
        </w:p>
        <w:p w14:paraId="024AC69F" w14:textId="03D8B931" w:rsidR="00D2023C" w:rsidRPr="00D2023C" w:rsidRDefault="00D62E15" w:rsidP="00D2023C">
          <w:pPr>
            <w:pStyle w:val="Verzeichnis2"/>
            <w:tabs>
              <w:tab w:val="left" w:pos="880"/>
              <w:tab w:val="right" w:leader="dot" w:pos="9372"/>
            </w:tabs>
            <w:spacing w:line="276" w:lineRule="auto"/>
            <w:rPr>
              <w:rFonts w:asciiTheme="minorHAnsi" w:eastAsiaTheme="minorEastAsia" w:hAnsiTheme="minorHAnsi" w:cstheme="minorHAnsi"/>
              <w:noProof/>
              <w:szCs w:val="22"/>
              <w:lang w:eastAsia="de-AT"/>
            </w:rPr>
          </w:pPr>
          <w:hyperlink w:anchor="_Toc41307596" w:history="1">
            <w:r w:rsidR="00D2023C" w:rsidRPr="00D2023C">
              <w:rPr>
                <w:rStyle w:val="Hyperlink"/>
                <w:rFonts w:asciiTheme="minorHAnsi" w:hAnsiTheme="minorHAnsi" w:cstheme="minorHAnsi"/>
                <w:noProof/>
              </w:rPr>
              <w:t>2.2</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Staging</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_Toc41307596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7</w:t>
            </w:r>
            <w:r w:rsidR="00D2023C" w:rsidRPr="00D2023C">
              <w:rPr>
                <w:rFonts w:asciiTheme="minorHAnsi" w:hAnsiTheme="minorHAnsi" w:cstheme="minorHAnsi"/>
                <w:noProof/>
                <w:webHidden/>
              </w:rPr>
              <w:fldChar w:fldCharType="end"/>
            </w:r>
          </w:hyperlink>
        </w:p>
        <w:p w14:paraId="09B285BA" w14:textId="53D91D09" w:rsidR="00D2023C" w:rsidRPr="00D2023C" w:rsidRDefault="00D62E15" w:rsidP="00D2023C">
          <w:pPr>
            <w:pStyle w:val="Verzeichnis2"/>
            <w:tabs>
              <w:tab w:val="left" w:pos="880"/>
              <w:tab w:val="right" w:leader="dot" w:pos="9372"/>
            </w:tabs>
            <w:spacing w:line="276" w:lineRule="auto"/>
            <w:rPr>
              <w:rFonts w:asciiTheme="minorHAnsi" w:eastAsiaTheme="minorEastAsia" w:hAnsiTheme="minorHAnsi" w:cstheme="minorHAnsi"/>
              <w:noProof/>
              <w:szCs w:val="22"/>
              <w:lang w:eastAsia="de-AT"/>
            </w:rPr>
          </w:pPr>
          <w:hyperlink w:anchor="_Toc41307597" w:history="1">
            <w:r w:rsidR="00D2023C" w:rsidRPr="00D2023C">
              <w:rPr>
                <w:rStyle w:val="Hyperlink"/>
                <w:rFonts w:asciiTheme="minorHAnsi" w:hAnsiTheme="minorHAnsi" w:cstheme="minorHAnsi"/>
                <w:noProof/>
              </w:rPr>
              <w:t xml:space="preserve">2.3 </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Risiko</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_Toc41307597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8</w:t>
            </w:r>
            <w:r w:rsidR="00D2023C" w:rsidRPr="00D2023C">
              <w:rPr>
                <w:rFonts w:asciiTheme="minorHAnsi" w:hAnsiTheme="minorHAnsi" w:cstheme="minorHAnsi"/>
                <w:noProof/>
                <w:webHidden/>
              </w:rPr>
              <w:fldChar w:fldCharType="end"/>
            </w:r>
          </w:hyperlink>
        </w:p>
        <w:p w14:paraId="20C0DA63" w14:textId="0B9BC0EE" w:rsidR="00D2023C" w:rsidRPr="00D2023C" w:rsidRDefault="00D62E15" w:rsidP="00D2023C">
          <w:pPr>
            <w:pStyle w:val="Verzeichnis1"/>
            <w:tabs>
              <w:tab w:val="left" w:pos="440"/>
              <w:tab w:val="right" w:leader="dot" w:pos="9372"/>
            </w:tabs>
            <w:spacing w:line="276" w:lineRule="auto"/>
            <w:rPr>
              <w:rFonts w:asciiTheme="minorHAnsi" w:eastAsiaTheme="minorEastAsia" w:hAnsiTheme="minorHAnsi" w:cstheme="minorHAnsi"/>
              <w:noProof/>
              <w:szCs w:val="22"/>
              <w:lang w:eastAsia="de-AT"/>
            </w:rPr>
          </w:pPr>
          <w:hyperlink w:anchor="_Toc41307598" w:history="1">
            <w:r w:rsidR="00D2023C" w:rsidRPr="00D2023C">
              <w:rPr>
                <w:rStyle w:val="Hyperlink"/>
                <w:rFonts w:asciiTheme="minorHAnsi" w:hAnsiTheme="minorHAnsi" w:cstheme="minorHAnsi"/>
                <w:noProof/>
              </w:rPr>
              <w:t>3</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Behandlungsplan</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_Toc41307598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11</w:t>
            </w:r>
            <w:r w:rsidR="00D2023C" w:rsidRPr="00D2023C">
              <w:rPr>
                <w:rFonts w:asciiTheme="minorHAnsi" w:hAnsiTheme="minorHAnsi" w:cstheme="minorHAnsi"/>
                <w:noProof/>
                <w:webHidden/>
              </w:rPr>
              <w:fldChar w:fldCharType="end"/>
            </w:r>
          </w:hyperlink>
        </w:p>
        <w:p w14:paraId="2186B9B6" w14:textId="3A5887A9" w:rsidR="00D2023C" w:rsidRPr="00D2023C" w:rsidRDefault="00D62E15" w:rsidP="00D2023C">
          <w:pPr>
            <w:pStyle w:val="Verzeichnis2"/>
            <w:tabs>
              <w:tab w:val="left" w:pos="880"/>
              <w:tab w:val="right" w:leader="dot" w:pos="9372"/>
            </w:tabs>
            <w:spacing w:line="276" w:lineRule="auto"/>
            <w:rPr>
              <w:rFonts w:asciiTheme="minorHAnsi" w:eastAsiaTheme="minorEastAsia" w:hAnsiTheme="minorHAnsi" w:cstheme="minorHAnsi"/>
              <w:noProof/>
              <w:szCs w:val="22"/>
              <w:lang w:eastAsia="de-AT"/>
            </w:rPr>
          </w:pPr>
          <w:hyperlink w:anchor="_Toc41307599" w:history="1">
            <w:r w:rsidR="00D2023C" w:rsidRPr="00D2023C">
              <w:rPr>
                <w:rStyle w:val="Hyperlink"/>
                <w:rFonts w:asciiTheme="minorHAnsi" w:hAnsiTheme="minorHAnsi" w:cstheme="minorHAnsi"/>
                <w:noProof/>
                <w:shd w:val="clear" w:color="auto" w:fill="FFFFFF"/>
                <w:lang w:val="de-DE"/>
              </w:rPr>
              <w:t>3.1</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shd w:val="clear" w:color="auto" w:fill="FFFFFF"/>
                <w:lang w:val="de-DE"/>
              </w:rPr>
              <w:t>Nicht metastasiert, prim</w:t>
            </w:r>
            <w:r w:rsidR="00D2023C" w:rsidRPr="00D2023C">
              <w:rPr>
                <w:rStyle w:val="Hyperlink"/>
                <w:rFonts w:asciiTheme="minorHAnsi" w:hAnsiTheme="minorHAnsi" w:cstheme="minorHAnsi"/>
                <w:noProof/>
                <w:shd w:val="clear" w:color="auto" w:fill="FFFFFF"/>
              </w:rPr>
              <w:t>är operabel</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_Toc41307599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13</w:t>
            </w:r>
            <w:r w:rsidR="00D2023C" w:rsidRPr="00D2023C">
              <w:rPr>
                <w:rFonts w:asciiTheme="minorHAnsi" w:hAnsiTheme="minorHAnsi" w:cstheme="minorHAnsi"/>
                <w:noProof/>
                <w:webHidden/>
              </w:rPr>
              <w:fldChar w:fldCharType="end"/>
            </w:r>
          </w:hyperlink>
        </w:p>
        <w:p w14:paraId="488F36B9" w14:textId="0DDF3929" w:rsidR="00D2023C" w:rsidRPr="00D2023C" w:rsidRDefault="00D62E15" w:rsidP="00D2023C">
          <w:pPr>
            <w:pStyle w:val="Verzeichnis2"/>
            <w:tabs>
              <w:tab w:val="left" w:pos="880"/>
              <w:tab w:val="right" w:leader="dot" w:pos="9372"/>
            </w:tabs>
            <w:spacing w:line="276" w:lineRule="auto"/>
            <w:rPr>
              <w:rFonts w:asciiTheme="minorHAnsi" w:eastAsiaTheme="minorEastAsia" w:hAnsiTheme="minorHAnsi" w:cstheme="minorHAnsi"/>
              <w:noProof/>
              <w:szCs w:val="22"/>
              <w:lang w:eastAsia="de-AT"/>
            </w:rPr>
          </w:pPr>
          <w:hyperlink w:anchor="_Toc41307600" w:history="1">
            <w:r w:rsidR="00D2023C" w:rsidRPr="00D2023C">
              <w:rPr>
                <w:rStyle w:val="Hyperlink"/>
                <w:rFonts w:asciiTheme="minorHAnsi" w:hAnsiTheme="minorHAnsi" w:cstheme="minorHAnsi"/>
                <w:noProof/>
              </w:rPr>
              <w:t>3.2</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Nicht metastasiert, inoperabel oder nur mit hohem Risiko operabel</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_Toc41307600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14</w:t>
            </w:r>
            <w:r w:rsidR="00D2023C" w:rsidRPr="00D2023C">
              <w:rPr>
                <w:rFonts w:asciiTheme="minorHAnsi" w:hAnsiTheme="minorHAnsi" w:cstheme="minorHAnsi"/>
                <w:noProof/>
                <w:webHidden/>
              </w:rPr>
              <w:fldChar w:fldCharType="end"/>
            </w:r>
          </w:hyperlink>
        </w:p>
        <w:p w14:paraId="393330DC" w14:textId="058DF816" w:rsidR="00D2023C" w:rsidRPr="00D2023C" w:rsidRDefault="00D62E15" w:rsidP="00D2023C">
          <w:pPr>
            <w:pStyle w:val="Verzeichnis2"/>
            <w:tabs>
              <w:tab w:val="left" w:pos="880"/>
              <w:tab w:val="right" w:leader="dot" w:pos="9372"/>
            </w:tabs>
            <w:spacing w:line="276" w:lineRule="auto"/>
            <w:rPr>
              <w:rFonts w:asciiTheme="minorHAnsi" w:eastAsiaTheme="minorEastAsia" w:hAnsiTheme="minorHAnsi" w:cstheme="minorHAnsi"/>
              <w:noProof/>
              <w:szCs w:val="22"/>
              <w:lang w:eastAsia="de-AT"/>
            </w:rPr>
          </w:pPr>
          <w:hyperlink w:anchor="_Toc41307601" w:history="1">
            <w:r w:rsidR="00D2023C" w:rsidRPr="00D2023C">
              <w:rPr>
                <w:rStyle w:val="Hyperlink"/>
                <w:rFonts w:asciiTheme="minorHAnsi" w:hAnsiTheme="minorHAnsi" w:cstheme="minorHAnsi"/>
                <w:noProof/>
              </w:rPr>
              <w:t>3.3</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Metastasiert</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_Toc41307601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15</w:t>
            </w:r>
            <w:r w:rsidR="00D2023C" w:rsidRPr="00D2023C">
              <w:rPr>
                <w:rFonts w:asciiTheme="minorHAnsi" w:hAnsiTheme="minorHAnsi" w:cstheme="minorHAnsi"/>
                <w:noProof/>
                <w:webHidden/>
              </w:rPr>
              <w:fldChar w:fldCharType="end"/>
            </w:r>
          </w:hyperlink>
        </w:p>
        <w:p w14:paraId="7BE63B63" w14:textId="1F370D63" w:rsidR="00D2023C" w:rsidRPr="00D2023C" w:rsidRDefault="00D62E15" w:rsidP="00D2023C">
          <w:pPr>
            <w:pStyle w:val="Verzeichnis2"/>
            <w:tabs>
              <w:tab w:val="left" w:pos="880"/>
              <w:tab w:val="right" w:leader="dot" w:pos="9372"/>
            </w:tabs>
            <w:spacing w:line="276" w:lineRule="auto"/>
            <w:rPr>
              <w:rFonts w:asciiTheme="minorHAnsi" w:eastAsiaTheme="minorEastAsia" w:hAnsiTheme="minorHAnsi" w:cstheme="minorHAnsi"/>
              <w:noProof/>
              <w:szCs w:val="22"/>
              <w:lang w:eastAsia="de-AT"/>
            </w:rPr>
          </w:pPr>
          <w:hyperlink w:anchor="_Toc41307602" w:history="1">
            <w:r w:rsidR="00D2023C" w:rsidRPr="00D2023C">
              <w:rPr>
                <w:rStyle w:val="Hyperlink"/>
                <w:rFonts w:asciiTheme="minorHAnsi" w:hAnsiTheme="minorHAnsi" w:cstheme="minorHAnsi"/>
                <w:noProof/>
              </w:rPr>
              <w:t xml:space="preserve">3.4. </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Rezidiv nach adjuvanter Therapie</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_Toc41307602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15</w:t>
            </w:r>
            <w:r w:rsidR="00D2023C" w:rsidRPr="00D2023C">
              <w:rPr>
                <w:rFonts w:asciiTheme="minorHAnsi" w:hAnsiTheme="minorHAnsi" w:cstheme="minorHAnsi"/>
                <w:noProof/>
                <w:webHidden/>
              </w:rPr>
              <w:fldChar w:fldCharType="end"/>
            </w:r>
          </w:hyperlink>
        </w:p>
        <w:p w14:paraId="4A815281" w14:textId="6CFBDFF4" w:rsidR="00D2023C" w:rsidRPr="00D2023C" w:rsidRDefault="00D62E15" w:rsidP="00D2023C">
          <w:pPr>
            <w:pStyle w:val="Verzeichnis2"/>
            <w:tabs>
              <w:tab w:val="left" w:pos="880"/>
              <w:tab w:val="right" w:leader="dot" w:pos="9372"/>
            </w:tabs>
            <w:spacing w:line="276" w:lineRule="auto"/>
            <w:rPr>
              <w:rFonts w:asciiTheme="minorHAnsi" w:eastAsiaTheme="minorEastAsia" w:hAnsiTheme="minorHAnsi" w:cstheme="minorHAnsi"/>
              <w:noProof/>
              <w:szCs w:val="22"/>
              <w:lang w:eastAsia="de-AT"/>
            </w:rPr>
          </w:pPr>
          <w:hyperlink w:anchor="_Toc41307603" w:history="1">
            <w:r w:rsidR="00D2023C" w:rsidRPr="00D2023C">
              <w:rPr>
                <w:rStyle w:val="Hyperlink"/>
                <w:rFonts w:asciiTheme="minorHAnsi" w:hAnsiTheme="minorHAnsi" w:cstheme="minorHAnsi"/>
                <w:noProof/>
              </w:rPr>
              <w:t>3.7</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Progress unter Imatinib</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_Toc41307603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15</w:t>
            </w:r>
            <w:r w:rsidR="00D2023C" w:rsidRPr="00D2023C">
              <w:rPr>
                <w:rFonts w:asciiTheme="minorHAnsi" w:hAnsiTheme="minorHAnsi" w:cstheme="minorHAnsi"/>
                <w:noProof/>
                <w:webHidden/>
              </w:rPr>
              <w:fldChar w:fldCharType="end"/>
            </w:r>
          </w:hyperlink>
        </w:p>
        <w:p w14:paraId="5E46FD59" w14:textId="76F78512" w:rsidR="00D2023C" w:rsidRPr="00D2023C" w:rsidRDefault="00D62E15" w:rsidP="00D2023C">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41307604" w:history="1">
            <w:r w:rsidR="00D2023C" w:rsidRPr="00D2023C">
              <w:rPr>
                <w:rStyle w:val="Hyperlink"/>
                <w:rFonts w:asciiTheme="minorHAnsi" w:hAnsiTheme="minorHAnsi" w:cstheme="minorHAnsi"/>
                <w:noProof/>
              </w:rPr>
              <w:t>3.7.1</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Insuffiziente Plasmaspiegel</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_Toc41307604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16</w:t>
            </w:r>
            <w:r w:rsidR="00D2023C" w:rsidRPr="00D2023C">
              <w:rPr>
                <w:rFonts w:asciiTheme="minorHAnsi" w:hAnsiTheme="minorHAnsi" w:cstheme="minorHAnsi"/>
                <w:noProof/>
                <w:webHidden/>
              </w:rPr>
              <w:fldChar w:fldCharType="end"/>
            </w:r>
          </w:hyperlink>
        </w:p>
        <w:p w14:paraId="64721B0B" w14:textId="4711A0A3" w:rsidR="00D2023C" w:rsidRPr="00D2023C" w:rsidRDefault="00D62E15" w:rsidP="00D2023C">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41307605" w:history="1">
            <w:r w:rsidR="00D2023C" w:rsidRPr="00D2023C">
              <w:rPr>
                <w:rStyle w:val="Hyperlink"/>
                <w:rFonts w:asciiTheme="minorHAnsi" w:hAnsiTheme="minorHAnsi" w:cstheme="minorHAnsi"/>
                <w:noProof/>
              </w:rPr>
              <w:t>3.7.2</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Sekundäre Resistenzen</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_Toc41307605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16</w:t>
            </w:r>
            <w:r w:rsidR="00D2023C" w:rsidRPr="00D2023C">
              <w:rPr>
                <w:rFonts w:asciiTheme="minorHAnsi" w:hAnsiTheme="minorHAnsi" w:cstheme="minorHAnsi"/>
                <w:noProof/>
                <w:webHidden/>
              </w:rPr>
              <w:fldChar w:fldCharType="end"/>
            </w:r>
          </w:hyperlink>
        </w:p>
        <w:p w14:paraId="08845B6D" w14:textId="3672746E" w:rsidR="00D2023C" w:rsidRPr="00D2023C" w:rsidRDefault="00D62E15" w:rsidP="00D2023C">
          <w:pPr>
            <w:pStyle w:val="Verzeichnis2"/>
            <w:tabs>
              <w:tab w:val="left" w:pos="880"/>
              <w:tab w:val="right" w:leader="dot" w:pos="9372"/>
            </w:tabs>
            <w:spacing w:line="276" w:lineRule="auto"/>
            <w:rPr>
              <w:rFonts w:asciiTheme="minorHAnsi" w:eastAsiaTheme="minorEastAsia" w:hAnsiTheme="minorHAnsi" w:cstheme="minorHAnsi"/>
              <w:noProof/>
              <w:szCs w:val="22"/>
              <w:lang w:eastAsia="de-AT"/>
            </w:rPr>
          </w:pPr>
          <w:hyperlink w:anchor="_Toc41307606" w:history="1">
            <w:r w:rsidR="00D2023C" w:rsidRPr="00D2023C">
              <w:rPr>
                <w:rStyle w:val="Hyperlink"/>
                <w:rFonts w:asciiTheme="minorHAnsi" w:hAnsiTheme="minorHAnsi" w:cstheme="minorHAnsi"/>
                <w:noProof/>
              </w:rPr>
              <w:t>3.8</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Ansprechen</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_Toc41307606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18</w:t>
            </w:r>
            <w:r w:rsidR="00D2023C" w:rsidRPr="00D2023C">
              <w:rPr>
                <w:rFonts w:asciiTheme="minorHAnsi" w:hAnsiTheme="minorHAnsi" w:cstheme="minorHAnsi"/>
                <w:noProof/>
                <w:webHidden/>
              </w:rPr>
              <w:fldChar w:fldCharType="end"/>
            </w:r>
          </w:hyperlink>
        </w:p>
        <w:p w14:paraId="58B423B0" w14:textId="3CE2B098" w:rsidR="00D2023C" w:rsidRPr="00D2023C" w:rsidRDefault="00D62E15" w:rsidP="00D2023C">
          <w:pPr>
            <w:pStyle w:val="Verzeichnis1"/>
            <w:tabs>
              <w:tab w:val="left" w:pos="440"/>
              <w:tab w:val="right" w:leader="dot" w:pos="9372"/>
            </w:tabs>
            <w:spacing w:line="276" w:lineRule="auto"/>
            <w:rPr>
              <w:rFonts w:asciiTheme="minorHAnsi" w:eastAsiaTheme="minorEastAsia" w:hAnsiTheme="minorHAnsi" w:cstheme="minorHAnsi"/>
              <w:noProof/>
              <w:szCs w:val="22"/>
              <w:lang w:eastAsia="de-AT"/>
            </w:rPr>
          </w:pPr>
          <w:hyperlink w:anchor="_Toc41307607" w:history="1">
            <w:r w:rsidR="00D2023C" w:rsidRPr="00D2023C">
              <w:rPr>
                <w:rStyle w:val="Hyperlink"/>
                <w:rFonts w:asciiTheme="minorHAnsi" w:hAnsiTheme="minorHAnsi" w:cstheme="minorHAnsi"/>
                <w:noProof/>
              </w:rPr>
              <w:t>4</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Besondere klinische Situationen</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_Toc41307607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19</w:t>
            </w:r>
            <w:r w:rsidR="00D2023C" w:rsidRPr="00D2023C">
              <w:rPr>
                <w:rFonts w:asciiTheme="minorHAnsi" w:hAnsiTheme="minorHAnsi" w:cstheme="minorHAnsi"/>
                <w:noProof/>
                <w:webHidden/>
              </w:rPr>
              <w:fldChar w:fldCharType="end"/>
            </w:r>
          </w:hyperlink>
        </w:p>
        <w:p w14:paraId="11C9EE88" w14:textId="465CFB6C" w:rsidR="00D2023C" w:rsidRPr="00D2023C" w:rsidRDefault="00D62E15" w:rsidP="00D2023C">
          <w:pPr>
            <w:pStyle w:val="Verzeichnis1"/>
            <w:tabs>
              <w:tab w:val="left" w:pos="440"/>
              <w:tab w:val="right" w:leader="dot" w:pos="9372"/>
            </w:tabs>
            <w:spacing w:line="276" w:lineRule="auto"/>
            <w:rPr>
              <w:rFonts w:asciiTheme="minorHAnsi" w:eastAsiaTheme="minorEastAsia" w:hAnsiTheme="minorHAnsi" w:cstheme="minorHAnsi"/>
              <w:noProof/>
              <w:szCs w:val="22"/>
              <w:lang w:eastAsia="de-AT"/>
            </w:rPr>
          </w:pPr>
          <w:hyperlink w:anchor="_Toc41307608" w:history="1">
            <w:r w:rsidR="00D2023C" w:rsidRPr="00D2023C">
              <w:rPr>
                <w:rStyle w:val="Hyperlink"/>
                <w:rFonts w:asciiTheme="minorHAnsi" w:hAnsiTheme="minorHAnsi" w:cstheme="minorHAnsi"/>
                <w:noProof/>
              </w:rPr>
              <w:t>5</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Verlaufskontrolle und Nachsorge</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_Toc41307608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19</w:t>
            </w:r>
            <w:r w:rsidR="00D2023C" w:rsidRPr="00D2023C">
              <w:rPr>
                <w:rFonts w:asciiTheme="minorHAnsi" w:hAnsiTheme="minorHAnsi" w:cstheme="minorHAnsi"/>
                <w:noProof/>
                <w:webHidden/>
              </w:rPr>
              <w:fldChar w:fldCharType="end"/>
            </w:r>
          </w:hyperlink>
        </w:p>
        <w:p w14:paraId="0AD097D9" w14:textId="10ED27B9" w:rsidR="00D2023C" w:rsidRPr="00D2023C" w:rsidRDefault="00D62E15" w:rsidP="00D2023C">
          <w:pPr>
            <w:pStyle w:val="Verzeichnis1"/>
            <w:tabs>
              <w:tab w:val="left" w:pos="440"/>
              <w:tab w:val="right" w:leader="dot" w:pos="9372"/>
            </w:tabs>
            <w:spacing w:line="276" w:lineRule="auto"/>
            <w:rPr>
              <w:rFonts w:asciiTheme="minorHAnsi" w:eastAsiaTheme="minorEastAsia" w:hAnsiTheme="minorHAnsi" w:cstheme="minorHAnsi"/>
              <w:noProof/>
              <w:szCs w:val="22"/>
              <w:lang w:eastAsia="de-AT"/>
            </w:rPr>
          </w:pPr>
          <w:hyperlink w:anchor="_Toc41307609" w:history="1">
            <w:r w:rsidR="00D2023C" w:rsidRPr="00D2023C">
              <w:rPr>
                <w:rStyle w:val="Hyperlink"/>
                <w:rFonts w:asciiTheme="minorHAnsi" w:hAnsiTheme="minorHAnsi" w:cstheme="minorHAnsi"/>
                <w:noProof/>
              </w:rPr>
              <w:t>6</w:t>
            </w:r>
            <w:r w:rsidR="00D2023C" w:rsidRPr="00D2023C">
              <w:rPr>
                <w:rFonts w:asciiTheme="minorHAnsi" w:eastAsiaTheme="minorEastAsia" w:hAnsiTheme="minorHAnsi" w:cstheme="minorHAnsi"/>
                <w:noProof/>
                <w:szCs w:val="22"/>
                <w:lang w:eastAsia="de-AT"/>
              </w:rPr>
              <w:tab/>
            </w:r>
            <w:r w:rsidR="00D2023C" w:rsidRPr="00D2023C">
              <w:rPr>
                <w:rStyle w:val="Hyperlink"/>
                <w:rFonts w:asciiTheme="minorHAnsi" w:hAnsiTheme="minorHAnsi" w:cstheme="minorHAnsi"/>
                <w:noProof/>
              </w:rPr>
              <w:t>Dokumentation und Qualitätsparameter</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_Toc41307609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19</w:t>
            </w:r>
            <w:r w:rsidR="00D2023C" w:rsidRPr="00D2023C">
              <w:rPr>
                <w:rFonts w:asciiTheme="minorHAnsi" w:hAnsiTheme="minorHAnsi" w:cstheme="minorHAnsi"/>
                <w:noProof/>
                <w:webHidden/>
              </w:rPr>
              <w:fldChar w:fldCharType="end"/>
            </w:r>
          </w:hyperlink>
        </w:p>
        <w:p w14:paraId="7F5E1B66" w14:textId="6FEBED3D" w:rsidR="00D2023C" w:rsidRPr="00D2023C" w:rsidRDefault="00D62E15" w:rsidP="00D2023C">
          <w:pPr>
            <w:pStyle w:val="Verzeichnis1"/>
            <w:tabs>
              <w:tab w:val="right" w:leader="dot" w:pos="9372"/>
            </w:tabs>
            <w:spacing w:line="276" w:lineRule="auto"/>
            <w:rPr>
              <w:rFonts w:asciiTheme="minorHAnsi" w:eastAsiaTheme="minorEastAsia" w:hAnsiTheme="minorHAnsi" w:cstheme="minorHAnsi"/>
              <w:noProof/>
              <w:szCs w:val="22"/>
              <w:lang w:eastAsia="de-AT"/>
            </w:rPr>
          </w:pPr>
          <w:hyperlink w:anchor="_Toc41307610" w:history="1">
            <w:r w:rsidR="00D2023C" w:rsidRPr="00D2023C">
              <w:rPr>
                <w:rStyle w:val="Hyperlink"/>
                <w:rFonts w:asciiTheme="minorHAnsi" w:hAnsiTheme="minorHAnsi" w:cstheme="minorHAnsi"/>
                <w:noProof/>
              </w:rPr>
              <w:t>Literatur/Quellenangaben</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_Toc41307610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20</w:t>
            </w:r>
            <w:r w:rsidR="00D2023C" w:rsidRPr="00D2023C">
              <w:rPr>
                <w:rFonts w:asciiTheme="minorHAnsi" w:hAnsiTheme="minorHAnsi" w:cstheme="minorHAnsi"/>
                <w:noProof/>
                <w:webHidden/>
              </w:rPr>
              <w:fldChar w:fldCharType="end"/>
            </w:r>
          </w:hyperlink>
        </w:p>
        <w:p w14:paraId="584E0167" w14:textId="56EBC173" w:rsidR="00D2023C" w:rsidRPr="00D2023C" w:rsidRDefault="00D62E15" w:rsidP="00D2023C">
          <w:pPr>
            <w:pStyle w:val="Verzeichnis1"/>
            <w:tabs>
              <w:tab w:val="right" w:leader="dot" w:pos="9372"/>
            </w:tabs>
            <w:spacing w:line="276" w:lineRule="auto"/>
            <w:rPr>
              <w:rFonts w:asciiTheme="minorHAnsi" w:eastAsiaTheme="minorEastAsia" w:hAnsiTheme="minorHAnsi" w:cstheme="minorHAnsi"/>
              <w:noProof/>
              <w:szCs w:val="22"/>
              <w:lang w:eastAsia="de-AT"/>
            </w:rPr>
          </w:pPr>
          <w:hyperlink w:anchor="_Toc41307611" w:history="1">
            <w:r w:rsidR="00D2023C" w:rsidRPr="00D2023C">
              <w:rPr>
                <w:rStyle w:val="Hyperlink"/>
                <w:rFonts w:asciiTheme="minorHAnsi" w:hAnsiTheme="minorHAnsi" w:cstheme="minorHAnsi"/>
                <w:noProof/>
              </w:rPr>
              <w:t>Anhang: Rezidivrisiko abhängig von KIT und oder PDGFRA Mutationen</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_Toc41307611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24</w:t>
            </w:r>
            <w:r w:rsidR="00D2023C" w:rsidRPr="00D2023C">
              <w:rPr>
                <w:rFonts w:asciiTheme="minorHAnsi" w:hAnsiTheme="minorHAnsi" w:cstheme="minorHAnsi"/>
                <w:noProof/>
                <w:webHidden/>
              </w:rPr>
              <w:fldChar w:fldCharType="end"/>
            </w:r>
          </w:hyperlink>
        </w:p>
        <w:p w14:paraId="4398B53E" w14:textId="193B5057" w:rsidR="00D2023C" w:rsidRPr="00D2023C" w:rsidRDefault="00D62E15" w:rsidP="00D2023C">
          <w:pPr>
            <w:pStyle w:val="Verzeichnis1"/>
            <w:tabs>
              <w:tab w:val="right" w:leader="dot" w:pos="9372"/>
            </w:tabs>
            <w:spacing w:line="276" w:lineRule="auto"/>
            <w:rPr>
              <w:rFonts w:asciiTheme="minorHAnsi" w:eastAsiaTheme="minorEastAsia" w:hAnsiTheme="minorHAnsi" w:cstheme="minorHAnsi"/>
              <w:noProof/>
              <w:szCs w:val="22"/>
              <w:lang w:eastAsia="de-AT"/>
            </w:rPr>
          </w:pPr>
          <w:hyperlink w:anchor="_Toc41307612" w:history="1">
            <w:r w:rsidR="00D2023C" w:rsidRPr="00D2023C">
              <w:rPr>
                <w:rStyle w:val="Hyperlink"/>
                <w:rFonts w:asciiTheme="minorHAnsi" w:hAnsiTheme="minorHAnsi" w:cstheme="minorHAnsi"/>
                <w:noProof/>
              </w:rPr>
              <w:t>Anhang: Studienmedikation</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_Toc41307612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26</w:t>
            </w:r>
            <w:r w:rsidR="00D2023C" w:rsidRPr="00D2023C">
              <w:rPr>
                <w:rFonts w:asciiTheme="minorHAnsi" w:hAnsiTheme="minorHAnsi" w:cstheme="minorHAnsi"/>
                <w:noProof/>
                <w:webHidden/>
              </w:rPr>
              <w:fldChar w:fldCharType="end"/>
            </w:r>
          </w:hyperlink>
        </w:p>
        <w:p w14:paraId="546DE9C8" w14:textId="0F16D35A" w:rsidR="00D2023C" w:rsidRPr="00D2023C" w:rsidRDefault="00D62E15" w:rsidP="00D2023C">
          <w:pPr>
            <w:pStyle w:val="Verzeichnis1"/>
            <w:tabs>
              <w:tab w:val="right" w:leader="dot" w:pos="9372"/>
            </w:tabs>
            <w:spacing w:line="276" w:lineRule="auto"/>
            <w:rPr>
              <w:rFonts w:asciiTheme="minorHAnsi" w:eastAsiaTheme="minorEastAsia" w:hAnsiTheme="minorHAnsi" w:cstheme="minorHAnsi"/>
              <w:noProof/>
              <w:szCs w:val="22"/>
              <w:lang w:eastAsia="de-AT"/>
            </w:rPr>
          </w:pPr>
          <w:hyperlink w:anchor="_Toc41307613" w:history="1">
            <w:r w:rsidR="00D2023C" w:rsidRPr="00D2023C">
              <w:rPr>
                <w:rStyle w:val="Hyperlink"/>
                <w:rFonts w:asciiTheme="minorHAnsi" w:hAnsiTheme="minorHAnsi" w:cstheme="minorHAnsi"/>
                <w:noProof/>
              </w:rPr>
              <w:t>Anhang: Wirtschaftliche Analyse (optional)</w:t>
            </w:r>
            <w:r w:rsidR="00D2023C" w:rsidRPr="00D2023C">
              <w:rPr>
                <w:rFonts w:asciiTheme="minorHAnsi" w:hAnsiTheme="minorHAnsi" w:cstheme="minorHAnsi"/>
                <w:noProof/>
                <w:webHidden/>
              </w:rPr>
              <w:tab/>
            </w:r>
            <w:r w:rsidR="00D2023C" w:rsidRPr="00D2023C">
              <w:rPr>
                <w:rFonts w:asciiTheme="minorHAnsi" w:hAnsiTheme="minorHAnsi" w:cstheme="minorHAnsi"/>
                <w:noProof/>
                <w:webHidden/>
              </w:rPr>
              <w:fldChar w:fldCharType="begin"/>
            </w:r>
            <w:r w:rsidR="00D2023C" w:rsidRPr="00D2023C">
              <w:rPr>
                <w:rFonts w:asciiTheme="minorHAnsi" w:hAnsiTheme="minorHAnsi" w:cstheme="minorHAnsi"/>
                <w:noProof/>
                <w:webHidden/>
              </w:rPr>
              <w:instrText xml:space="preserve"> PAGEREF _Toc41307613 \h </w:instrText>
            </w:r>
            <w:r w:rsidR="00D2023C" w:rsidRPr="00D2023C">
              <w:rPr>
                <w:rFonts w:asciiTheme="minorHAnsi" w:hAnsiTheme="minorHAnsi" w:cstheme="minorHAnsi"/>
                <w:noProof/>
                <w:webHidden/>
              </w:rPr>
            </w:r>
            <w:r w:rsidR="00D2023C" w:rsidRPr="00D2023C">
              <w:rPr>
                <w:rFonts w:asciiTheme="minorHAnsi" w:hAnsiTheme="minorHAnsi" w:cstheme="minorHAnsi"/>
                <w:noProof/>
                <w:webHidden/>
              </w:rPr>
              <w:fldChar w:fldCharType="separate"/>
            </w:r>
            <w:r>
              <w:rPr>
                <w:rFonts w:asciiTheme="minorHAnsi" w:hAnsiTheme="minorHAnsi" w:cstheme="minorHAnsi"/>
                <w:noProof/>
                <w:webHidden/>
              </w:rPr>
              <w:t>26</w:t>
            </w:r>
            <w:r w:rsidR="00D2023C" w:rsidRPr="00D2023C">
              <w:rPr>
                <w:rFonts w:asciiTheme="minorHAnsi" w:hAnsiTheme="minorHAnsi" w:cstheme="minorHAnsi"/>
                <w:noProof/>
                <w:webHidden/>
              </w:rPr>
              <w:fldChar w:fldCharType="end"/>
            </w:r>
          </w:hyperlink>
        </w:p>
        <w:p w14:paraId="17AE8AD4" w14:textId="77777777" w:rsidR="007F3064" w:rsidRDefault="00C37F38" w:rsidP="005B11B2">
          <w:pPr>
            <w:spacing w:line="276" w:lineRule="auto"/>
          </w:pPr>
          <w:r w:rsidRPr="005B11B2">
            <w:rPr>
              <w:rFonts w:asciiTheme="minorHAnsi" w:hAnsiTheme="minorHAnsi"/>
              <w:b/>
              <w:bCs/>
              <w:lang w:val="de-DE"/>
            </w:rPr>
            <w:fldChar w:fldCharType="end"/>
          </w:r>
        </w:p>
      </w:sdtContent>
    </w:sdt>
    <w:p w14:paraId="1E10B372" w14:textId="77777777" w:rsidR="007F3064" w:rsidRDefault="007F3064" w:rsidP="007F3064">
      <w:pPr>
        <w:jc w:val="left"/>
      </w:pPr>
    </w:p>
    <w:p w14:paraId="01C0DA62" w14:textId="77777777" w:rsidR="0039386A" w:rsidRDefault="0039386A" w:rsidP="007F3064">
      <w:pPr>
        <w:jc w:val="left"/>
      </w:pPr>
    </w:p>
    <w:p w14:paraId="5E869D65" w14:textId="77777777" w:rsidR="005B11B2" w:rsidRDefault="005B11B2" w:rsidP="007F3064">
      <w:pPr>
        <w:jc w:val="left"/>
      </w:pPr>
    </w:p>
    <w:p w14:paraId="6D510395" w14:textId="77777777" w:rsidR="005B11B2" w:rsidRDefault="005B11B2" w:rsidP="007F3064">
      <w:pPr>
        <w:jc w:val="left"/>
      </w:pPr>
    </w:p>
    <w:p w14:paraId="58035E71" w14:textId="77777777" w:rsidR="005B11B2" w:rsidRDefault="005B11B2" w:rsidP="007F3064">
      <w:pPr>
        <w:jc w:val="left"/>
      </w:pPr>
    </w:p>
    <w:p w14:paraId="144B03DF" w14:textId="77777777" w:rsidR="0039386A" w:rsidRPr="0039386A" w:rsidRDefault="0039386A" w:rsidP="007F3064">
      <w:pPr>
        <w:jc w:val="left"/>
        <w:rPr>
          <w:lang w:val="en-US"/>
        </w:rPr>
      </w:pPr>
    </w:p>
    <w:p w14:paraId="1CE04E4B" w14:textId="77777777" w:rsidR="006D4DAC" w:rsidRPr="000D2297" w:rsidRDefault="004D2FE5" w:rsidP="004D2FE5">
      <w:pPr>
        <w:pStyle w:val="berschrift1"/>
      </w:pPr>
      <w:bookmarkStart w:id="1" w:name="_Toc41307590"/>
      <w:r>
        <w:lastRenderedPageBreak/>
        <w:t>1</w:t>
      </w:r>
      <w:r>
        <w:tab/>
      </w:r>
      <w:r w:rsidR="0049768A" w:rsidRPr="000D2297">
        <w:t>Allgemeines</w:t>
      </w:r>
      <w:bookmarkEnd w:id="1"/>
    </w:p>
    <w:p w14:paraId="64284346" w14:textId="77777777" w:rsidR="0039386A" w:rsidRDefault="0039386A" w:rsidP="005B11B2">
      <w:pPr>
        <w:pStyle w:val="berschrift2"/>
      </w:pPr>
      <w:bookmarkStart w:id="2" w:name="_Toc41307591"/>
      <w:r>
        <w:t>1.1</w:t>
      </w:r>
      <w:r>
        <w:tab/>
      </w:r>
      <w:r w:rsidR="005B11B2">
        <w:t>„</w:t>
      </w:r>
      <w:r>
        <w:t>GIST auf einer Seite</w:t>
      </w:r>
      <w:r w:rsidR="005B11B2">
        <w:t>“</w:t>
      </w:r>
      <w:bookmarkEnd w:id="2"/>
    </w:p>
    <w:p w14:paraId="77A9BED3" w14:textId="77777777" w:rsidR="0039386A" w:rsidRPr="0039386A" w:rsidRDefault="0039386A" w:rsidP="00EC608E">
      <w:pPr>
        <w:pStyle w:val="Listenabsatz"/>
        <w:numPr>
          <w:ilvl w:val="0"/>
          <w:numId w:val="26"/>
        </w:numPr>
        <w:tabs>
          <w:tab w:val="left" w:pos="426"/>
          <w:tab w:val="left" w:pos="1440"/>
          <w:tab w:val="left" w:pos="2160"/>
          <w:tab w:val="left" w:pos="2880"/>
          <w:tab w:val="left" w:pos="3600"/>
          <w:tab w:val="left" w:pos="4320"/>
        </w:tabs>
        <w:spacing w:line="276" w:lineRule="auto"/>
        <w:ind w:left="426" w:hanging="426"/>
        <w:jc w:val="both"/>
        <w:rPr>
          <w:rFonts w:asciiTheme="minorHAnsi" w:hAnsiTheme="minorHAnsi"/>
          <w:szCs w:val="22"/>
          <w:shd w:val="clear" w:color="auto" w:fill="FFFFFF"/>
        </w:rPr>
      </w:pPr>
      <w:r w:rsidRPr="0039386A">
        <w:rPr>
          <w:rFonts w:asciiTheme="minorHAnsi" w:hAnsiTheme="minorHAnsi"/>
          <w:szCs w:val="22"/>
          <w:shd w:val="clear" w:color="auto" w:fill="FFFFFF"/>
          <w:lang w:val="de-DE"/>
        </w:rPr>
        <w:t>Bis zu 85 % aller F</w:t>
      </w:r>
      <w:r w:rsidRPr="0039386A">
        <w:rPr>
          <w:rFonts w:asciiTheme="minorHAnsi" w:hAnsiTheme="minorHAnsi"/>
          <w:szCs w:val="22"/>
          <w:shd w:val="clear" w:color="auto" w:fill="FFFFFF"/>
        </w:rPr>
        <w:t>ä</w:t>
      </w:r>
      <w:r w:rsidRPr="0039386A">
        <w:rPr>
          <w:rFonts w:asciiTheme="minorHAnsi" w:hAnsiTheme="minorHAnsi"/>
          <w:szCs w:val="22"/>
          <w:shd w:val="clear" w:color="auto" w:fill="FFFFFF"/>
          <w:lang w:val="de-DE"/>
        </w:rPr>
        <w:t xml:space="preserve">lle beruhen auf somatischen (gain-of-function) Mutationen der Gene KIT oder PDGFRA und der typische Patient ist </w:t>
      </w:r>
      <w:r w:rsidRPr="0039386A">
        <w:rPr>
          <w:rFonts w:asciiTheme="minorHAnsi" w:hAnsiTheme="minorHAnsi"/>
          <w:szCs w:val="22"/>
          <w:shd w:val="clear" w:color="auto" w:fill="FFFFFF"/>
        </w:rPr>
        <w:t>ä</w:t>
      </w:r>
      <w:r w:rsidRPr="0039386A">
        <w:rPr>
          <w:rFonts w:asciiTheme="minorHAnsi" w:hAnsiTheme="minorHAnsi"/>
          <w:szCs w:val="22"/>
          <w:shd w:val="clear" w:color="auto" w:fill="FFFFFF"/>
          <w:lang w:val="de-DE"/>
        </w:rPr>
        <w:t>lter als 50 Jahre.</w:t>
      </w:r>
    </w:p>
    <w:p w14:paraId="460AA228" w14:textId="77777777" w:rsidR="0039386A" w:rsidRPr="0039386A" w:rsidRDefault="0039386A" w:rsidP="00EC608E">
      <w:pPr>
        <w:tabs>
          <w:tab w:val="left" w:pos="426"/>
          <w:tab w:val="left" w:pos="1440"/>
          <w:tab w:val="left" w:pos="2160"/>
          <w:tab w:val="left" w:pos="2880"/>
          <w:tab w:val="left" w:pos="3600"/>
          <w:tab w:val="left" w:pos="4320"/>
        </w:tabs>
        <w:spacing w:line="276" w:lineRule="auto"/>
        <w:ind w:left="426" w:hanging="426"/>
        <w:jc w:val="both"/>
        <w:rPr>
          <w:rFonts w:asciiTheme="minorHAnsi" w:hAnsiTheme="minorHAnsi"/>
          <w:szCs w:val="22"/>
          <w:shd w:val="clear" w:color="auto" w:fill="FFFFFF"/>
        </w:rPr>
      </w:pPr>
    </w:p>
    <w:p w14:paraId="20FBBBF7" w14:textId="77777777" w:rsidR="0039386A" w:rsidRPr="0039386A" w:rsidRDefault="0039386A" w:rsidP="00EC608E">
      <w:pPr>
        <w:pStyle w:val="Listenabsatz"/>
        <w:numPr>
          <w:ilvl w:val="0"/>
          <w:numId w:val="26"/>
        </w:numPr>
        <w:tabs>
          <w:tab w:val="left" w:pos="426"/>
          <w:tab w:val="left" w:pos="1440"/>
          <w:tab w:val="left" w:pos="2160"/>
          <w:tab w:val="left" w:pos="2880"/>
          <w:tab w:val="left" w:pos="3600"/>
          <w:tab w:val="left" w:pos="4320"/>
        </w:tabs>
        <w:spacing w:line="276" w:lineRule="auto"/>
        <w:ind w:left="426" w:hanging="426"/>
        <w:jc w:val="both"/>
        <w:rPr>
          <w:rFonts w:asciiTheme="minorHAnsi" w:hAnsiTheme="minorHAnsi"/>
          <w:szCs w:val="22"/>
          <w:shd w:val="clear" w:color="auto" w:fill="FFFFFF"/>
          <w:lang w:val="de-DE"/>
        </w:rPr>
      </w:pPr>
      <w:r w:rsidRPr="0039386A">
        <w:rPr>
          <w:rFonts w:asciiTheme="minorHAnsi" w:hAnsiTheme="minorHAnsi"/>
          <w:szCs w:val="22"/>
          <w:shd w:val="clear" w:color="auto" w:fill="FFFFFF"/>
          <w:lang w:val="de-DE"/>
        </w:rPr>
        <w:t>Bei deutlich jüngeren Patienten muß an andere genetische Formen gedacht werden:</w:t>
      </w:r>
    </w:p>
    <w:p w14:paraId="7466A7A1" w14:textId="77777777" w:rsidR="0039386A" w:rsidRPr="0039386A" w:rsidRDefault="00EC608E" w:rsidP="00EC608E">
      <w:pPr>
        <w:pStyle w:val="Listenabsatz"/>
        <w:tabs>
          <w:tab w:val="left" w:pos="426"/>
          <w:tab w:val="left" w:pos="1440"/>
          <w:tab w:val="left" w:pos="2160"/>
          <w:tab w:val="left" w:pos="2880"/>
          <w:tab w:val="left" w:pos="3600"/>
          <w:tab w:val="left" w:pos="4320"/>
        </w:tabs>
        <w:spacing w:line="276" w:lineRule="auto"/>
        <w:ind w:left="426" w:hanging="426"/>
        <w:jc w:val="both"/>
        <w:rPr>
          <w:rFonts w:asciiTheme="minorHAnsi" w:hAnsiTheme="minorHAnsi"/>
          <w:szCs w:val="22"/>
          <w:shd w:val="clear" w:color="auto" w:fill="FFFFFF"/>
          <w:lang w:val="de-DE"/>
        </w:rPr>
      </w:pPr>
      <w:r>
        <w:rPr>
          <w:rFonts w:asciiTheme="minorHAnsi" w:hAnsiTheme="minorHAnsi"/>
          <w:szCs w:val="22"/>
          <w:shd w:val="clear" w:color="auto" w:fill="FFFFFF"/>
          <w:lang w:val="de-DE"/>
        </w:rPr>
        <w:tab/>
      </w:r>
      <w:r w:rsidR="0039386A" w:rsidRPr="0039386A">
        <w:rPr>
          <w:rFonts w:asciiTheme="minorHAnsi" w:hAnsiTheme="minorHAnsi"/>
          <w:szCs w:val="22"/>
          <w:shd w:val="clear" w:color="auto" w:fill="FFFFFF"/>
          <w:lang w:val="de-DE"/>
        </w:rPr>
        <w:t>familiäre Formen, Syndrome, andere Mutationen außer KIT und PDFRA, „Wildtyp GISTe“</w:t>
      </w:r>
    </w:p>
    <w:p w14:paraId="2139AE79" w14:textId="77777777" w:rsidR="0039386A" w:rsidRPr="0039386A" w:rsidRDefault="0039386A" w:rsidP="00EC608E">
      <w:pPr>
        <w:pStyle w:val="Listenabsatz"/>
        <w:tabs>
          <w:tab w:val="left" w:pos="426"/>
          <w:tab w:val="left" w:pos="1440"/>
          <w:tab w:val="left" w:pos="2160"/>
          <w:tab w:val="left" w:pos="2880"/>
          <w:tab w:val="left" w:pos="3600"/>
          <w:tab w:val="left" w:pos="4320"/>
        </w:tabs>
        <w:spacing w:line="276" w:lineRule="auto"/>
        <w:ind w:left="426" w:hanging="426"/>
        <w:jc w:val="both"/>
        <w:rPr>
          <w:rFonts w:asciiTheme="minorHAnsi" w:hAnsiTheme="minorHAnsi"/>
          <w:szCs w:val="22"/>
          <w:shd w:val="clear" w:color="auto" w:fill="FFFFFF"/>
          <w:lang w:val="de-DE"/>
        </w:rPr>
      </w:pPr>
    </w:p>
    <w:p w14:paraId="3CE7097C" w14:textId="77777777" w:rsidR="0039386A" w:rsidRPr="0039386A" w:rsidRDefault="0039386A" w:rsidP="00EC608E">
      <w:pPr>
        <w:pStyle w:val="Listenabsatz"/>
        <w:numPr>
          <w:ilvl w:val="0"/>
          <w:numId w:val="26"/>
        </w:numPr>
        <w:tabs>
          <w:tab w:val="left" w:pos="426"/>
          <w:tab w:val="left" w:pos="1440"/>
          <w:tab w:val="left" w:pos="2160"/>
          <w:tab w:val="left" w:pos="2880"/>
          <w:tab w:val="left" w:pos="3600"/>
          <w:tab w:val="left" w:pos="4320"/>
        </w:tabs>
        <w:spacing w:line="276" w:lineRule="auto"/>
        <w:ind w:left="426" w:hanging="426"/>
        <w:jc w:val="both"/>
        <w:rPr>
          <w:rFonts w:asciiTheme="minorHAnsi" w:hAnsiTheme="minorHAnsi"/>
          <w:szCs w:val="22"/>
          <w:shd w:val="clear" w:color="auto" w:fill="FFFFFF"/>
          <w:lang w:val="de-DE"/>
        </w:rPr>
      </w:pPr>
      <w:r w:rsidRPr="0039386A">
        <w:rPr>
          <w:rFonts w:asciiTheme="minorHAnsi" w:hAnsiTheme="minorHAnsi"/>
          <w:szCs w:val="22"/>
          <w:shd w:val="clear" w:color="auto" w:fill="FFFFFF"/>
          <w:lang w:val="de-DE"/>
        </w:rPr>
        <w:t>Primäre Therapie = OP</w:t>
      </w:r>
    </w:p>
    <w:p w14:paraId="0663B65D" w14:textId="77777777" w:rsidR="0039386A" w:rsidRPr="0039386A" w:rsidRDefault="0039386A" w:rsidP="00EC608E">
      <w:pPr>
        <w:pStyle w:val="Listenabsatz"/>
        <w:tabs>
          <w:tab w:val="left" w:pos="426"/>
          <w:tab w:val="left" w:pos="1440"/>
          <w:tab w:val="left" w:pos="2160"/>
          <w:tab w:val="left" w:pos="2880"/>
          <w:tab w:val="left" w:pos="3600"/>
          <w:tab w:val="left" w:pos="4320"/>
        </w:tabs>
        <w:spacing w:line="276" w:lineRule="auto"/>
        <w:ind w:left="426" w:hanging="426"/>
        <w:jc w:val="both"/>
        <w:rPr>
          <w:rFonts w:asciiTheme="minorHAnsi" w:hAnsiTheme="minorHAnsi"/>
          <w:szCs w:val="22"/>
          <w:shd w:val="clear" w:color="auto" w:fill="FFFFFF"/>
          <w:lang w:val="de-DE"/>
        </w:rPr>
      </w:pPr>
    </w:p>
    <w:p w14:paraId="3A57B8DF" w14:textId="77777777" w:rsidR="0039386A" w:rsidRPr="0039386A" w:rsidRDefault="0039386A" w:rsidP="00EC608E">
      <w:pPr>
        <w:pStyle w:val="Listenabsatz"/>
        <w:numPr>
          <w:ilvl w:val="0"/>
          <w:numId w:val="26"/>
        </w:numPr>
        <w:tabs>
          <w:tab w:val="left" w:pos="426"/>
          <w:tab w:val="left" w:pos="1440"/>
          <w:tab w:val="left" w:pos="2160"/>
          <w:tab w:val="left" w:pos="2880"/>
          <w:tab w:val="left" w:pos="3600"/>
          <w:tab w:val="left" w:pos="4320"/>
        </w:tabs>
        <w:spacing w:line="276" w:lineRule="auto"/>
        <w:ind w:left="426" w:hanging="426"/>
        <w:jc w:val="both"/>
        <w:rPr>
          <w:rFonts w:asciiTheme="minorHAnsi" w:hAnsiTheme="minorHAnsi"/>
          <w:szCs w:val="22"/>
          <w:shd w:val="clear" w:color="auto" w:fill="FFFFFF"/>
          <w:lang w:val="de-DE"/>
        </w:rPr>
      </w:pPr>
      <w:r w:rsidRPr="0039386A">
        <w:rPr>
          <w:rFonts w:asciiTheme="minorHAnsi" w:hAnsiTheme="minorHAnsi"/>
          <w:szCs w:val="22"/>
          <w:shd w:val="clear" w:color="auto" w:fill="FFFFFF"/>
          <w:lang w:val="de-DE"/>
        </w:rPr>
        <w:t xml:space="preserve">Bei Hochrisiko Patienten Imatinib (Glivec®) adjuvant 400 mg/d für 3 Jahre </w:t>
      </w:r>
    </w:p>
    <w:p w14:paraId="525C077F" w14:textId="77777777" w:rsidR="0039386A" w:rsidRPr="0039386A" w:rsidRDefault="00EC608E" w:rsidP="00EC608E">
      <w:pPr>
        <w:pStyle w:val="Listenabsatz"/>
        <w:tabs>
          <w:tab w:val="left" w:pos="426"/>
          <w:tab w:val="left" w:pos="1440"/>
          <w:tab w:val="left" w:pos="2160"/>
          <w:tab w:val="left" w:pos="2880"/>
          <w:tab w:val="left" w:pos="3600"/>
          <w:tab w:val="left" w:pos="4320"/>
        </w:tabs>
        <w:spacing w:line="276" w:lineRule="auto"/>
        <w:ind w:left="426" w:hanging="426"/>
        <w:jc w:val="both"/>
        <w:rPr>
          <w:rFonts w:asciiTheme="minorHAnsi" w:hAnsiTheme="minorHAnsi"/>
          <w:szCs w:val="22"/>
          <w:shd w:val="clear" w:color="auto" w:fill="FFFFFF"/>
          <w:lang w:val="de-DE"/>
        </w:rPr>
      </w:pPr>
      <w:r>
        <w:rPr>
          <w:rFonts w:asciiTheme="minorHAnsi" w:hAnsiTheme="minorHAnsi"/>
          <w:szCs w:val="22"/>
          <w:shd w:val="clear" w:color="auto" w:fill="FFFFFF"/>
          <w:lang w:val="de-DE"/>
        </w:rPr>
        <w:tab/>
        <w:t xml:space="preserve">Ausnahmen: </w:t>
      </w:r>
      <w:r>
        <w:rPr>
          <w:rFonts w:asciiTheme="minorHAnsi" w:hAnsiTheme="minorHAnsi"/>
          <w:szCs w:val="22"/>
          <w:shd w:val="clear" w:color="auto" w:fill="FFFFFF"/>
          <w:lang w:val="de-DE"/>
        </w:rPr>
        <w:tab/>
      </w:r>
      <w:r w:rsidR="0039386A" w:rsidRPr="0039386A">
        <w:rPr>
          <w:rFonts w:asciiTheme="minorHAnsi" w:hAnsiTheme="minorHAnsi"/>
          <w:szCs w:val="22"/>
          <w:shd w:val="clear" w:color="auto" w:fill="FFFFFF"/>
          <w:lang w:val="de-DE"/>
        </w:rPr>
        <w:t>a)    KIT Exon 9 Mutation:  Imatinib 800 mg/d 3 Jahre</w:t>
      </w:r>
    </w:p>
    <w:p w14:paraId="2F986DBA" w14:textId="77777777" w:rsidR="0039386A" w:rsidRPr="0039386A" w:rsidRDefault="0039386A" w:rsidP="00EC608E">
      <w:pPr>
        <w:pStyle w:val="Listenabsatz"/>
        <w:tabs>
          <w:tab w:val="left" w:pos="426"/>
          <w:tab w:val="left" w:pos="1440"/>
          <w:tab w:val="left" w:pos="2160"/>
          <w:tab w:val="left" w:pos="2880"/>
          <w:tab w:val="left" w:pos="3600"/>
          <w:tab w:val="left" w:pos="4320"/>
        </w:tabs>
        <w:spacing w:line="276" w:lineRule="auto"/>
        <w:ind w:left="426" w:hanging="426"/>
        <w:jc w:val="both"/>
        <w:rPr>
          <w:rFonts w:asciiTheme="minorHAnsi" w:hAnsiTheme="minorHAnsi"/>
          <w:szCs w:val="22"/>
          <w:shd w:val="clear" w:color="auto" w:fill="FFFFFF"/>
          <w:lang w:val="de-DE"/>
        </w:rPr>
      </w:pPr>
      <w:r>
        <w:rPr>
          <w:rFonts w:asciiTheme="minorHAnsi" w:hAnsiTheme="minorHAnsi"/>
          <w:szCs w:val="22"/>
          <w:shd w:val="clear" w:color="auto" w:fill="FFFFFF"/>
          <w:lang w:val="de-DE"/>
        </w:rPr>
        <w:tab/>
      </w:r>
      <w:r>
        <w:rPr>
          <w:rFonts w:asciiTheme="minorHAnsi" w:hAnsiTheme="minorHAnsi"/>
          <w:szCs w:val="22"/>
          <w:shd w:val="clear" w:color="auto" w:fill="FFFFFF"/>
          <w:lang w:val="de-DE"/>
        </w:rPr>
        <w:tab/>
      </w:r>
      <w:r>
        <w:rPr>
          <w:rFonts w:asciiTheme="minorHAnsi" w:hAnsiTheme="minorHAnsi"/>
          <w:szCs w:val="22"/>
          <w:shd w:val="clear" w:color="auto" w:fill="FFFFFF"/>
          <w:lang w:val="de-DE"/>
        </w:rPr>
        <w:tab/>
      </w:r>
      <w:r w:rsidRPr="0039386A">
        <w:rPr>
          <w:rFonts w:asciiTheme="minorHAnsi" w:hAnsiTheme="minorHAnsi"/>
          <w:szCs w:val="22"/>
          <w:shd w:val="clear" w:color="auto" w:fill="FFFFFF"/>
          <w:lang w:val="de-DE"/>
        </w:rPr>
        <w:t>b)    KIT Exon 17 D820Y Mutation (Imatinib resistent)</w:t>
      </w:r>
      <w:r w:rsidRPr="0039386A">
        <w:rPr>
          <w:rFonts w:asciiTheme="minorHAnsi" w:hAnsiTheme="minorHAnsi"/>
          <w:szCs w:val="22"/>
          <w:shd w:val="clear" w:color="auto" w:fill="FFFFFF"/>
          <w:lang w:val="de-DE"/>
        </w:rPr>
        <w:tab/>
        <w:t xml:space="preserve">                                       </w:t>
      </w:r>
      <w:r>
        <w:rPr>
          <w:rFonts w:asciiTheme="minorHAnsi" w:hAnsiTheme="minorHAnsi"/>
          <w:szCs w:val="22"/>
          <w:shd w:val="clear" w:color="auto" w:fill="FFFFFF"/>
          <w:lang w:val="de-DE"/>
        </w:rPr>
        <w:tab/>
      </w:r>
      <w:r>
        <w:rPr>
          <w:rFonts w:asciiTheme="minorHAnsi" w:hAnsiTheme="minorHAnsi"/>
          <w:szCs w:val="22"/>
          <w:shd w:val="clear" w:color="auto" w:fill="FFFFFF"/>
          <w:lang w:val="de-DE"/>
        </w:rPr>
        <w:tab/>
      </w:r>
      <w:r>
        <w:rPr>
          <w:rFonts w:asciiTheme="minorHAnsi" w:hAnsiTheme="minorHAnsi"/>
          <w:szCs w:val="22"/>
          <w:shd w:val="clear" w:color="auto" w:fill="FFFFFF"/>
          <w:lang w:val="de-DE"/>
        </w:rPr>
        <w:tab/>
      </w:r>
      <w:r w:rsidRPr="0039386A">
        <w:rPr>
          <w:rFonts w:asciiTheme="minorHAnsi" w:hAnsiTheme="minorHAnsi"/>
          <w:szCs w:val="22"/>
          <w:shd w:val="clear" w:color="auto" w:fill="FFFFFF"/>
          <w:lang w:val="de-DE"/>
        </w:rPr>
        <w:t xml:space="preserve">c)    PDGFRA Exon 18 D842V Mutation (Imatinib resistent)  </w:t>
      </w:r>
    </w:p>
    <w:p w14:paraId="05B64334" w14:textId="77777777" w:rsidR="0039386A" w:rsidRPr="0039386A" w:rsidRDefault="0039386A" w:rsidP="00EC608E">
      <w:pPr>
        <w:pStyle w:val="Listenabsatz"/>
        <w:tabs>
          <w:tab w:val="left" w:pos="426"/>
          <w:tab w:val="left" w:pos="1440"/>
          <w:tab w:val="left" w:pos="2160"/>
          <w:tab w:val="left" w:pos="2880"/>
          <w:tab w:val="left" w:pos="3600"/>
          <w:tab w:val="left" w:pos="4320"/>
        </w:tabs>
        <w:spacing w:line="276" w:lineRule="auto"/>
        <w:ind w:left="426" w:hanging="426"/>
        <w:jc w:val="both"/>
        <w:rPr>
          <w:rFonts w:asciiTheme="minorHAnsi" w:hAnsiTheme="minorHAnsi"/>
          <w:szCs w:val="22"/>
          <w:shd w:val="clear" w:color="auto" w:fill="FFFFFF"/>
          <w:lang w:val="de-DE"/>
        </w:rPr>
      </w:pPr>
      <w:r>
        <w:rPr>
          <w:rFonts w:asciiTheme="minorHAnsi" w:hAnsiTheme="minorHAnsi"/>
          <w:szCs w:val="22"/>
          <w:shd w:val="clear" w:color="auto" w:fill="FFFFFF"/>
          <w:lang w:val="de-DE"/>
        </w:rPr>
        <w:tab/>
      </w:r>
      <w:r>
        <w:rPr>
          <w:rFonts w:asciiTheme="minorHAnsi" w:hAnsiTheme="minorHAnsi"/>
          <w:szCs w:val="22"/>
          <w:shd w:val="clear" w:color="auto" w:fill="FFFFFF"/>
          <w:lang w:val="de-DE"/>
        </w:rPr>
        <w:tab/>
      </w:r>
      <w:r>
        <w:rPr>
          <w:rFonts w:asciiTheme="minorHAnsi" w:hAnsiTheme="minorHAnsi"/>
          <w:szCs w:val="22"/>
          <w:shd w:val="clear" w:color="auto" w:fill="FFFFFF"/>
          <w:lang w:val="de-DE"/>
        </w:rPr>
        <w:tab/>
      </w:r>
      <w:r w:rsidRPr="0039386A">
        <w:rPr>
          <w:rFonts w:asciiTheme="minorHAnsi" w:hAnsiTheme="minorHAnsi"/>
          <w:szCs w:val="22"/>
          <w:shd w:val="clear" w:color="auto" w:fill="FFFFFF"/>
          <w:lang w:val="de-DE"/>
        </w:rPr>
        <w:t>d)    Wildtyp GIST muß im Einzelfall entschieden werden</w:t>
      </w:r>
    </w:p>
    <w:p w14:paraId="3C3CD212" w14:textId="77777777" w:rsidR="0039386A" w:rsidRPr="0039386A" w:rsidRDefault="0039386A" w:rsidP="00EC608E">
      <w:pPr>
        <w:pStyle w:val="Listenabsatz"/>
        <w:tabs>
          <w:tab w:val="left" w:pos="426"/>
          <w:tab w:val="left" w:pos="1440"/>
          <w:tab w:val="left" w:pos="2160"/>
          <w:tab w:val="left" w:pos="2880"/>
          <w:tab w:val="left" w:pos="3600"/>
          <w:tab w:val="left" w:pos="4320"/>
        </w:tabs>
        <w:spacing w:line="276" w:lineRule="auto"/>
        <w:ind w:left="426" w:hanging="426"/>
        <w:jc w:val="both"/>
        <w:rPr>
          <w:rFonts w:asciiTheme="minorHAnsi" w:hAnsiTheme="minorHAnsi"/>
          <w:szCs w:val="22"/>
          <w:shd w:val="clear" w:color="auto" w:fill="FFFFFF"/>
          <w:lang w:val="de-DE"/>
        </w:rPr>
      </w:pPr>
      <w:r w:rsidRPr="0039386A">
        <w:rPr>
          <w:rFonts w:asciiTheme="minorHAnsi" w:hAnsiTheme="minorHAnsi"/>
          <w:szCs w:val="22"/>
          <w:shd w:val="clear" w:color="auto" w:fill="FFFFFF"/>
          <w:lang w:val="de-DE"/>
        </w:rPr>
        <w:tab/>
      </w:r>
      <w:r w:rsidRPr="0039386A">
        <w:rPr>
          <w:rFonts w:asciiTheme="minorHAnsi" w:hAnsiTheme="minorHAnsi"/>
          <w:szCs w:val="22"/>
          <w:shd w:val="clear" w:color="auto" w:fill="FFFFFF"/>
          <w:lang w:val="de-DE"/>
        </w:rPr>
        <w:tab/>
      </w:r>
      <w:r w:rsidRPr="0039386A">
        <w:rPr>
          <w:rFonts w:asciiTheme="minorHAnsi" w:hAnsiTheme="minorHAnsi"/>
          <w:szCs w:val="22"/>
          <w:shd w:val="clear" w:color="auto" w:fill="FFFFFF"/>
          <w:lang w:val="de-DE"/>
        </w:rPr>
        <w:tab/>
      </w:r>
    </w:p>
    <w:p w14:paraId="0453CE84" w14:textId="77777777" w:rsidR="0039386A" w:rsidRPr="0039386A" w:rsidRDefault="0039386A" w:rsidP="00EC608E">
      <w:pPr>
        <w:pStyle w:val="Listenabsatz"/>
        <w:numPr>
          <w:ilvl w:val="0"/>
          <w:numId w:val="26"/>
        </w:numPr>
        <w:tabs>
          <w:tab w:val="left" w:pos="426"/>
          <w:tab w:val="left" w:pos="1440"/>
          <w:tab w:val="left" w:pos="2160"/>
          <w:tab w:val="left" w:pos="2880"/>
          <w:tab w:val="left" w:pos="3600"/>
          <w:tab w:val="left" w:pos="4320"/>
        </w:tabs>
        <w:spacing w:line="276" w:lineRule="auto"/>
        <w:ind w:left="426" w:hanging="426"/>
        <w:jc w:val="both"/>
        <w:rPr>
          <w:rFonts w:asciiTheme="minorHAnsi" w:hAnsiTheme="minorHAnsi"/>
          <w:szCs w:val="22"/>
          <w:shd w:val="clear" w:color="auto" w:fill="FFFFFF"/>
          <w:lang w:val="de-DE"/>
        </w:rPr>
      </w:pPr>
      <w:r w:rsidRPr="0039386A">
        <w:rPr>
          <w:rFonts w:asciiTheme="minorHAnsi" w:hAnsiTheme="minorHAnsi"/>
          <w:szCs w:val="22"/>
          <w:shd w:val="clear" w:color="auto" w:fill="FFFFFF"/>
          <w:lang w:val="de-DE"/>
        </w:rPr>
        <w:t>Bis zu 80 % aller Patienten entwickeln unter Therapie mit Imatinib sekundäre Resistenzen</w:t>
      </w:r>
    </w:p>
    <w:p w14:paraId="1E26467E" w14:textId="77777777" w:rsidR="0039386A" w:rsidRPr="0039386A" w:rsidRDefault="0039386A" w:rsidP="00EC608E">
      <w:pPr>
        <w:pStyle w:val="Listenabsatz"/>
        <w:tabs>
          <w:tab w:val="left" w:pos="426"/>
          <w:tab w:val="left" w:pos="1440"/>
          <w:tab w:val="left" w:pos="2160"/>
          <w:tab w:val="left" w:pos="2880"/>
          <w:tab w:val="left" w:pos="3600"/>
          <w:tab w:val="left" w:pos="4320"/>
        </w:tabs>
        <w:spacing w:line="276" w:lineRule="auto"/>
        <w:ind w:left="852" w:hanging="426"/>
        <w:jc w:val="both"/>
        <w:rPr>
          <w:rFonts w:asciiTheme="minorHAnsi" w:hAnsiTheme="minorHAnsi"/>
          <w:szCs w:val="22"/>
          <w:shd w:val="clear" w:color="auto" w:fill="FFFFFF"/>
          <w:lang w:val="en-US"/>
        </w:rPr>
      </w:pPr>
      <w:r>
        <w:rPr>
          <w:rFonts w:asciiTheme="minorHAnsi" w:hAnsiTheme="minorHAnsi"/>
          <w:szCs w:val="22"/>
          <w:shd w:val="clear" w:color="auto" w:fill="FFFFFF"/>
          <w:lang w:val="en-US"/>
        </w:rPr>
        <w:t>2</w:t>
      </w:r>
      <w:r w:rsidRPr="00EC608E">
        <w:rPr>
          <w:rFonts w:asciiTheme="minorHAnsi" w:hAnsiTheme="minorHAnsi"/>
          <w:szCs w:val="22"/>
          <w:shd w:val="clear" w:color="auto" w:fill="FFFFFF"/>
          <w:vertAlign w:val="superscript"/>
          <w:lang w:val="en-US"/>
        </w:rPr>
        <w:t>nd</w:t>
      </w:r>
      <w:r>
        <w:rPr>
          <w:rFonts w:asciiTheme="minorHAnsi" w:hAnsiTheme="minorHAnsi"/>
          <w:szCs w:val="22"/>
          <w:shd w:val="clear" w:color="auto" w:fill="FFFFFF"/>
          <w:lang w:val="en-US"/>
        </w:rPr>
        <w:t xml:space="preserve"> line:</w:t>
      </w:r>
      <w:r>
        <w:rPr>
          <w:rFonts w:asciiTheme="minorHAnsi" w:hAnsiTheme="minorHAnsi"/>
          <w:szCs w:val="22"/>
          <w:shd w:val="clear" w:color="auto" w:fill="FFFFFF"/>
          <w:lang w:val="en-US"/>
        </w:rPr>
        <w:tab/>
      </w:r>
      <w:r w:rsidRPr="0039386A">
        <w:rPr>
          <w:rFonts w:asciiTheme="minorHAnsi" w:hAnsiTheme="minorHAnsi"/>
          <w:szCs w:val="22"/>
          <w:shd w:val="clear" w:color="auto" w:fill="FFFFFF"/>
          <w:lang w:val="en-US"/>
        </w:rPr>
        <w:t>Sunitinib (Sutent®) 50 mg/d</w:t>
      </w:r>
    </w:p>
    <w:p w14:paraId="3D6B0D84" w14:textId="77777777" w:rsidR="0039386A" w:rsidRPr="0039386A" w:rsidRDefault="0039386A" w:rsidP="00EC608E">
      <w:pPr>
        <w:pStyle w:val="Listenabsatz"/>
        <w:tabs>
          <w:tab w:val="left" w:pos="426"/>
          <w:tab w:val="left" w:pos="1440"/>
          <w:tab w:val="left" w:pos="2160"/>
          <w:tab w:val="left" w:pos="2880"/>
          <w:tab w:val="left" w:pos="3600"/>
          <w:tab w:val="left" w:pos="4320"/>
        </w:tabs>
        <w:spacing w:line="276" w:lineRule="auto"/>
        <w:ind w:left="852" w:hanging="426"/>
        <w:jc w:val="both"/>
        <w:rPr>
          <w:rFonts w:asciiTheme="minorHAnsi" w:hAnsiTheme="minorHAnsi"/>
          <w:szCs w:val="22"/>
          <w:shd w:val="clear" w:color="auto" w:fill="FFFFFF"/>
          <w:lang w:val="en-US"/>
        </w:rPr>
      </w:pPr>
      <w:r w:rsidRPr="0039386A">
        <w:rPr>
          <w:rFonts w:asciiTheme="minorHAnsi" w:hAnsiTheme="minorHAnsi"/>
          <w:szCs w:val="22"/>
          <w:shd w:val="clear" w:color="auto" w:fill="FFFFFF"/>
          <w:lang w:val="en-US"/>
        </w:rPr>
        <w:t>3</w:t>
      </w:r>
      <w:r w:rsidRPr="00EC608E">
        <w:rPr>
          <w:rFonts w:asciiTheme="minorHAnsi" w:hAnsiTheme="minorHAnsi"/>
          <w:szCs w:val="22"/>
          <w:shd w:val="clear" w:color="auto" w:fill="FFFFFF"/>
          <w:vertAlign w:val="superscript"/>
          <w:lang w:val="en-US"/>
        </w:rPr>
        <w:t>rd</w:t>
      </w:r>
      <w:r w:rsidR="00EC608E">
        <w:rPr>
          <w:rFonts w:asciiTheme="minorHAnsi" w:hAnsiTheme="minorHAnsi"/>
          <w:szCs w:val="22"/>
          <w:shd w:val="clear" w:color="auto" w:fill="FFFFFF"/>
          <w:lang w:val="en-US"/>
        </w:rPr>
        <w:t xml:space="preserve"> line:</w:t>
      </w:r>
      <w:r w:rsidR="00EC608E">
        <w:rPr>
          <w:rFonts w:asciiTheme="minorHAnsi" w:hAnsiTheme="minorHAnsi"/>
          <w:szCs w:val="22"/>
          <w:shd w:val="clear" w:color="auto" w:fill="FFFFFF"/>
          <w:lang w:val="en-US"/>
        </w:rPr>
        <w:tab/>
      </w:r>
      <w:r w:rsidRPr="0039386A">
        <w:rPr>
          <w:rFonts w:asciiTheme="minorHAnsi" w:hAnsiTheme="minorHAnsi"/>
          <w:szCs w:val="22"/>
          <w:shd w:val="clear" w:color="auto" w:fill="FFFFFF"/>
          <w:lang w:val="en-US"/>
        </w:rPr>
        <w:t>Regorafenib (Stivarga®) 160 mg/d</w:t>
      </w:r>
    </w:p>
    <w:p w14:paraId="4EF24E34" w14:textId="77777777" w:rsidR="0039386A" w:rsidRPr="0039386A" w:rsidRDefault="0039386A" w:rsidP="00EC608E">
      <w:pPr>
        <w:pStyle w:val="Listenabsatz"/>
        <w:tabs>
          <w:tab w:val="left" w:pos="426"/>
          <w:tab w:val="left" w:pos="1440"/>
          <w:tab w:val="left" w:pos="2160"/>
          <w:tab w:val="left" w:pos="2880"/>
          <w:tab w:val="left" w:pos="3600"/>
          <w:tab w:val="left" w:pos="4320"/>
        </w:tabs>
        <w:spacing w:line="276" w:lineRule="auto"/>
        <w:ind w:left="852" w:hanging="426"/>
        <w:jc w:val="both"/>
        <w:rPr>
          <w:rFonts w:asciiTheme="minorHAnsi" w:hAnsiTheme="minorHAnsi"/>
          <w:szCs w:val="22"/>
          <w:shd w:val="clear" w:color="auto" w:fill="FFFFFF"/>
          <w:lang w:val="en-US"/>
        </w:rPr>
      </w:pPr>
      <w:r w:rsidRPr="0039386A">
        <w:rPr>
          <w:rFonts w:asciiTheme="minorHAnsi" w:hAnsiTheme="minorHAnsi"/>
          <w:szCs w:val="22"/>
          <w:shd w:val="clear" w:color="auto" w:fill="FFFFFF"/>
          <w:lang w:val="en-US"/>
        </w:rPr>
        <w:t>4</w:t>
      </w:r>
      <w:r w:rsidRPr="00EC608E">
        <w:rPr>
          <w:rFonts w:asciiTheme="minorHAnsi" w:hAnsiTheme="minorHAnsi"/>
          <w:szCs w:val="22"/>
          <w:shd w:val="clear" w:color="auto" w:fill="FFFFFF"/>
          <w:vertAlign w:val="superscript"/>
          <w:lang w:val="en-US"/>
        </w:rPr>
        <w:t>th</w:t>
      </w:r>
      <w:r w:rsidR="00EC608E">
        <w:rPr>
          <w:rFonts w:asciiTheme="minorHAnsi" w:hAnsiTheme="minorHAnsi"/>
          <w:szCs w:val="22"/>
          <w:shd w:val="clear" w:color="auto" w:fill="FFFFFF"/>
          <w:lang w:val="en-US"/>
        </w:rPr>
        <w:t xml:space="preserve"> line:</w:t>
      </w:r>
      <w:r w:rsidR="00EC608E">
        <w:rPr>
          <w:rFonts w:asciiTheme="minorHAnsi" w:hAnsiTheme="minorHAnsi"/>
          <w:szCs w:val="22"/>
          <w:shd w:val="clear" w:color="auto" w:fill="FFFFFF"/>
          <w:lang w:val="en-US"/>
        </w:rPr>
        <w:tab/>
      </w:r>
      <w:r w:rsidRPr="0039386A">
        <w:rPr>
          <w:rFonts w:asciiTheme="minorHAnsi" w:hAnsiTheme="minorHAnsi"/>
          <w:szCs w:val="22"/>
          <w:shd w:val="clear" w:color="auto" w:fill="FFFFFF"/>
          <w:lang w:val="en-US"/>
        </w:rPr>
        <w:t>Imatinib re-challange oder anderes</w:t>
      </w:r>
    </w:p>
    <w:p w14:paraId="40AF0525" w14:textId="77777777" w:rsidR="0039386A" w:rsidRPr="0039386A" w:rsidRDefault="0039386A" w:rsidP="0039386A">
      <w:pPr>
        <w:pStyle w:val="Textkrper-Einzug2"/>
        <w:spacing w:after="0" w:line="276" w:lineRule="auto"/>
        <w:ind w:left="0"/>
        <w:jc w:val="both"/>
        <w:rPr>
          <w:rFonts w:ascii="Calibri" w:hAnsi="Calibri" w:cs="Calibri"/>
          <w:szCs w:val="22"/>
          <w:lang w:val="en-US"/>
        </w:rPr>
      </w:pPr>
    </w:p>
    <w:p w14:paraId="156537A2" w14:textId="77777777" w:rsidR="0039386A" w:rsidRDefault="0039386A" w:rsidP="0039386A">
      <w:pPr>
        <w:pStyle w:val="Textkrper-Einzug2"/>
        <w:spacing w:after="0" w:line="276" w:lineRule="auto"/>
        <w:ind w:left="0"/>
        <w:jc w:val="both"/>
        <w:rPr>
          <w:rFonts w:ascii="Calibri" w:hAnsi="Calibri" w:cs="Calibri"/>
          <w:szCs w:val="22"/>
          <w:lang w:val="en-US"/>
        </w:rPr>
      </w:pPr>
    </w:p>
    <w:p w14:paraId="6713F780" w14:textId="77777777" w:rsidR="0039386A" w:rsidRPr="0039386A" w:rsidRDefault="0039386A" w:rsidP="0039386A">
      <w:pPr>
        <w:pStyle w:val="berschrift2"/>
        <w:rPr>
          <w:lang w:val="de-DE"/>
        </w:rPr>
      </w:pPr>
      <w:bookmarkStart w:id="3" w:name="_Toc41307592"/>
      <w:r w:rsidRPr="0039386A">
        <w:rPr>
          <w:lang w:val="de-DE"/>
        </w:rPr>
        <w:t>1.2</w:t>
      </w:r>
      <w:r w:rsidRPr="0039386A">
        <w:rPr>
          <w:lang w:val="de-DE"/>
        </w:rPr>
        <w:tab/>
        <w:t>Allgemeines</w:t>
      </w:r>
      <w:bookmarkEnd w:id="3"/>
    </w:p>
    <w:p w14:paraId="040AC571" w14:textId="77777777" w:rsidR="0039386A" w:rsidRPr="0039386A" w:rsidRDefault="0039386A" w:rsidP="0039386A">
      <w:pPr>
        <w:pStyle w:val="Textkrper-Einzug2"/>
        <w:spacing w:after="0" w:line="276" w:lineRule="auto"/>
        <w:ind w:left="0"/>
        <w:jc w:val="both"/>
        <w:rPr>
          <w:rFonts w:ascii="Calibri" w:hAnsi="Calibri" w:cs="Calibri"/>
          <w:szCs w:val="22"/>
        </w:rPr>
      </w:pPr>
      <w:r w:rsidRPr="0039386A">
        <w:rPr>
          <w:rFonts w:ascii="Calibri" w:hAnsi="Calibri" w:cs="Calibri"/>
          <w:szCs w:val="22"/>
        </w:rPr>
        <w:t xml:space="preserve">GISTe sind aufgrund ihrer klinischen, genetischen und molekularbiologischen Eigenschaften eine heterogene Gruppe von Tumoren, die in ihrer Dignität von kleinen Läsionen mit benignen Verläufen bis hin zu aggressiven Sarkomen reichen. Sie sind die häufigsten mesenchymalen Tumore des Gastrointestinal (GI)-Traktes und machen ca. 1 % aller GI-Tumore aus. In Europa liegt die Inzidenz bei etwa 10 Fällen pro 1 Million (1). </w:t>
      </w:r>
    </w:p>
    <w:p w14:paraId="2C452EA8" w14:textId="77777777" w:rsidR="0039386A" w:rsidRPr="0039386A" w:rsidRDefault="0039386A" w:rsidP="0039386A">
      <w:pPr>
        <w:pStyle w:val="Textkrper-Einzug2"/>
        <w:spacing w:after="0" w:line="276" w:lineRule="auto"/>
        <w:ind w:left="0"/>
        <w:jc w:val="both"/>
        <w:rPr>
          <w:rFonts w:ascii="Calibri" w:hAnsi="Calibri" w:cs="Calibri"/>
          <w:szCs w:val="22"/>
        </w:rPr>
      </w:pPr>
    </w:p>
    <w:p w14:paraId="751BBC1E" w14:textId="77777777" w:rsidR="0039386A" w:rsidRPr="0039386A" w:rsidRDefault="0039386A" w:rsidP="0039386A">
      <w:pPr>
        <w:pStyle w:val="Textkrper-Einzug2"/>
        <w:spacing w:after="0" w:line="276" w:lineRule="auto"/>
        <w:ind w:left="0"/>
        <w:jc w:val="both"/>
        <w:rPr>
          <w:rFonts w:ascii="Calibri" w:hAnsi="Calibri" w:cs="Calibri"/>
          <w:szCs w:val="22"/>
        </w:rPr>
      </w:pPr>
      <w:r w:rsidRPr="0039386A">
        <w:rPr>
          <w:rFonts w:ascii="Calibri" w:hAnsi="Calibri" w:cs="Calibri"/>
          <w:szCs w:val="22"/>
        </w:rPr>
        <w:t>Als Ursprungszellen der GISTe gelten die interstitiellen Zellen Cajal (ICC). Sie liegen im myoenterischen Plexus des GI-Traktes und fungieren als Schrittmacher der Peristaltik (2). In 95 % aller Fälle exprimieren GISTe an ihrer Zelloberfläche den Zytokinrezeptor c-kit (CD 117), welcher immunhistochemisch leicht nachweisbar ist. Die immunhistochemische c-kit Positivität läßt allerdings keine Rückschlüsse auf eine etwaig vorliegende Mutation des KIT oder eines anderen Gens zu.</w:t>
      </w:r>
    </w:p>
    <w:p w14:paraId="440CC9FA" w14:textId="77777777" w:rsidR="0039386A" w:rsidRPr="0039386A" w:rsidRDefault="0039386A" w:rsidP="0039386A">
      <w:pPr>
        <w:pStyle w:val="Textkrper-Einzug2"/>
        <w:spacing w:after="0" w:line="276" w:lineRule="auto"/>
        <w:ind w:left="0"/>
        <w:jc w:val="both"/>
        <w:rPr>
          <w:rFonts w:ascii="Calibri" w:hAnsi="Calibri" w:cs="Calibri"/>
          <w:szCs w:val="22"/>
        </w:rPr>
      </w:pPr>
    </w:p>
    <w:p w14:paraId="39AD580F" w14:textId="77777777" w:rsidR="0039386A" w:rsidRPr="0039386A" w:rsidRDefault="0039386A" w:rsidP="0039386A">
      <w:pPr>
        <w:pStyle w:val="Textkrper-Einzug2"/>
        <w:spacing w:after="0" w:line="276" w:lineRule="auto"/>
        <w:ind w:left="0"/>
        <w:jc w:val="both"/>
        <w:rPr>
          <w:rFonts w:ascii="Calibri" w:hAnsi="Calibri" w:cs="Calibri"/>
          <w:szCs w:val="22"/>
        </w:rPr>
      </w:pPr>
      <w:r w:rsidRPr="0039386A">
        <w:rPr>
          <w:rFonts w:ascii="Calibri" w:hAnsi="Calibri" w:cs="Calibri"/>
          <w:szCs w:val="22"/>
        </w:rPr>
        <w:t>GISTe können entlang des gesamtem GI-Traktes entstehen. Die typischen Prädilektionsstellen sind Magen (50-60 %) und Dünndarm (20-30 %). Seltener kommen sie im Kolon und Rektum (5 %), sowie im Ösophagus (1 %) vor. Noch seltener finden sie sich in anderen abdominellen oder retroperitonealen Strukturen, wie z.B. der Gallenblase (3).</w:t>
      </w:r>
    </w:p>
    <w:p w14:paraId="4A1801ED" w14:textId="77777777" w:rsidR="0039386A" w:rsidRPr="0039386A" w:rsidRDefault="0039386A" w:rsidP="0039386A">
      <w:pPr>
        <w:pStyle w:val="Textkrper-Einzug2"/>
        <w:spacing w:after="0" w:line="276" w:lineRule="auto"/>
        <w:ind w:left="0"/>
        <w:jc w:val="both"/>
        <w:rPr>
          <w:rFonts w:ascii="Calibri" w:hAnsi="Calibri" w:cs="Calibri"/>
          <w:szCs w:val="22"/>
        </w:rPr>
      </w:pPr>
      <w:r w:rsidRPr="0039386A">
        <w:rPr>
          <w:rFonts w:ascii="Calibri" w:hAnsi="Calibri" w:cs="Calibri"/>
          <w:szCs w:val="22"/>
        </w:rPr>
        <w:t>Bis zu 40 % aller GISTe, die zum Zeitpunkt der Entdeckung noch lokalisiert sind, werden im Verlauf metastasieren und ca. bei 10-20 % aller Patienten liegt die Erkrankung bei Erstdiagnose bereits im metastasierten Stadium vor (4). Lokale Lymphknotenmetastasen und Metastasen außerhalb des Abdomens sind ungewöhnlich (5).</w:t>
      </w:r>
    </w:p>
    <w:p w14:paraId="160ED012" w14:textId="77777777" w:rsidR="0039386A" w:rsidRPr="0039386A" w:rsidRDefault="0039386A" w:rsidP="0039386A">
      <w:pPr>
        <w:pStyle w:val="Textkrper-Einzug2"/>
        <w:spacing w:after="0" w:line="276" w:lineRule="auto"/>
        <w:ind w:left="0"/>
        <w:jc w:val="both"/>
        <w:rPr>
          <w:rFonts w:ascii="Calibri" w:hAnsi="Calibri" w:cs="Calibri"/>
          <w:szCs w:val="22"/>
        </w:rPr>
      </w:pPr>
      <w:r w:rsidRPr="0039386A">
        <w:rPr>
          <w:rFonts w:ascii="Calibri" w:hAnsi="Calibri" w:cs="Calibri"/>
          <w:szCs w:val="22"/>
        </w:rPr>
        <w:lastRenderedPageBreak/>
        <w:t>Tumore die kleiner als 1 cm sind werden als MikroGISTe bezeichnet. Sie entwickeln sich typischerweise im proximalen Magen, sowie im gastro-ösophagealen Übergang. Diese klinisch stummen Läsionen finden sich in bis zu 20 % von Magenpräparaten (OP oder post mortem)  (6).</w:t>
      </w:r>
    </w:p>
    <w:p w14:paraId="5150F664" w14:textId="77777777" w:rsidR="0039386A" w:rsidRPr="0039386A" w:rsidRDefault="0039386A" w:rsidP="0039386A">
      <w:pPr>
        <w:pStyle w:val="Textkrper-Einzug2"/>
        <w:spacing w:after="0" w:line="276" w:lineRule="auto"/>
        <w:ind w:left="0"/>
        <w:jc w:val="both"/>
        <w:rPr>
          <w:rFonts w:ascii="Calibri" w:hAnsi="Calibri" w:cs="Calibri"/>
          <w:szCs w:val="22"/>
        </w:rPr>
      </w:pPr>
    </w:p>
    <w:p w14:paraId="2A09287B" w14:textId="77777777" w:rsidR="0039386A" w:rsidRPr="0039386A" w:rsidRDefault="0039386A" w:rsidP="0039386A">
      <w:pPr>
        <w:pStyle w:val="Textkrper-Einzug2"/>
        <w:spacing w:after="0" w:line="276" w:lineRule="auto"/>
        <w:ind w:left="0"/>
        <w:jc w:val="both"/>
        <w:rPr>
          <w:rFonts w:ascii="Calibri" w:hAnsi="Calibri" w:cs="Calibri"/>
          <w:szCs w:val="22"/>
        </w:rPr>
      </w:pPr>
      <w:r w:rsidRPr="0039386A">
        <w:rPr>
          <w:rFonts w:ascii="Calibri" w:hAnsi="Calibri" w:cs="Calibri"/>
          <w:szCs w:val="22"/>
        </w:rPr>
        <w:t>GISTe können in jedem Alter entstehen aber ca. 80 % aller Patienten sind älter als 50 Jahre. Männer und Frauen sind gleich häufig betroffen. GIST Fälle bei Patienten, die jünger als 30 Jahre sind, kommen selten (&lt; 4 %) vor. Hierbei handelt es sich meist um Patienten mit einem genetischen Syndrom, z.B. Carney-Stratakis (s.u.) (7, 8). Nicht selten (bis zu knapp 20 %) sind GISTe mit anderen Tumorerkrankungen vergesellschaftet (9).</w:t>
      </w:r>
    </w:p>
    <w:p w14:paraId="3C62BB78" w14:textId="77777777" w:rsidR="0039386A" w:rsidRPr="0039386A" w:rsidRDefault="0039386A" w:rsidP="0039386A">
      <w:pPr>
        <w:pStyle w:val="Textkrper-Einzug2"/>
        <w:spacing w:after="0" w:line="276" w:lineRule="auto"/>
        <w:ind w:left="0"/>
        <w:jc w:val="both"/>
        <w:rPr>
          <w:rFonts w:ascii="Calibri" w:hAnsi="Calibri" w:cs="Calibri"/>
          <w:szCs w:val="22"/>
        </w:rPr>
      </w:pPr>
    </w:p>
    <w:p w14:paraId="32BEBAB1" w14:textId="77777777" w:rsidR="0039386A" w:rsidRDefault="0039386A" w:rsidP="0039386A">
      <w:pPr>
        <w:pStyle w:val="Textkrper-Einzug2"/>
        <w:spacing w:after="0" w:line="276" w:lineRule="auto"/>
        <w:ind w:left="0"/>
        <w:jc w:val="both"/>
        <w:rPr>
          <w:rFonts w:ascii="Calibri" w:hAnsi="Calibri" w:cs="Calibri"/>
          <w:szCs w:val="22"/>
        </w:rPr>
      </w:pPr>
      <w:r w:rsidRPr="0039386A">
        <w:rPr>
          <w:rFonts w:ascii="Calibri" w:hAnsi="Calibri" w:cs="Calibri"/>
          <w:szCs w:val="22"/>
        </w:rPr>
        <w:t>Die typischen Beschwerden von GIST Patienten sind Blutungen, Anämie und Schmerzen. Die Therapien der Wahl sind OP und Tyrosinkinasehemmer. Chemotherapie spielt bei GIST keine Rolle.</w:t>
      </w:r>
    </w:p>
    <w:p w14:paraId="5A0CF8CF" w14:textId="77777777" w:rsidR="0039386A" w:rsidRDefault="0039386A" w:rsidP="0039386A">
      <w:pPr>
        <w:pStyle w:val="Textkrper-Einzug2"/>
        <w:spacing w:after="0" w:line="276" w:lineRule="auto"/>
        <w:ind w:left="0"/>
        <w:jc w:val="both"/>
        <w:rPr>
          <w:rFonts w:ascii="Calibri" w:hAnsi="Calibri" w:cs="Calibri"/>
          <w:szCs w:val="22"/>
        </w:rPr>
      </w:pPr>
    </w:p>
    <w:p w14:paraId="3EB1F53E" w14:textId="77777777" w:rsidR="0039386A" w:rsidRDefault="0039386A" w:rsidP="0039386A">
      <w:pPr>
        <w:pStyle w:val="berschrift2"/>
        <w:rPr>
          <w:rFonts w:ascii="Calibri" w:hAnsi="Calibri" w:cs="Calibri"/>
          <w:szCs w:val="22"/>
        </w:rPr>
      </w:pPr>
      <w:bookmarkStart w:id="4" w:name="_Toc41307593"/>
      <w:r>
        <w:t>1.3</w:t>
      </w:r>
      <w:r>
        <w:tab/>
        <w:t>Genetik und molekulare Pathologie</w:t>
      </w:r>
      <w:bookmarkEnd w:id="4"/>
    </w:p>
    <w:p w14:paraId="4C1A0F68" w14:textId="77777777" w:rsidR="00B96702" w:rsidRDefault="00B96702" w:rsidP="00B96702">
      <w:pPr>
        <w:pStyle w:val="Textkrper-Einzug2"/>
        <w:spacing w:after="0" w:line="276" w:lineRule="auto"/>
        <w:ind w:left="0"/>
        <w:jc w:val="both"/>
        <w:rPr>
          <w:rFonts w:ascii="Calibri" w:hAnsi="Calibri" w:cs="Calibri"/>
          <w:szCs w:val="22"/>
        </w:rPr>
      </w:pPr>
      <w:r w:rsidRPr="00B96702">
        <w:rPr>
          <w:rFonts w:ascii="Calibri" w:hAnsi="Calibri" w:cs="Calibri"/>
          <w:szCs w:val="22"/>
        </w:rPr>
        <w:t>GISTe können sporadisch oder familiär auftreten, auf einer somatischen oder Keimbahnmutation beruhen oder Teil eines genetischen Syndroms sein.  Die am häufigsten somatisch mutierten Gene (gain-of-function) sind die beiden Transmembran Rezeptortyrosinkinasen c-kit und platelet-derived growth factor receptor alpha (PDGFRA) (10, 11), die zusammen bis zu 85 % aller Fälle ausmachen. Davon betreffen ca. 80 % das KIT und ca. 5-8 % das PDGFRA Gen. Eine Mutation in KIT schließt eine andere in PDGFRA aus und umgekehrt („mutually exclusive"). Beide Moleküle sind transmembrane Rezeptortyrosinkinasen, deren Gene am Chromosom 4 liegen. Obwohl das KIT Gen 21 Exons und das PDGFRA Gen 24 Exons hat, betreffen die Mutationen in der Regel nur 5 KIT (8, 9, 11, 13 und 17) und 3 PDGFRA Exons (12, 14 und 18).</w:t>
      </w:r>
    </w:p>
    <w:p w14:paraId="1ECDF85A" w14:textId="77777777" w:rsidR="00EC608E" w:rsidRDefault="00EC608E" w:rsidP="00B96702">
      <w:pPr>
        <w:pStyle w:val="Textkrper-Einzug2"/>
        <w:spacing w:after="0" w:line="276" w:lineRule="auto"/>
        <w:ind w:left="0"/>
        <w:jc w:val="both"/>
        <w:rPr>
          <w:rFonts w:ascii="Calibri" w:hAnsi="Calibri" w:cs="Calibri"/>
          <w:szCs w:val="22"/>
        </w:rPr>
      </w:pPr>
    </w:p>
    <w:p w14:paraId="5EBD59ED" w14:textId="77777777" w:rsidR="00B96702" w:rsidRDefault="00B96702" w:rsidP="00B96702">
      <w:pPr>
        <w:pStyle w:val="Textkrper-Einzug2"/>
        <w:spacing w:after="0" w:line="276" w:lineRule="auto"/>
        <w:ind w:left="0"/>
        <w:jc w:val="both"/>
        <w:rPr>
          <w:rFonts w:ascii="Times New Roman" w:hAnsi="Times New Roman"/>
          <w:sz w:val="24"/>
          <w:szCs w:val="24"/>
          <w:shd w:val="clear" w:color="auto" w:fill="FFFFFF"/>
        </w:rPr>
      </w:pPr>
      <w:r>
        <w:rPr>
          <w:rFonts w:ascii="Times New Roman" w:hAnsi="Times New Roman"/>
          <w:noProof/>
          <w:sz w:val="24"/>
          <w:szCs w:val="24"/>
          <w:lang w:eastAsia="de-AT"/>
        </w:rPr>
        <mc:AlternateContent>
          <mc:Choice Requires="wps">
            <w:drawing>
              <wp:anchor distT="0" distB="0" distL="114300" distR="114300" simplePos="0" relativeHeight="251662336" behindDoc="0" locked="0" layoutInCell="1" allowOverlap="1" wp14:anchorId="69F595FE" wp14:editId="0D88190D">
                <wp:simplePos x="0" y="0"/>
                <wp:positionH relativeFrom="column">
                  <wp:posOffset>3608070</wp:posOffset>
                </wp:positionH>
                <wp:positionV relativeFrom="paragraph">
                  <wp:posOffset>683260</wp:posOffset>
                </wp:positionV>
                <wp:extent cx="2006600" cy="1555750"/>
                <wp:effectExtent l="0" t="0" r="0" b="6350"/>
                <wp:wrapNone/>
                <wp:docPr id="11" name="Textfeld 11"/>
                <wp:cNvGraphicFramePr/>
                <a:graphic xmlns:a="http://schemas.openxmlformats.org/drawingml/2006/main">
                  <a:graphicData uri="http://schemas.microsoft.com/office/word/2010/wordprocessingShape">
                    <wps:wsp>
                      <wps:cNvSpPr txBox="1"/>
                      <wps:spPr>
                        <a:xfrm>
                          <a:off x="0" y="0"/>
                          <a:ext cx="2006600" cy="155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D5111" w14:textId="77777777" w:rsidR="00EC608E" w:rsidRPr="00EC608E" w:rsidRDefault="00EC608E" w:rsidP="00B96702">
                            <w:pPr>
                              <w:tabs>
                                <w:tab w:val="left" w:pos="720"/>
                                <w:tab w:val="left" w:pos="1440"/>
                                <w:tab w:val="left" w:pos="2160"/>
                                <w:tab w:val="left" w:pos="2880"/>
                                <w:tab w:val="left" w:pos="3600"/>
                                <w:tab w:val="left" w:pos="4320"/>
                              </w:tabs>
                              <w:spacing w:line="276" w:lineRule="auto"/>
                              <w:jc w:val="left"/>
                              <w:rPr>
                                <w:rFonts w:asciiTheme="minorHAnsi" w:hAnsiTheme="minorHAnsi"/>
                                <w:sz w:val="18"/>
                                <w:szCs w:val="18"/>
                                <w:shd w:val="clear" w:color="auto" w:fill="FFFFFF"/>
                              </w:rPr>
                            </w:pPr>
                            <w:r w:rsidRPr="00EC608E">
                              <w:rPr>
                                <w:rFonts w:asciiTheme="minorHAnsi" w:hAnsiTheme="minorHAnsi"/>
                                <w:bCs/>
                                <w:sz w:val="18"/>
                                <w:szCs w:val="18"/>
                                <w:shd w:val="clear" w:color="auto" w:fill="FFFFFF"/>
                                <w:lang w:val="de-DE"/>
                              </w:rPr>
                              <w:t>Die Abbildung 1</w:t>
                            </w:r>
                            <w:r w:rsidRPr="00EC608E">
                              <w:rPr>
                                <w:rFonts w:asciiTheme="minorHAnsi" w:hAnsiTheme="minorHAnsi"/>
                                <w:sz w:val="18"/>
                                <w:szCs w:val="18"/>
                                <w:shd w:val="clear" w:color="auto" w:fill="FFFFFF"/>
                                <w:lang w:val="de-DE"/>
                              </w:rPr>
                              <w:t xml:space="preserve"> stellt die beiden Rezeptorproteine mit den relevanten Exons schematisch dar. Da nur 1 Fall f</w:t>
                            </w:r>
                            <w:r w:rsidRPr="00EC608E">
                              <w:rPr>
                                <w:rFonts w:asciiTheme="minorHAnsi" w:hAnsiTheme="minorHAnsi"/>
                                <w:sz w:val="18"/>
                                <w:szCs w:val="18"/>
                                <w:shd w:val="clear" w:color="auto" w:fill="FFFFFF"/>
                              </w:rPr>
                              <w:t>ü</w:t>
                            </w:r>
                            <w:r w:rsidRPr="00EC608E">
                              <w:rPr>
                                <w:rFonts w:asciiTheme="minorHAnsi" w:hAnsiTheme="minorHAnsi"/>
                                <w:sz w:val="18"/>
                                <w:szCs w:val="18"/>
                                <w:shd w:val="clear" w:color="auto" w:fill="FFFFFF"/>
                                <w:lang w:val="de-DE"/>
                              </w:rPr>
                              <w:t xml:space="preserve">r KIT Exon 8 Mutationen jemals beschrieben wurde, ist es nicht eingezeichnet (3).  </w:t>
                            </w:r>
                          </w:p>
                          <w:p w14:paraId="542C0691" w14:textId="77777777" w:rsidR="00EC608E" w:rsidRPr="00B96702" w:rsidRDefault="00EC608E" w:rsidP="00B96702">
                            <w:pPr>
                              <w:spacing w:line="276" w:lineRule="auto"/>
                              <w:jc w:val="left"/>
                              <w:rPr>
                                <w:rFonts w:asciiTheme="minorHAnsi" w:hAnsiTheme="minorHAns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F595FE" id="_x0000_t202" coordsize="21600,21600" o:spt="202" path="m,l,21600r21600,l21600,xe">
                <v:stroke joinstyle="miter"/>
                <v:path gradientshapeok="t" o:connecttype="rect"/>
              </v:shapetype>
              <v:shape id="Textfeld 11" o:spid="_x0000_s1026" type="#_x0000_t202" style="position:absolute;left:0;text-align:left;margin-left:284.1pt;margin-top:53.8pt;width:158pt;height:1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" fillcolor="white [3201]" stroked="f" strokeweight=".5pt">
                <v:textbox>
                  <w:txbxContent>
                    <w:p w14:paraId="7F4D5111" w14:textId="77777777" w:rsidR="00EC608E" w:rsidRPr="00EC608E" w:rsidRDefault="00EC608E" w:rsidP="00B96702">
                      <w:pPr>
                        <w:tabs>
                          <w:tab w:val="left" w:pos="720"/>
                          <w:tab w:val="left" w:pos="1440"/>
                          <w:tab w:val="left" w:pos="2160"/>
                          <w:tab w:val="left" w:pos="2880"/>
                          <w:tab w:val="left" w:pos="3600"/>
                          <w:tab w:val="left" w:pos="4320"/>
                        </w:tabs>
                        <w:spacing w:line="276" w:lineRule="auto"/>
                        <w:jc w:val="left"/>
                        <w:rPr>
                          <w:rFonts w:asciiTheme="minorHAnsi" w:hAnsiTheme="minorHAnsi"/>
                          <w:sz w:val="18"/>
                          <w:szCs w:val="18"/>
                          <w:shd w:val="clear" w:color="auto" w:fill="FFFFFF"/>
                        </w:rPr>
                      </w:pPr>
                      <w:r w:rsidRPr="00EC608E">
                        <w:rPr>
                          <w:rFonts w:asciiTheme="minorHAnsi" w:hAnsiTheme="minorHAnsi"/>
                          <w:bCs/>
                          <w:sz w:val="18"/>
                          <w:szCs w:val="18"/>
                          <w:shd w:val="clear" w:color="auto" w:fill="FFFFFF"/>
                          <w:lang w:val="de-DE"/>
                        </w:rPr>
                        <w:t>Die Abbildung 1</w:t>
                      </w:r>
                      <w:r w:rsidRPr="00EC608E">
                        <w:rPr>
                          <w:rFonts w:asciiTheme="minorHAnsi" w:hAnsiTheme="minorHAnsi"/>
                          <w:sz w:val="18"/>
                          <w:szCs w:val="18"/>
                          <w:shd w:val="clear" w:color="auto" w:fill="FFFFFF"/>
                          <w:lang w:val="de-DE"/>
                        </w:rPr>
                        <w:t xml:space="preserve"> stellt die beiden Rezeptorproteine mit den relevanten Exons schematisch dar. Da nur 1 Fall f</w:t>
                      </w:r>
                      <w:r w:rsidRPr="00EC608E">
                        <w:rPr>
                          <w:rFonts w:asciiTheme="minorHAnsi" w:hAnsiTheme="minorHAnsi"/>
                          <w:sz w:val="18"/>
                          <w:szCs w:val="18"/>
                          <w:shd w:val="clear" w:color="auto" w:fill="FFFFFF"/>
                        </w:rPr>
                        <w:t>ü</w:t>
                      </w:r>
                      <w:r w:rsidRPr="00EC608E">
                        <w:rPr>
                          <w:rFonts w:asciiTheme="minorHAnsi" w:hAnsiTheme="minorHAnsi"/>
                          <w:sz w:val="18"/>
                          <w:szCs w:val="18"/>
                          <w:shd w:val="clear" w:color="auto" w:fill="FFFFFF"/>
                          <w:lang w:val="de-DE"/>
                        </w:rPr>
                        <w:t xml:space="preserve">r KIT Exon 8 Mutationen jemals beschrieben wurde, ist es nicht eingezeichnet (3).  </w:t>
                      </w:r>
                    </w:p>
                    <w:p w14:paraId="542C0691" w14:textId="77777777" w:rsidR="00EC608E" w:rsidRPr="00B96702" w:rsidRDefault="00EC608E" w:rsidP="00B96702">
                      <w:pPr>
                        <w:spacing w:line="276" w:lineRule="auto"/>
                        <w:jc w:val="left"/>
                        <w:rPr>
                          <w:rFonts w:asciiTheme="minorHAnsi" w:hAnsiTheme="minorHAnsi"/>
                          <w:szCs w:val="22"/>
                        </w:rPr>
                      </w:pPr>
                    </w:p>
                  </w:txbxContent>
                </v:textbox>
              </v:shape>
            </w:pict>
          </mc:Fallback>
        </mc:AlternateContent>
      </w:r>
      <w:r>
        <w:rPr>
          <w:rFonts w:ascii="Times New Roman" w:hAnsi="Times New Roman"/>
          <w:noProof/>
          <w:sz w:val="24"/>
          <w:szCs w:val="24"/>
          <w:shd w:val="clear" w:color="auto" w:fill="FFFFFF"/>
          <w:lang w:eastAsia="de-AT"/>
        </w:rPr>
        <w:drawing>
          <wp:inline distT="0" distB="0" distL="0" distR="0" wp14:anchorId="3935D127" wp14:editId="60A59F4E">
            <wp:extent cx="3479887" cy="2667000"/>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3635" cy="2669873"/>
                    </a:xfrm>
                    <a:prstGeom prst="rect">
                      <a:avLst/>
                    </a:prstGeom>
                    <a:noFill/>
                    <a:ln>
                      <a:noFill/>
                    </a:ln>
                  </pic:spPr>
                </pic:pic>
              </a:graphicData>
            </a:graphic>
          </wp:inline>
        </w:drawing>
      </w:r>
      <w:r>
        <w:rPr>
          <w:rFonts w:ascii="Times New Roman" w:hAnsi="Times New Roman"/>
          <w:sz w:val="24"/>
          <w:szCs w:val="24"/>
          <w:shd w:val="clear" w:color="auto" w:fill="FFFFFF"/>
        </w:rPr>
        <w:t xml:space="preserve"> </w:t>
      </w:r>
    </w:p>
    <w:p w14:paraId="3804B939" w14:textId="77777777" w:rsidR="00EC608E" w:rsidRDefault="00EC608E" w:rsidP="00B96702">
      <w:pPr>
        <w:pStyle w:val="Textkrper-Einzug2"/>
        <w:spacing w:after="0" w:line="276" w:lineRule="auto"/>
        <w:ind w:left="0"/>
        <w:jc w:val="both"/>
        <w:rPr>
          <w:rFonts w:ascii="Calibri" w:hAnsi="Calibri" w:cs="Calibri"/>
          <w:szCs w:val="22"/>
        </w:rPr>
      </w:pPr>
    </w:p>
    <w:p w14:paraId="2842A3AA" w14:textId="77777777" w:rsidR="00B96702" w:rsidRDefault="00B96702" w:rsidP="00B96702">
      <w:pPr>
        <w:pStyle w:val="Textkrper-Einzug2"/>
        <w:spacing w:after="0" w:line="276" w:lineRule="auto"/>
        <w:ind w:left="0"/>
        <w:jc w:val="both"/>
        <w:rPr>
          <w:rFonts w:ascii="Calibri" w:hAnsi="Calibri" w:cs="Calibri"/>
          <w:szCs w:val="22"/>
        </w:rPr>
      </w:pPr>
      <w:r w:rsidRPr="00B96702">
        <w:rPr>
          <w:rFonts w:ascii="Calibri" w:hAnsi="Calibri" w:cs="Calibri"/>
          <w:szCs w:val="22"/>
        </w:rPr>
        <w:t xml:space="preserve">Die verbleibenden 15 % werden oft als KIT/PDGFRA Wildtyp Fälle bezeichnet, bei denen andere Gene mutiert sein können. Dazu zählen BRAF, KRAS, NRAS und NF-1 (Neurofibromatose), sowie die Gene des mitochondrialen Enzyms Succinat Dehydrogene (SDH), welches Teil des Zitronensäure Zyklus ist. </w:t>
      </w:r>
    </w:p>
    <w:p w14:paraId="1F8D7013" w14:textId="77777777" w:rsidR="00EC608E" w:rsidRDefault="00EC608E" w:rsidP="00B96702">
      <w:pPr>
        <w:pStyle w:val="Textkrper-Einzug2"/>
        <w:spacing w:after="0" w:line="276" w:lineRule="auto"/>
        <w:ind w:left="0"/>
        <w:jc w:val="both"/>
        <w:rPr>
          <w:rFonts w:ascii="Calibri" w:hAnsi="Calibri" w:cs="Calibri"/>
          <w:szCs w:val="22"/>
        </w:rPr>
      </w:pPr>
    </w:p>
    <w:p w14:paraId="10114F0A" w14:textId="77777777" w:rsidR="00EC608E" w:rsidRDefault="00EC608E" w:rsidP="00B96702">
      <w:pPr>
        <w:pStyle w:val="Textkrper-Einzug2"/>
        <w:spacing w:after="0" w:line="276" w:lineRule="auto"/>
        <w:ind w:left="0"/>
        <w:jc w:val="both"/>
        <w:rPr>
          <w:rFonts w:ascii="Calibri" w:hAnsi="Calibri" w:cs="Calibri"/>
          <w:szCs w:val="22"/>
        </w:rPr>
      </w:pPr>
    </w:p>
    <w:p w14:paraId="0311E6B6" w14:textId="77777777" w:rsidR="00B96702" w:rsidRDefault="00B96702" w:rsidP="00B96702">
      <w:pPr>
        <w:tabs>
          <w:tab w:val="left" w:pos="720"/>
          <w:tab w:val="left" w:pos="1440"/>
          <w:tab w:val="left" w:pos="2160"/>
          <w:tab w:val="left" w:pos="2880"/>
          <w:tab w:val="left" w:pos="3600"/>
          <w:tab w:val="left" w:pos="4320"/>
        </w:tabs>
        <w:ind w:firstLine="360"/>
        <w:rPr>
          <w:rFonts w:ascii="Times New Roman" w:hAnsi="Times New Roman"/>
          <w:sz w:val="24"/>
          <w:szCs w:val="24"/>
          <w:shd w:val="clear" w:color="auto" w:fill="FFFFFF"/>
        </w:rPr>
      </w:pPr>
      <w:r>
        <w:rPr>
          <w:rFonts w:ascii="Helvetica" w:eastAsia="Arial Unicode MS" w:hAnsi="Helvetica" w:cs="Arial Unicode MS"/>
          <w:noProof/>
          <w:szCs w:val="22"/>
          <w:lang w:eastAsia="de-AT"/>
        </w:rPr>
        <w:lastRenderedPageBreak/>
        <w:drawing>
          <wp:anchor distT="152400" distB="152400" distL="152400" distR="152400" simplePos="0" relativeHeight="251664384" behindDoc="0" locked="0" layoutInCell="1" allowOverlap="1" wp14:anchorId="4CDD60E1" wp14:editId="63DA8701">
            <wp:simplePos x="0" y="0"/>
            <wp:positionH relativeFrom="margin">
              <wp:posOffset>223520</wp:posOffset>
            </wp:positionH>
            <wp:positionV relativeFrom="line">
              <wp:posOffset>151765</wp:posOffset>
            </wp:positionV>
            <wp:extent cx="4820920" cy="2489200"/>
            <wp:effectExtent l="0" t="0" r="0" b="6350"/>
            <wp:wrapThrough wrapText="bothSides">
              <wp:wrapPolygon edited="0">
                <wp:start x="0" y="0"/>
                <wp:lineTo x="0" y="21490"/>
                <wp:lineTo x="21509" y="21490"/>
                <wp:lineTo x="21509"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0920"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C90CF" w14:textId="77777777" w:rsidR="00B96702" w:rsidRDefault="00B96702" w:rsidP="00B96702">
      <w:pPr>
        <w:tabs>
          <w:tab w:val="left" w:pos="720"/>
          <w:tab w:val="left" w:pos="1440"/>
          <w:tab w:val="left" w:pos="2160"/>
          <w:tab w:val="left" w:pos="2880"/>
          <w:tab w:val="left" w:pos="3600"/>
          <w:tab w:val="left" w:pos="4320"/>
        </w:tabs>
        <w:ind w:firstLine="360"/>
        <w:rPr>
          <w:rFonts w:ascii="Times New Roman" w:hAnsi="Times New Roman"/>
          <w:sz w:val="24"/>
          <w:szCs w:val="24"/>
          <w:shd w:val="clear" w:color="auto" w:fill="FFFFFF"/>
        </w:rPr>
      </w:pPr>
    </w:p>
    <w:p w14:paraId="22DC33FD" w14:textId="77777777" w:rsidR="00B96702" w:rsidRDefault="00B96702" w:rsidP="00B96702">
      <w:pPr>
        <w:tabs>
          <w:tab w:val="left" w:pos="720"/>
          <w:tab w:val="left" w:pos="1440"/>
          <w:tab w:val="left" w:pos="2160"/>
          <w:tab w:val="left" w:pos="2880"/>
          <w:tab w:val="left" w:pos="3600"/>
          <w:tab w:val="left" w:pos="4320"/>
        </w:tabs>
        <w:ind w:firstLine="360"/>
        <w:rPr>
          <w:rFonts w:ascii="Times New Roman" w:hAnsi="Times New Roman"/>
          <w:sz w:val="24"/>
          <w:szCs w:val="24"/>
          <w:shd w:val="clear" w:color="auto" w:fill="FFFFFF"/>
        </w:rPr>
      </w:pPr>
    </w:p>
    <w:p w14:paraId="74C332C5" w14:textId="77777777" w:rsidR="00B96702" w:rsidRDefault="00B96702" w:rsidP="00B96702">
      <w:pPr>
        <w:tabs>
          <w:tab w:val="left" w:pos="720"/>
          <w:tab w:val="left" w:pos="1440"/>
          <w:tab w:val="left" w:pos="2160"/>
          <w:tab w:val="left" w:pos="2880"/>
          <w:tab w:val="left" w:pos="3600"/>
          <w:tab w:val="left" w:pos="4320"/>
        </w:tabs>
        <w:ind w:firstLine="360"/>
        <w:rPr>
          <w:rFonts w:ascii="Times New Roman" w:hAnsi="Times New Roman"/>
          <w:sz w:val="24"/>
          <w:szCs w:val="24"/>
          <w:shd w:val="clear" w:color="auto" w:fill="FFFFFF"/>
        </w:rPr>
      </w:pPr>
    </w:p>
    <w:p w14:paraId="7F7FA2CD" w14:textId="77777777" w:rsidR="00B96702" w:rsidRDefault="00B96702" w:rsidP="00B96702">
      <w:pPr>
        <w:tabs>
          <w:tab w:val="left" w:pos="720"/>
          <w:tab w:val="left" w:pos="1440"/>
          <w:tab w:val="left" w:pos="2160"/>
          <w:tab w:val="left" w:pos="2880"/>
          <w:tab w:val="left" w:pos="3600"/>
          <w:tab w:val="left" w:pos="4320"/>
        </w:tabs>
        <w:ind w:firstLine="360"/>
        <w:rPr>
          <w:rFonts w:ascii="Times New Roman" w:hAnsi="Times New Roman"/>
          <w:sz w:val="24"/>
          <w:szCs w:val="24"/>
          <w:shd w:val="clear" w:color="auto" w:fill="FFFFFF"/>
        </w:rPr>
      </w:pPr>
    </w:p>
    <w:p w14:paraId="5E95A0C3" w14:textId="77777777" w:rsidR="00B96702" w:rsidRDefault="00B96702" w:rsidP="00B96702">
      <w:pPr>
        <w:tabs>
          <w:tab w:val="left" w:pos="720"/>
          <w:tab w:val="left" w:pos="1440"/>
          <w:tab w:val="left" w:pos="2160"/>
          <w:tab w:val="left" w:pos="2880"/>
          <w:tab w:val="left" w:pos="3600"/>
          <w:tab w:val="left" w:pos="4320"/>
        </w:tabs>
        <w:ind w:firstLine="360"/>
        <w:rPr>
          <w:rFonts w:ascii="Times New Roman" w:hAnsi="Times New Roman"/>
          <w:sz w:val="24"/>
          <w:szCs w:val="24"/>
          <w:shd w:val="clear" w:color="auto" w:fill="FFFFFF"/>
        </w:rPr>
      </w:pPr>
    </w:p>
    <w:p w14:paraId="2D453048" w14:textId="77777777" w:rsidR="00B96702" w:rsidRPr="00B96702" w:rsidRDefault="00B96702" w:rsidP="00B96702">
      <w:pPr>
        <w:tabs>
          <w:tab w:val="left" w:pos="720"/>
          <w:tab w:val="left" w:pos="1440"/>
          <w:tab w:val="left" w:pos="2160"/>
          <w:tab w:val="left" w:pos="2880"/>
          <w:tab w:val="left" w:pos="3600"/>
          <w:tab w:val="left" w:pos="4320"/>
        </w:tabs>
        <w:spacing w:line="276" w:lineRule="auto"/>
        <w:ind w:left="2832"/>
        <w:jc w:val="right"/>
        <w:rPr>
          <w:rFonts w:asciiTheme="minorHAnsi" w:hAnsiTheme="minorHAnsi"/>
          <w:szCs w:val="22"/>
          <w:shd w:val="clear" w:color="auto" w:fill="FFFFFF"/>
        </w:rPr>
      </w:pPr>
      <w:r>
        <w:rPr>
          <w:rFonts w:asciiTheme="minorHAnsi" w:hAnsiTheme="minorHAnsi"/>
          <w:szCs w:val="22"/>
          <w:shd w:val="clear" w:color="auto" w:fill="FFFFFF"/>
          <w:lang w:val="de-DE"/>
        </w:rPr>
        <w:tab/>
      </w:r>
      <w:r>
        <w:rPr>
          <w:rFonts w:asciiTheme="minorHAnsi" w:hAnsiTheme="minorHAnsi"/>
          <w:szCs w:val="22"/>
          <w:shd w:val="clear" w:color="auto" w:fill="FFFFFF"/>
          <w:lang w:val="de-DE"/>
        </w:rPr>
        <w:tab/>
      </w:r>
      <w:r>
        <w:rPr>
          <w:rFonts w:asciiTheme="minorHAnsi" w:hAnsiTheme="minorHAnsi"/>
          <w:szCs w:val="22"/>
          <w:shd w:val="clear" w:color="auto" w:fill="FFFFFF"/>
          <w:lang w:val="de-DE"/>
        </w:rPr>
        <w:tab/>
        <w:t xml:space="preserve">    </w:t>
      </w:r>
    </w:p>
    <w:p w14:paraId="525A1305" w14:textId="77777777" w:rsidR="00B96702" w:rsidRDefault="00B96702" w:rsidP="00B96702">
      <w:pPr>
        <w:tabs>
          <w:tab w:val="left" w:pos="720"/>
          <w:tab w:val="left" w:pos="1440"/>
          <w:tab w:val="left" w:pos="2160"/>
          <w:tab w:val="left" w:pos="2880"/>
          <w:tab w:val="left" w:pos="3600"/>
          <w:tab w:val="left" w:pos="4320"/>
        </w:tabs>
        <w:ind w:firstLine="360"/>
        <w:rPr>
          <w:rFonts w:ascii="Times New Roman" w:hAnsi="Times New Roman"/>
          <w:sz w:val="24"/>
          <w:szCs w:val="24"/>
          <w:shd w:val="clear" w:color="auto" w:fill="FFFFFF"/>
        </w:rPr>
      </w:pPr>
    </w:p>
    <w:p w14:paraId="649890FD" w14:textId="77777777" w:rsidR="00B96702" w:rsidRDefault="00B96702" w:rsidP="00B96702">
      <w:pPr>
        <w:tabs>
          <w:tab w:val="left" w:pos="720"/>
          <w:tab w:val="left" w:pos="1440"/>
          <w:tab w:val="left" w:pos="2160"/>
          <w:tab w:val="left" w:pos="2880"/>
          <w:tab w:val="left" w:pos="3600"/>
          <w:tab w:val="left" w:pos="4320"/>
        </w:tabs>
        <w:ind w:firstLine="360"/>
        <w:rPr>
          <w:rFonts w:ascii="Times New Roman" w:hAnsi="Times New Roman"/>
          <w:sz w:val="24"/>
          <w:szCs w:val="24"/>
          <w:shd w:val="clear" w:color="auto" w:fill="FFFFFF"/>
        </w:rPr>
      </w:pPr>
    </w:p>
    <w:p w14:paraId="4BFF2282" w14:textId="77777777" w:rsidR="00B96702" w:rsidRDefault="00B96702" w:rsidP="00B96702">
      <w:pPr>
        <w:tabs>
          <w:tab w:val="left" w:pos="720"/>
          <w:tab w:val="left" w:pos="1440"/>
          <w:tab w:val="left" w:pos="2160"/>
          <w:tab w:val="left" w:pos="2880"/>
          <w:tab w:val="left" w:pos="3600"/>
          <w:tab w:val="left" w:pos="4320"/>
        </w:tabs>
        <w:ind w:firstLine="360"/>
        <w:rPr>
          <w:rFonts w:ascii="Times New Roman" w:hAnsi="Times New Roman"/>
          <w:sz w:val="24"/>
          <w:szCs w:val="24"/>
          <w:shd w:val="clear" w:color="auto" w:fill="FFFFFF"/>
        </w:rPr>
      </w:pPr>
    </w:p>
    <w:p w14:paraId="15DBC4F3" w14:textId="77777777" w:rsidR="00B96702" w:rsidRDefault="00B96702" w:rsidP="00B96702">
      <w:pPr>
        <w:tabs>
          <w:tab w:val="left" w:pos="720"/>
          <w:tab w:val="left" w:pos="1440"/>
          <w:tab w:val="left" w:pos="2160"/>
          <w:tab w:val="left" w:pos="2880"/>
          <w:tab w:val="left" w:pos="3600"/>
          <w:tab w:val="left" w:pos="4320"/>
        </w:tabs>
        <w:ind w:firstLine="360"/>
        <w:rPr>
          <w:rFonts w:ascii="Times New Roman" w:hAnsi="Times New Roman"/>
          <w:sz w:val="24"/>
          <w:szCs w:val="24"/>
          <w:shd w:val="clear" w:color="auto" w:fill="FFFFFF"/>
          <w:lang w:val="de-DE"/>
        </w:rPr>
      </w:pPr>
    </w:p>
    <w:p w14:paraId="2B1F4B16" w14:textId="77777777" w:rsidR="00B96702" w:rsidRPr="00EC608E" w:rsidRDefault="00B96702" w:rsidP="00B96702">
      <w:pPr>
        <w:tabs>
          <w:tab w:val="left" w:pos="720"/>
          <w:tab w:val="left" w:pos="1440"/>
          <w:tab w:val="left" w:pos="2160"/>
          <w:tab w:val="left" w:pos="2880"/>
          <w:tab w:val="left" w:pos="3600"/>
          <w:tab w:val="left" w:pos="4320"/>
        </w:tabs>
        <w:spacing w:line="276" w:lineRule="auto"/>
        <w:jc w:val="both"/>
        <w:rPr>
          <w:rFonts w:asciiTheme="minorHAnsi" w:hAnsiTheme="minorHAnsi"/>
          <w:sz w:val="18"/>
          <w:szCs w:val="18"/>
          <w:shd w:val="clear" w:color="auto" w:fill="FFFFFF"/>
        </w:rPr>
      </w:pPr>
      <w:r>
        <w:rPr>
          <w:rFonts w:ascii="Times New Roman" w:hAnsi="Times New Roman"/>
          <w:sz w:val="24"/>
          <w:szCs w:val="24"/>
          <w:shd w:val="clear" w:color="auto" w:fill="FFFFFF"/>
          <w:lang w:val="de-DE"/>
        </w:rPr>
        <w:t xml:space="preserve">    </w:t>
      </w:r>
      <w:r w:rsidR="00EC608E">
        <w:rPr>
          <w:rFonts w:ascii="Times New Roman" w:hAnsi="Times New Roman"/>
          <w:sz w:val="24"/>
          <w:szCs w:val="24"/>
          <w:shd w:val="clear" w:color="auto" w:fill="FFFFFF"/>
          <w:lang w:val="de-DE"/>
        </w:rPr>
        <w:tab/>
      </w:r>
      <w:r w:rsidRPr="00EC608E">
        <w:rPr>
          <w:rFonts w:asciiTheme="minorHAnsi" w:hAnsiTheme="minorHAnsi"/>
          <w:sz w:val="18"/>
          <w:szCs w:val="18"/>
          <w:shd w:val="clear" w:color="auto" w:fill="FFFFFF"/>
          <w:lang w:val="de-DE"/>
        </w:rPr>
        <w:t>Genetische Varianten (12).</w:t>
      </w:r>
    </w:p>
    <w:p w14:paraId="6A90564B" w14:textId="77777777" w:rsidR="00B96702" w:rsidRDefault="00B96702" w:rsidP="00B96702">
      <w:pPr>
        <w:tabs>
          <w:tab w:val="left" w:pos="720"/>
          <w:tab w:val="left" w:pos="1440"/>
          <w:tab w:val="left" w:pos="2160"/>
          <w:tab w:val="left" w:pos="2880"/>
          <w:tab w:val="left" w:pos="3600"/>
          <w:tab w:val="left" w:pos="4320"/>
        </w:tabs>
        <w:ind w:firstLine="360"/>
        <w:jc w:val="left"/>
        <w:rPr>
          <w:rFonts w:ascii="Times New Roman" w:hAnsi="Times New Roman"/>
          <w:sz w:val="24"/>
          <w:szCs w:val="24"/>
          <w:shd w:val="clear" w:color="auto" w:fill="FFFFFF"/>
          <w:lang w:val="de-DE"/>
        </w:rPr>
      </w:pPr>
    </w:p>
    <w:p w14:paraId="3E4B6A24" w14:textId="77777777" w:rsidR="00B96702" w:rsidRPr="00B96702" w:rsidRDefault="00B96702" w:rsidP="00B96702">
      <w:pPr>
        <w:pStyle w:val="Textkrper-Einzug2"/>
        <w:spacing w:after="0" w:line="276" w:lineRule="auto"/>
        <w:ind w:left="0"/>
        <w:jc w:val="both"/>
        <w:rPr>
          <w:rFonts w:ascii="Calibri" w:hAnsi="Calibri" w:cs="Calibri"/>
          <w:szCs w:val="22"/>
        </w:rPr>
      </w:pPr>
      <w:r w:rsidRPr="00B96702">
        <w:rPr>
          <w:rFonts w:ascii="Calibri" w:hAnsi="Calibri" w:cs="Calibri"/>
          <w:szCs w:val="22"/>
        </w:rPr>
        <w:t xml:space="preserve">Innerhalb der Gruppe der KIT/PDGFRA Wildtyp GISTe wird zwischen Fällen mit normaler und mit defizienter SDH-Funktion unterschieden. Die SDH-defizienten Fälle beruhen entweder auf Mutationen eines der vier SDH Gene (A, B, C, D) oder aber auf einer SDH-Funktionslosigkeit unklarer Ursache, bei der die SDH nicht mutiert ist. </w:t>
      </w:r>
    </w:p>
    <w:p w14:paraId="6E33BA52" w14:textId="77777777" w:rsidR="00B96702" w:rsidRPr="00B96702" w:rsidRDefault="00B96702" w:rsidP="00B96702">
      <w:pPr>
        <w:pStyle w:val="Textkrper-Einzug2"/>
        <w:spacing w:after="0" w:line="276" w:lineRule="auto"/>
        <w:ind w:left="0"/>
        <w:jc w:val="both"/>
        <w:rPr>
          <w:rFonts w:ascii="Calibri" w:hAnsi="Calibri" w:cs="Calibri"/>
          <w:szCs w:val="22"/>
        </w:rPr>
      </w:pPr>
    </w:p>
    <w:p w14:paraId="517FD46C" w14:textId="77777777" w:rsidR="00B96702" w:rsidRPr="00B96702" w:rsidRDefault="00B96702" w:rsidP="00B96702">
      <w:pPr>
        <w:pStyle w:val="Textkrper-Einzug2"/>
        <w:spacing w:after="0" w:line="276" w:lineRule="auto"/>
        <w:ind w:left="0"/>
        <w:jc w:val="both"/>
        <w:rPr>
          <w:rFonts w:ascii="Calibri" w:hAnsi="Calibri" w:cs="Calibri"/>
          <w:szCs w:val="22"/>
        </w:rPr>
      </w:pPr>
      <w:r w:rsidRPr="00B96702">
        <w:rPr>
          <w:rFonts w:ascii="Calibri" w:hAnsi="Calibri" w:cs="Calibri"/>
          <w:szCs w:val="22"/>
        </w:rPr>
        <w:t xml:space="preserve">Die SDH-mutierten Fälle stellen das Carney-Stratakis Syndrom (CCS) dar und die nicht SDH-mutierten werden als Carney’sche Trias beschreiben (12). </w:t>
      </w:r>
    </w:p>
    <w:p w14:paraId="30051E29" w14:textId="77777777" w:rsidR="00B96702" w:rsidRPr="00B96702" w:rsidRDefault="00B96702" w:rsidP="00B96702">
      <w:pPr>
        <w:pStyle w:val="Textkrper-Einzug2"/>
        <w:spacing w:after="0" w:line="276" w:lineRule="auto"/>
        <w:ind w:left="0" w:firstLine="708"/>
        <w:jc w:val="both"/>
        <w:rPr>
          <w:rFonts w:ascii="Calibri" w:hAnsi="Calibri" w:cs="Calibri"/>
          <w:szCs w:val="22"/>
          <w:lang w:val="en-US"/>
        </w:rPr>
      </w:pPr>
      <w:r w:rsidRPr="00B96702">
        <w:rPr>
          <w:rFonts w:ascii="Calibri" w:hAnsi="Calibri" w:cs="Calibri"/>
          <w:szCs w:val="22"/>
          <w:lang w:val="en-US"/>
        </w:rPr>
        <w:t xml:space="preserve">Carney’sche Trias (CT): </w:t>
      </w:r>
      <w:r w:rsidRPr="00B96702">
        <w:rPr>
          <w:rFonts w:ascii="Calibri" w:hAnsi="Calibri" w:cs="Calibri"/>
          <w:szCs w:val="22"/>
          <w:lang w:val="en-US"/>
        </w:rPr>
        <w:tab/>
        <w:t xml:space="preserve">                     GIST + Paragangliome + pulmonale Chondrome</w:t>
      </w:r>
    </w:p>
    <w:p w14:paraId="4F62C616" w14:textId="77777777" w:rsidR="00B96702" w:rsidRPr="00B96702" w:rsidRDefault="00B96702" w:rsidP="00B96702">
      <w:pPr>
        <w:pStyle w:val="Textkrper-Einzug2"/>
        <w:spacing w:after="0" w:line="276" w:lineRule="auto"/>
        <w:ind w:left="0" w:firstLine="708"/>
        <w:jc w:val="both"/>
        <w:rPr>
          <w:rFonts w:ascii="Calibri" w:hAnsi="Calibri" w:cs="Calibri"/>
          <w:szCs w:val="22"/>
          <w:lang w:val="en-US"/>
        </w:rPr>
      </w:pPr>
      <w:r w:rsidRPr="00B96702">
        <w:rPr>
          <w:rFonts w:ascii="Calibri" w:hAnsi="Calibri" w:cs="Calibri"/>
          <w:szCs w:val="22"/>
          <w:lang w:val="en-US"/>
        </w:rPr>
        <w:t>Carney-Stratakis Syndrom (CSS):     GIST + Paragangliome</w:t>
      </w:r>
    </w:p>
    <w:p w14:paraId="1B5626DE" w14:textId="77777777" w:rsidR="00B96702" w:rsidRPr="00B96702" w:rsidRDefault="00B96702" w:rsidP="00B96702">
      <w:pPr>
        <w:pStyle w:val="Textkrper-Einzug2"/>
        <w:spacing w:after="0" w:line="276" w:lineRule="auto"/>
        <w:ind w:left="0"/>
        <w:jc w:val="both"/>
        <w:rPr>
          <w:rFonts w:ascii="Calibri" w:hAnsi="Calibri" w:cs="Calibri"/>
          <w:szCs w:val="22"/>
          <w:lang w:val="en-US"/>
        </w:rPr>
      </w:pPr>
    </w:p>
    <w:p w14:paraId="531DC333" w14:textId="77777777" w:rsidR="00B96702" w:rsidRPr="00B96702" w:rsidRDefault="00B96702" w:rsidP="00B96702">
      <w:pPr>
        <w:pStyle w:val="Textkrper-Einzug2"/>
        <w:spacing w:after="0" w:line="276" w:lineRule="auto"/>
        <w:ind w:left="0"/>
        <w:jc w:val="both"/>
        <w:rPr>
          <w:rFonts w:ascii="Calibri" w:hAnsi="Calibri" w:cs="Calibri"/>
          <w:szCs w:val="22"/>
        </w:rPr>
      </w:pPr>
      <w:r w:rsidRPr="00B96702">
        <w:rPr>
          <w:rFonts w:ascii="Calibri" w:hAnsi="Calibri" w:cs="Calibri"/>
          <w:szCs w:val="22"/>
        </w:rPr>
        <w:t xml:space="preserve">Die Carney’sche Trias betrifft hauptsächlich junge Frauen. Sie entwickeln multilokuläre GISTe im Magen mit epitheloider Morphologie, die häufig Lymphknotenmetatasen setzen. Multilokuläre gastrale Tumore und Lymphknotenmetastasen kommen bei KIT/PDGFRA-mutierten Fällen nicht vor. </w:t>
      </w:r>
    </w:p>
    <w:p w14:paraId="37D67057" w14:textId="77777777" w:rsidR="00B96702" w:rsidRPr="00B96702" w:rsidRDefault="00B96702" w:rsidP="00B96702">
      <w:pPr>
        <w:pStyle w:val="Textkrper-Einzug2"/>
        <w:spacing w:after="0" w:line="276" w:lineRule="auto"/>
        <w:ind w:left="0"/>
        <w:jc w:val="both"/>
        <w:rPr>
          <w:rFonts w:ascii="Calibri" w:hAnsi="Calibri" w:cs="Calibri"/>
          <w:szCs w:val="22"/>
        </w:rPr>
      </w:pPr>
    </w:p>
    <w:p w14:paraId="38A09A44" w14:textId="77777777" w:rsidR="00B96702" w:rsidRPr="00B96702" w:rsidRDefault="00B96702" w:rsidP="00B96702">
      <w:pPr>
        <w:pStyle w:val="Textkrper-Einzug2"/>
        <w:spacing w:after="0" w:line="276" w:lineRule="auto"/>
        <w:ind w:left="0"/>
        <w:jc w:val="both"/>
        <w:rPr>
          <w:rFonts w:ascii="Calibri" w:hAnsi="Calibri" w:cs="Calibri"/>
          <w:szCs w:val="22"/>
        </w:rPr>
      </w:pPr>
      <w:r w:rsidRPr="00B96702">
        <w:rPr>
          <w:rFonts w:ascii="Calibri" w:hAnsi="Calibri" w:cs="Calibri"/>
          <w:szCs w:val="22"/>
        </w:rPr>
        <w:t>Das Carney-Stratakis Syndrom wird im Gegensatz zur Trias autosomal dominant vererbt und betrifft somit Frauen und Männer gleichsam. Die Klinik gleicht aber der Trias: multilokuläre GISTe des Magens mit epitheloider Morphologie und Lymphknotenmetastasen. Allerdings sind die Patienten mit CSS im Schnitt älter als jene der Trias. Ausführlichere Beschreibungen finden sich hier (13–15).</w:t>
      </w:r>
    </w:p>
    <w:p w14:paraId="044AE252" w14:textId="77777777" w:rsidR="00B96702" w:rsidRPr="00B96702" w:rsidRDefault="00B96702" w:rsidP="00B96702">
      <w:pPr>
        <w:pStyle w:val="Textkrper-Einzug2"/>
        <w:spacing w:after="0" w:line="276" w:lineRule="auto"/>
        <w:ind w:left="0"/>
        <w:jc w:val="both"/>
        <w:rPr>
          <w:rFonts w:ascii="Calibri" w:hAnsi="Calibri" w:cs="Calibri"/>
          <w:szCs w:val="22"/>
        </w:rPr>
      </w:pPr>
    </w:p>
    <w:p w14:paraId="47D91F6F" w14:textId="77777777" w:rsidR="00B96702" w:rsidRPr="00B96702" w:rsidRDefault="00B96702" w:rsidP="00B96702">
      <w:pPr>
        <w:pStyle w:val="Textkrper-Einzug2"/>
        <w:spacing w:after="0" w:line="276" w:lineRule="auto"/>
        <w:ind w:left="0"/>
        <w:jc w:val="both"/>
        <w:rPr>
          <w:rFonts w:ascii="Calibri" w:hAnsi="Calibri" w:cs="Calibri"/>
          <w:szCs w:val="22"/>
        </w:rPr>
      </w:pPr>
      <w:r w:rsidRPr="00B96702">
        <w:rPr>
          <w:rFonts w:ascii="Calibri" w:hAnsi="Calibri" w:cs="Calibri"/>
          <w:szCs w:val="22"/>
        </w:rPr>
        <w:t>Und schließlich gibt es noch Fälle mit normaler SDH-Funktion und KIT/PDGFRA Wildtyp. Hierbei können die Gene von BRAF und NF-1 und in sehr seltenen Fällen auch jene von KRAS und NRAS mutiert sein. Erwähnenswert sind die Mutationen von Neurofimbrin-1 (NF-1) bei der Neurofibromatose Typ 1 (von Recklinghausen), die bis zu 7 % aller Patienten entwickeln GISTe des Dünndarms (16).</w:t>
      </w:r>
    </w:p>
    <w:p w14:paraId="6F97AF47" w14:textId="77777777" w:rsidR="00B96702" w:rsidRDefault="00B96702" w:rsidP="00B96702">
      <w:pPr>
        <w:pStyle w:val="Textkrper-Einzug2"/>
        <w:spacing w:after="0" w:line="276" w:lineRule="auto"/>
        <w:ind w:left="0"/>
        <w:jc w:val="both"/>
        <w:rPr>
          <w:rFonts w:ascii="Calibri" w:hAnsi="Calibri" w:cs="Calibri"/>
          <w:szCs w:val="22"/>
        </w:rPr>
      </w:pPr>
    </w:p>
    <w:p w14:paraId="292C1B59" w14:textId="77777777" w:rsidR="00B96702" w:rsidRDefault="00B96702" w:rsidP="00B96702">
      <w:pPr>
        <w:pStyle w:val="Textkrper-Einzug2"/>
        <w:spacing w:after="0" w:line="276" w:lineRule="auto"/>
        <w:ind w:left="0"/>
        <w:jc w:val="both"/>
        <w:rPr>
          <w:rFonts w:ascii="Calibri" w:hAnsi="Calibri" w:cs="Calibri"/>
          <w:szCs w:val="22"/>
        </w:rPr>
      </w:pPr>
      <w:r>
        <w:rPr>
          <w:rFonts w:ascii="Calibri" w:hAnsi="Calibri" w:cs="Calibri"/>
          <w:szCs w:val="22"/>
        </w:rPr>
        <w:t>Die folgende Tabelle fasst die Sachverhalte zusammen (2):</w:t>
      </w:r>
    </w:p>
    <w:p w14:paraId="1C21F62F" w14:textId="77777777" w:rsidR="00B96702" w:rsidRDefault="00B96702" w:rsidP="00B96702">
      <w:pPr>
        <w:pStyle w:val="Textkrper-Einzug2"/>
        <w:spacing w:after="0" w:line="276" w:lineRule="auto"/>
        <w:ind w:left="0"/>
        <w:jc w:val="both"/>
        <w:rPr>
          <w:rFonts w:ascii="Calibri" w:hAnsi="Calibri" w:cs="Calibri"/>
          <w:szCs w:val="22"/>
        </w:rPr>
      </w:pPr>
      <w:r>
        <w:rPr>
          <w:rFonts w:ascii="Calibri" w:hAnsi="Calibri" w:cs="Calibri"/>
          <w:noProof/>
          <w:szCs w:val="22"/>
          <w:lang w:eastAsia="de-AT"/>
        </w:rPr>
        <w:lastRenderedPageBreak/>
        <w:drawing>
          <wp:inline distT="0" distB="0" distL="0" distR="0" wp14:anchorId="517A2773" wp14:editId="56484ACE">
            <wp:extent cx="5957570" cy="4703909"/>
            <wp:effectExtent l="0" t="0" r="508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7570" cy="4703909"/>
                    </a:xfrm>
                    <a:prstGeom prst="rect">
                      <a:avLst/>
                    </a:prstGeom>
                    <a:noFill/>
                    <a:ln>
                      <a:noFill/>
                    </a:ln>
                  </pic:spPr>
                </pic:pic>
              </a:graphicData>
            </a:graphic>
          </wp:inline>
        </w:drawing>
      </w:r>
    </w:p>
    <w:p w14:paraId="5DEE1C2C" w14:textId="77777777" w:rsidR="00B96702" w:rsidRDefault="00B96702" w:rsidP="00B96702">
      <w:pPr>
        <w:pStyle w:val="Textkrper-Einzug2"/>
        <w:spacing w:after="0" w:line="276" w:lineRule="auto"/>
        <w:ind w:left="0"/>
        <w:jc w:val="both"/>
        <w:rPr>
          <w:rFonts w:ascii="Calibri" w:hAnsi="Calibri" w:cs="Calibri"/>
          <w:szCs w:val="22"/>
        </w:rPr>
      </w:pPr>
    </w:p>
    <w:p w14:paraId="12BBBF8B" w14:textId="77777777" w:rsidR="00B96702" w:rsidRDefault="00B96702" w:rsidP="00B96702">
      <w:pPr>
        <w:pStyle w:val="Textkrper-Einzug2"/>
        <w:spacing w:after="0" w:line="276" w:lineRule="auto"/>
        <w:ind w:left="0"/>
        <w:jc w:val="both"/>
        <w:rPr>
          <w:rFonts w:ascii="Calibri" w:hAnsi="Calibri" w:cs="Calibri"/>
          <w:szCs w:val="22"/>
        </w:rPr>
      </w:pPr>
    </w:p>
    <w:p w14:paraId="47AFFF21" w14:textId="77777777" w:rsidR="00DE275D" w:rsidRDefault="00DE275D" w:rsidP="00DE275D">
      <w:pPr>
        <w:pStyle w:val="berschrift1"/>
      </w:pPr>
      <w:bookmarkStart w:id="5" w:name="_Toc41307594"/>
      <w:r w:rsidRPr="000D2297">
        <w:t>2</w:t>
      </w:r>
      <w:r w:rsidRPr="000D2297">
        <w:tab/>
        <w:t>Diagnostik und Scoring</w:t>
      </w:r>
      <w:bookmarkEnd w:id="5"/>
    </w:p>
    <w:p w14:paraId="45DB6157" w14:textId="77777777" w:rsidR="002B425B" w:rsidRDefault="002B425B" w:rsidP="002B425B">
      <w:pPr>
        <w:pStyle w:val="berschrift2"/>
      </w:pPr>
      <w:bookmarkStart w:id="6" w:name="_Toc41307595"/>
      <w:r>
        <w:t>2.1</w:t>
      </w:r>
      <w:r>
        <w:tab/>
        <w:t>Diagnose</w:t>
      </w:r>
      <w:bookmarkEnd w:id="6"/>
    </w:p>
    <w:p w14:paraId="0C3223F8" w14:textId="77777777" w:rsidR="002B425B" w:rsidRPr="002B425B" w:rsidRDefault="002B425B" w:rsidP="002B425B">
      <w:pPr>
        <w:pStyle w:val="Textkrper-Einzug2"/>
        <w:spacing w:after="0" w:line="276" w:lineRule="auto"/>
        <w:ind w:left="0"/>
        <w:jc w:val="both"/>
        <w:rPr>
          <w:rFonts w:ascii="Calibri" w:hAnsi="Calibri" w:cs="Calibri"/>
          <w:szCs w:val="22"/>
        </w:rPr>
      </w:pPr>
      <w:r w:rsidRPr="002B425B">
        <w:rPr>
          <w:rFonts w:ascii="Calibri" w:hAnsi="Calibri" w:cs="Calibri"/>
          <w:szCs w:val="22"/>
        </w:rPr>
        <w:t>In den meisten Fällen entdecken endoskopische oder radiologische Verfahren einen suspekten Knoten, der biopsiert wird. Die Diagnose GIST kann in der Regel mittels Histologie, Immunhistologie und molekularer Pathologie gestellt werden.</w:t>
      </w:r>
    </w:p>
    <w:p w14:paraId="7A9AA101" w14:textId="77777777" w:rsidR="002B425B" w:rsidRPr="002B425B" w:rsidRDefault="002B425B" w:rsidP="002B425B">
      <w:pPr>
        <w:pStyle w:val="Textkrper-Einzug2"/>
        <w:spacing w:after="0" w:line="276" w:lineRule="auto"/>
        <w:ind w:left="0"/>
        <w:jc w:val="both"/>
        <w:rPr>
          <w:rFonts w:ascii="Calibri" w:hAnsi="Calibri" w:cs="Calibri"/>
          <w:szCs w:val="22"/>
        </w:rPr>
      </w:pPr>
    </w:p>
    <w:p w14:paraId="191FA13F" w14:textId="77777777" w:rsidR="002B425B" w:rsidRPr="002B425B" w:rsidRDefault="002B425B" w:rsidP="002B425B">
      <w:pPr>
        <w:pStyle w:val="Textkrper-Einzug2"/>
        <w:spacing w:after="0" w:line="276" w:lineRule="auto"/>
        <w:ind w:left="0"/>
        <w:jc w:val="both"/>
        <w:rPr>
          <w:rFonts w:ascii="Calibri" w:hAnsi="Calibri" w:cs="Calibri"/>
          <w:szCs w:val="22"/>
        </w:rPr>
      </w:pPr>
      <w:r w:rsidRPr="002B425B">
        <w:rPr>
          <w:rFonts w:ascii="Calibri" w:hAnsi="Calibri" w:cs="Calibri"/>
          <w:szCs w:val="22"/>
        </w:rPr>
        <w:t>Prinzipiell gilt: Verdächtige Tumore sollten biopsiert und reseziert werden. Endoskopische Biopsien sind perkutanen wegen der Gefahr der Tumorzellverschleppung vorzuziehen.</w:t>
      </w:r>
    </w:p>
    <w:p w14:paraId="6D79A75B" w14:textId="77777777" w:rsidR="002B425B" w:rsidRPr="002B425B" w:rsidRDefault="002B425B" w:rsidP="002B425B">
      <w:pPr>
        <w:pStyle w:val="Textkrper-Einzug2"/>
        <w:spacing w:after="0" w:line="276" w:lineRule="auto"/>
        <w:ind w:left="0"/>
        <w:jc w:val="both"/>
        <w:rPr>
          <w:rFonts w:ascii="Calibri" w:hAnsi="Calibri" w:cs="Calibri"/>
          <w:szCs w:val="22"/>
        </w:rPr>
      </w:pPr>
    </w:p>
    <w:p w14:paraId="6F16341C" w14:textId="77777777" w:rsidR="002B425B" w:rsidRPr="002B425B" w:rsidRDefault="002B425B" w:rsidP="002B425B">
      <w:pPr>
        <w:pStyle w:val="Textkrper-Einzug2"/>
        <w:spacing w:after="0" w:line="276" w:lineRule="auto"/>
        <w:ind w:left="0"/>
        <w:jc w:val="both"/>
        <w:rPr>
          <w:rFonts w:ascii="Calibri" w:hAnsi="Calibri" w:cs="Calibri"/>
          <w:szCs w:val="22"/>
        </w:rPr>
      </w:pPr>
      <w:r w:rsidRPr="002B425B">
        <w:rPr>
          <w:rFonts w:ascii="Calibri" w:hAnsi="Calibri" w:cs="Calibri"/>
          <w:szCs w:val="22"/>
        </w:rPr>
        <w:t>Zwei Einschrä</w:t>
      </w:r>
      <w:r>
        <w:rPr>
          <w:rFonts w:ascii="Calibri" w:hAnsi="Calibri" w:cs="Calibri"/>
          <w:szCs w:val="22"/>
        </w:rPr>
        <w:t>nkungen bestehen:</w:t>
      </w:r>
    </w:p>
    <w:p w14:paraId="41D9FF4C" w14:textId="77777777" w:rsidR="002B425B" w:rsidRPr="005B11B2" w:rsidRDefault="002B425B" w:rsidP="002B425B">
      <w:pPr>
        <w:pStyle w:val="Textkrper-Einzug2"/>
        <w:numPr>
          <w:ilvl w:val="0"/>
          <w:numId w:val="27"/>
        </w:numPr>
        <w:spacing w:after="0" w:line="276" w:lineRule="auto"/>
        <w:jc w:val="both"/>
        <w:rPr>
          <w:rFonts w:ascii="Calibri" w:hAnsi="Calibri" w:cs="Calibri"/>
          <w:szCs w:val="22"/>
        </w:rPr>
      </w:pPr>
      <w:r w:rsidRPr="005B11B2">
        <w:rPr>
          <w:rFonts w:ascii="Calibri" w:hAnsi="Calibri" w:cs="Calibri"/>
          <w:szCs w:val="22"/>
        </w:rPr>
        <w:t xml:space="preserve">Tumore &lt; 2 cm sollten nach Möglichkeit biopsiert werden. Es besteht aber keine dringliche Notwendigkeit sie zu resezieren. Sie können beobachtet werden (z.B. endosonographisch) (17). (Siehe Abschnitt </w:t>
      </w:r>
      <w:r w:rsidR="005B11B2" w:rsidRPr="005B11B2">
        <w:rPr>
          <w:rFonts w:ascii="Calibri" w:hAnsi="Calibri" w:cs="Calibri"/>
          <w:szCs w:val="22"/>
        </w:rPr>
        <w:t>3</w:t>
      </w:r>
      <w:r w:rsidRPr="005B11B2">
        <w:rPr>
          <w:rFonts w:ascii="Calibri" w:hAnsi="Calibri" w:cs="Calibri"/>
          <w:szCs w:val="22"/>
        </w:rPr>
        <w:t>.1)</w:t>
      </w:r>
    </w:p>
    <w:p w14:paraId="6323DA74" w14:textId="77777777" w:rsidR="002B425B" w:rsidRPr="002B425B" w:rsidRDefault="002B425B" w:rsidP="002B425B">
      <w:pPr>
        <w:pStyle w:val="Textkrper-Einzug2"/>
        <w:numPr>
          <w:ilvl w:val="0"/>
          <w:numId w:val="27"/>
        </w:numPr>
        <w:spacing w:after="0" w:line="276" w:lineRule="auto"/>
        <w:jc w:val="both"/>
        <w:rPr>
          <w:rFonts w:ascii="Calibri" w:hAnsi="Calibri" w:cs="Calibri"/>
          <w:szCs w:val="22"/>
        </w:rPr>
      </w:pPr>
      <w:r w:rsidRPr="002B425B">
        <w:rPr>
          <w:rFonts w:ascii="Calibri" w:hAnsi="Calibri" w:cs="Calibri"/>
          <w:szCs w:val="22"/>
        </w:rPr>
        <w:t xml:space="preserve">Tumore, die primär inoperabel oder nur mit hohem Risiko operabel wären, sollten nach Möglichkeit biopsiert und anschließend neoadjuvant therapiert </w:t>
      </w:r>
      <w:r w:rsidRPr="005B11B2">
        <w:rPr>
          <w:rFonts w:ascii="Calibri" w:hAnsi="Calibri" w:cs="Calibri"/>
          <w:szCs w:val="22"/>
        </w:rPr>
        <w:t xml:space="preserve">werden (17) (s. Abschnitt </w:t>
      </w:r>
      <w:r w:rsidR="005B11B2" w:rsidRPr="005B11B2">
        <w:rPr>
          <w:rFonts w:ascii="Calibri" w:hAnsi="Calibri" w:cs="Calibri"/>
          <w:szCs w:val="22"/>
        </w:rPr>
        <w:t>3</w:t>
      </w:r>
      <w:r w:rsidRPr="005B11B2">
        <w:rPr>
          <w:rFonts w:ascii="Calibri" w:hAnsi="Calibri" w:cs="Calibri"/>
          <w:szCs w:val="22"/>
        </w:rPr>
        <w:t>.2).</w:t>
      </w:r>
    </w:p>
    <w:p w14:paraId="718077CB" w14:textId="77777777" w:rsidR="002B425B" w:rsidRPr="002B425B" w:rsidRDefault="002B425B" w:rsidP="002B425B">
      <w:pPr>
        <w:pStyle w:val="Textkrper-Einzug2"/>
        <w:spacing w:after="0" w:line="276" w:lineRule="auto"/>
        <w:ind w:left="0"/>
        <w:jc w:val="both"/>
        <w:rPr>
          <w:rFonts w:ascii="Calibri" w:hAnsi="Calibri" w:cs="Calibri"/>
          <w:szCs w:val="22"/>
        </w:rPr>
      </w:pPr>
    </w:p>
    <w:p w14:paraId="688096E9" w14:textId="77777777" w:rsidR="002B425B" w:rsidRDefault="002B425B" w:rsidP="002B425B">
      <w:pPr>
        <w:pStyle w:val="Textkrper-Einzug2"/>
        <w:spacing w:after="0" w:line="276" w:lineRule="auto"/>
        <w:ind w:left="0"/>
        <w:jc w:val="both"/>
        <w:rPr>
          <w:rFonts w:ascii="Calibri" w:hAnsi="Calibri" w:cs="Calibri"/>
          <w:szCs w:val="22"/>
        </w:rPr>
      </w:pPr>
      <w:r w:rsidRPr="002B425B">
        <w:rPr>
          <w:rFonts w:ascii="Calibri" w:hAnsi="Calibri" w:cs="Calibri"/>
          <w:szCs w:val="22"/>
        </w:rPr>
        <w:t xml:space="preserve">95 % aller GISTe sind immunhistochemisch positiv für c-kit (CD117) und weisen entweder eine spindelige, epitheloide oder gemischte Morphologie auf. Somit ist die histologische Diagnose in den meisten Fällen </w:t>
      </w:r>
      <w:r w:rsidRPr="002B425B">
        <w:rPr>
          <w:rFonts w:ascii="Calibri" w:hAnsi="Calibri" w:cs="Calibri"/>
          <w:szCs w:val="22"/>
        </w:rPr>
        <w:lastRenderedPageBreak/>
        <w:t>einfach zu stellen. Für die kleine Gruppe CD117 negativer Tumore können die Antikörper gegen die Antigene DOG-1 und CD34 Klärung bringen. DOG-1 (Discovered On GIST) (18) oder synonym als auch Anoctamin-1 (ANO-1) bezeichnet ist zusammen mit CD117 der sensitivste Marker für GISTe (19).</w:t>
      </w:r>
    </w:p>
    <w:p w14:paraId="282A65B4" w14:textId="77777777" w:rsidR="002B425B" w:rsidRPr="001235A0" w:rsidRDefault="002B425B" w:rsidP="002B425B">
      <w:pPr>
        <w:pStyle w:val="Textkrper-Einzug2"/>
        <w:spacing w:after="0" w:line="276" w:lineRule="auto"/>
        <w:ind w:left="0"/>
        <w:jc w:val="both"/>
        <w:rPr>
          <w:rFonts w:ascii="Calibri" w:hAnsi="Calibri" w:cs="Calibri"/>
          <w:sz w:val="8"/>
          <w:szCs w:val="8"/>
        </w:rPr>
      </w:pPr>
    </w:p>
    <w:p w14:paraId="7D8C63EF" w14:textId="77777777" w:rsidR="002B425B" w:rsidRDefault="001235A0" w:rsidP="002B425B">
      <w:pPr>
        <w:pStyle w:val="Textkrper-Einzug2"/>
        <w:spacing w:after="0" w:line="276" w:lineRule="auto"/>
        <w:ind w:left="0"/>
        <w:jc w:val="both"/>
        <w:rPr>
          <w:rFonts w:ascii="Calibri" w:hAnsi="Calibri" w:cs="Calibri"/>
          <w:szCs w:val="22"/>
        </w:rPr>
      </w:pPr>
      <w:r>
        <w:rPr>
          <w:rFonts w:ascii="Calibri" w:hAnsi="Calibri" w:cs="Calibri"/>
          <w:noProof/>
          <w:szCs w:val="22"/>
          <w:lang w:eastAsia="de-AT"/>
        </w:rPr>
        <mc:AlternateContent>
          <mc:Choice Requires="wps">
            <w:drawing>
              <wp:anchor distT="0" distB="0" distL="114300" distR="114300" simplePos="0" relativeHeight="251669504" behindDoc="0" locked="0" layoutInCell="1" allowOverlap="1" wp14:anchorId="2E6AAD7C" wp14:editId="4D8E300F">
                <wp:simplePos x="0" y="0"/>
                <wp:positionH relativeFrom="column">
                  <wp:posOffset>3227070</wp:posOffset>
                </wp:positionH>
                <wp:positionV relativeFrom="paragraph">
                  <wp:posOffset>1270</wp:posOffset>
                </wp:positionV>
                <wp:extent cx="2825750" cy="223520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2825750" cy="223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2C13B" w14:textId="77777777" w:rsidR="00EC608E" w:rsidRPr="002B425B" w:rsidRDefault="00EC608E" w:rsidP="002B425B">
                            <w:pPr>
                              <w:pStyle w:val="Textkrper-Einzug2"/>
                              <w:spacing w:after="0" w:line="276" w:lineRule="auto"/>
                              <w:ind w:left="0"/>
                              <w:jc w:val="both"/>
                              <w:rPr>
                                <w:rFonts w:ascii="Calibri" w:hAnsi="Calibri" w:cs="Calibri"/>
                                <w:szCs w:val="22"/>
                              </w:rPr>
                            </w:pPr>
                            <w:r w:rsidRPr="002B425B">
                              <w:rPr>
                                <w:rFonts w:ascii="Calibri" w:hAnsi="Calibri" w:cs="Calibri"/>
                                <w:szCs w:val="22"/>
                              </w:rPr>
                              <w:t xml:space="preserve">CD117 bzw. c-kit Positivität sollte aber nicht mit Positivität für eine KIT Mutation verwechselt werden. CD117 positive Tumore können KIT Wildtyp sein und CD117 negative Tumore können eine KIT Mutation aufweisen. Und somit ist eine immunhostochemische Negativität für CD117 ist nicht gleichbedeutend mit Imatinib-Resistenz. Manche CD117 negative GISTe sprechen trotzdem auf Imatinib an (20). </w:t>
                            </w:r>
                          </w:p>
                          <w:p w14:paraId="1B9BD1B9" w14:textId="77777777" w:rsidR="00EC608E" w:rsidRDefault="00EC60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AAD7C" id="Textfeld 20" o:spid="_x0000_s1027" type="#_x0000_t202" style="position:absolute;left:0;text-align:left;margin-left:254.1pt;margin-top:.1pt;width:222.5pt;height:1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cjgIAAJQFAAAOAAAAZHJzL2Uyb0RvYy54bWysVE1PGzEQvVfqf7B8L5sEQm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" fillcolor="white [3201]" stroked="f" strokeweight=".5pt">
                <v:textbox>
                  <w:txbxContent>
                    <w:p w14:paraId="4462C13B" w14:textId="77777777" w:rsidR="00EC608E" w:rsidRPr="002B425B" w:rsidRDefault="00EC608E" w:rsidP="002B425B">
                      <w:pPr>
                        <w:pStyle w:val="Textkrper-Einzug2"/>
                        <w:spacing w:after="0" w:line="276" w:lineRule="auto"/>
                        <w:ind w:left="0"/>
                        <w:jc w:val="both"/>
                        <w:rPr>
                          <w:rFonts w:ascii="Calibri" w:hAnsi="Calibri" w:cs="Calibri"/>
                          <w:szCs w:val="22"/>
                        </w:rPr>
                      </w:pPr>
                      <w:r w:rsidRPr="002B425B">
                        <w:rPr>
                          <w:rFonts w:ascii="Calibri" w:hAnsi="Calibri" w:cs="Calibri"/>
                          <w:szCs w:val="22"/>
                        </w:rPr>
                        <w:t xml:space="preserve">CD117 bzw. c-kit Positivität sollte aber nicht mit Positivität für eine KIT Mutation verwechselt werden. CD117 positive Tumore können KIT Wildtyp sein und CD117 negative Tumore können eine KIT Mutation aufweisen. Und somit ist eine immunhostochemische Negativität für CD117 ist nicht gleichbedeutend mit Imatinib-Resistenz. Manche CD117 negative GISTe sprechen trotzdem auf Imatinib an (20). </w:t>
                      </w:r>
                    </w:p>
                    <w:p w14:paraId="1B9BD1B9" w14:textId="77777777" w:rsidR="00EC608E" w:rsidRDefault="00EC608E"/>
                  </w:txbxContent>
                </v:textbox>
              </v:shape>
            </w:pict>
          </mc:Fallback>
        </mc:AlternateContent>
      </w:r>
      <w:r w:rsidR="002B425B">
        <w:rPr>
          <w:rFonts w:ascii="Calibri" w:hAnsi="Calibri" w:cs="Calibri"/>
          <w:noProof/>
          <w:szCs w:val="22"/>
          <w:lang w:eastAsia="de-AT"/>
        </w:rPr>
        <w:drawing>
          <wp:inline distT="0" distB="0" distL="0" distR="0" wp14:anchorId="62D68A43" wp14:editId="5B830BDF">
            <wp:extent cx="2615843" cy="21399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4" r="14" b="4802"/>
                    <a:stretch/>
                  </pic:blipFill>
                  <pic:spPr bwMode="auto">
                    <a:xfrm>
                      <a:off x="0" y="0"/>
                      <a:ext cx="2616200" cy="2140242"/>
                    </a:xfrm>
                    <a:prstGeom prst="rect">
                      <a:avLst/>
                    </a:prstGeom>
                    <a:noFill/>
                    <a:ln>
                      <a:noFill/>
                    </a:ln>
                    <a:extLst>
                      <a:ext uri="{53640926-AAD7-44D8-BBD7-CCE9431645EC}">
                        <a14:shadowObscured xmlns:a14="http://schemas.microsoft.com/office/drawing/2010/main"/>
                      </a:ext>
                    </a:extLst>
                  </pic:spPr>
                </pic:pic>
              </a:graphicData>
            </a:graphic>
          </wp:inline>
        </w:drawing>
      </w:r>
    </w:p>
    <w:p w14:paraId="43C95F27" w14:textId="77777777" w:rsidR="002B425B" w:rsidRPr="002B425B" w:rsidRDefault="002B425B" w:rsidP="002B425B">
      <w:pPr>
        <w:pStyle w:val="Textkrper-Einzug2"/>
        <w:spacing w:after="0" w:line="240" w:lineRule="auto"/>
        <w:ind w:left="0"/>
        <w:jc w:val="both"/>
        <w:rPr>
          <w:rFonts w:ascii="Calibri" w:hAnsi="Calibri" w:cs="Calibri"/>
          <w:sz w:val="18"/>
          <w:szCs w:val="18"/>
        </w:rPr>
      </w:pPr>
      <w:r w:rsidRPr="002B425B">
        <w:rPr>
          <w:rFonts w:ascii="Calibri" w:hAnsi="Calibri" w:cs="Calibri"/>
          <w:sz w:val="18"/>
          <w:szCs w:val="18"/>
        </w:rPr>
        <w:t>Algorithmus für die GIST Diagnose.</w:t>
      </w:r>
      <w:r w:rsidR="001235A0">
        <w:rPr>
          <w:rFonts w:ascii="Calibri" w:hAnsi="Calibri" w:cs="Calibri"/>
          <w:sz w:val="18"/>
          <w:szCs w:val="18"/>
        </w:rPr>
        <w:t xml:space="preserve"> </w:t>
      </w:r>
      <w:r w:rsidRPr="002B425B">
        <w:rPr>
          <w:rFonts w:ascii="Calibri" w:hAnsi="Calibri" w:cs="Calibri"/>
          <w:sz w:val="18"/>
          <w:szCs w:val="18"/>
        </w:rPr>
        <w:t xml:space="preserve">ICH: Immunhistochemie.  </w:t>
      </w:r>
    </w:p>
    <w:p w14:paraId="1F5436CF" w14:textId="77777777" w:rsidR="002B425B" w:rsidRPr="001235A0" w:rsidRDefault="002B425B" w:rsidP="002B425B">
      <w:pPr>
        <w:pStyle w:val="Textkrper-Einzug2"/>
        <w:spacing w:after="0" w:line="276" w:lineRule="auto"/>
        <w:ind w:left="0"/>
        <w:jc w:val="both"/>
        <w:rPr>
          <w:rFonts w:ascii="Calibri" w:hAnsi="Calibri" w:cs="Calibri"/>
          <w:sz w:val="16"/>
          <w:szCs w:val="16"/>
        </w:rPr>
      </w:pPr>
    </w:p>
    <w:p w14:paraId="7CC75C4B" w14:textId="77777777" w:rsidR="002B425B" w:rsidRDefault="002B425B" w:rsidP="002B425B">
      <w:pPr>
        <w:pStyle w:val="Textkrper-Einzug2"/>
        <w:spacing w:after="0" w:line="276" w:lineRule="auto"/>
        <w:ind w:left="0"/>
        <w:jc w:val="both"/>
        <w:rPr>
          <w:rFonts w:ascii="Calibri" w:hAnsi="Calibri" w:cs="Calibri"/>
          <w:szCs w:val="22"/>
        </w:rPr>
      </w:pPr>
      <w:r w:rsidRPr="002B425B">
        <w:rPr>
          <w:rFonts w:ascii="Calibri" w:hAnsi="Calibri" w:cs="Calibri"/>
          <w:szCs w:val="22"/>
        </w:rPr>
        <w:t xml:space="preserve">Sollte der Tumor allerdings negativ für CD117, DOG-1 und CD34 sein und keine GIST-spezifischen Mutationen von KIT oder PDGFRA aufweisen, so handelt es sich um eine andere Entität (21). </w:t>
      </w:r>
    </w:p>
    <w:p w14:paraId="072C92D3" w14:textId="77777777" w:rsidR="001235A0" w:rsidRPr="002B425B" w:rsidRDefault="001235A0" w:rsidP="002B425B">
      <w:pPr>
        <w:pStyle w:val="Textkrper-Einzug2"/>
        <w:spacing w:after="0" w:line="276" w:lineRule="auto"/>
        <w:ind w:left="0"/>
        <w:jc w:val="both"/>
        <w:rPr>
          <w:rFonts w:ascii="Calibri" w:hAnsi="Calibri" w:cs="Calibri"/>
          <w:szCs w:val="22"/>
        </w:rPr>
      </w:pPr>
    </w:p>
    <w:p w14:paraId="54095994" w14:textId="77777777" w:rsidR="002B425B" w:rsidRPr="001235A0" w:rsidRDefault="001235A0" w:rsidP="001235A0">
      <w:pPr>
        <w:pStyle w:val="berschrift2"/>
      </w:pPr>
      <w:bookmarkStart w:id="7" w:name="_Toc41307596"/>
      <w:r>
        <w:t>2.2</w:t>
      </w:r>
      <w:r w:rsidR="002B425B" w:rsidRPr="001235A0">
        <w:tab/>
        <w:t>Staging</w:t>
      </w:r>
      <w:bookmarkEnd w:id="7"/>
    </w:p>
    <w:p w14:paraId="05BE7410" w14:textId="77777777" w:rsidR="002B425B" w:rsidRPr="002B425B" w:rsidRDefault="002B425B" w:rsidP="002B425B">
      <w:pPr>
        <w:pStyle w:val="Textkrper-Einzug2"/>
        <w:spacing w:after="0" w:line="276" w:lineRule="auto"/>
        <w:ind w:left="0"/>
        <w:jc w:val="both"/>
        <w:rPr>
          <w:rFonts w:ascii="Calibri" w:hAnsi="Calibri" w:cs="Calibri"/>
          <w:szCs w:val="22"/>
        </w:rPr>
      </w:pPr>
      <w:r w:rsidRPr="002B425B">
        <w:rPr>
          <w:rFonts w:ascii="Calibri" w:hAnsi="Calibri" w:cs="Calibri"/>
          <w:szCs w:val="22"/>
        </w:rPr>
        <w:t xml:space="preserve">Die große Gruppe der somatisch mutierten KIT/PDGFRA GISTe überschreiten so gut wie nie das Abdomen und setzen auch keine Lymphknotenmetastasen. Am häufigsten finden sich metastatische Absiedelungen in Leber, Omentum und Peritoneum. Sollte die Bildgebung Hinweise für pulmonale oder thorakale Raumforderungen oder Lymphknotenmetastasen ergeben, so liegt wahrscheinlich ein syndromer GIST (z.B. Carney-Stratakis Syndrom) oder aber eine andere Tumorentität vor. </w:t>
      </w:r>
    </w:p>
    <w:p w14:paraId="76772F80" w14:textId="77777777" w:rsidR="001235A0" w:rsidRDefault="001235A0" w:rsidP="002B425B">
      <w:pPr>
        <w:pStyle w:val="Textkrper-Einzug2"/>
        <w:spacing w:after="0" w:line="276" w:lineRule="auto"/>
        <w:ind w:left="0"/>
        <w:jc w:val="both"/>
        <w:rPr>
          <w:rFonts w:ascii="Calibri" w:hAnsi="Calibri" w:cs="Calibri"/>
          <w:szCs w:val="22"/>
        </w:rPr>
      </w:pPr>
    </w:p>
    <w:p w14:paraId="5566295A" w14:textId="77777777" w:rsidR="002B425B" w:rsidRPr="002B425B" w:rsidRDefault="002B425B" w:rsidP="002B425B">
      <w:pPr>
        <w:pStyle w:val="Textkrper-Einzug2"/>
        <w:spacing w:after="0" w:line="276" w:lineRule="auto"/>
        <w:ind w:left="0"/>
        <w:jc w:val="both"/>
        <w:rPr>
          <w:rFonts w:ascii="Calibri" w:hAnsi="Calibri" w:cs="Calibri"/>
          <w:szCs w:val="22"/>
        </w:rPr>
      </w:pPr>
      <w:r w:rsidRPr="002B425B">
        <w:rPr>
          <w:rFonts w:ascii="Calibri" w:hAnsi="Calibri" w:cs="Calibri"/>
          <w:szCs w:val="22"/>
        </w:rPr>
        <w:t xml:space="preserve">Die Deutsche GIST Imaging Working Group empfiehlt folgenden Algorithmus zur optimalen Bildgebung </w:t>
      </w:r>
      <w:r w:rsidR="001235A0">
        <w:rPr>
          <w:rFonts w:ascii="Calibri" w:hAnsi="Calibri" w:cs="Calibri"/>
          <w:szCs w:val="22"/>
        </w:rPr>
        <w:t>(22):</w:t>
      </w:r>
    </w:p>
    <w:p w14:paraId="4B4D323E" w14:textId="77777777" w:rsidR="001235A0" w:rsidRPr="002B425B" w:rsidRDefault="001235A0" w:rsidP="001235A0">
      <w:pPr>
        <w:pStyle w:val="Textkrper-Einzug2"/>
        <w:spacing w:after="0" w:line="276" w:lineRule="auto"/>
        <w:ind w:left="0"/>
        <w:rPr>
          <w:rFonts w:ascii="Calibri" w:hAnsi="Calibri" w:cs="Calibri"/>
          <w:szCs w:val="22"/>
        </w:rPr>
      </w:pPr>
      <w:r>
        <w:rPr>
          <w:rFonts w:ascii="Calibri" w:hAnsi="Calibri" w:cs="Calibri"/>
          <w:noProof/>
          <w:szCs w:val="22"/>
          <w:lang w:eastAsia="de-AT"/>
        </w:rPr>
        <w:drawing>
          <wp:inline distT="0" distB="0" distL="0" distR="0" wp14:anchorId="4D6B5A8E" wp14:editId="2A7DCCAF">
            <wp:extent cx="4025900" cy="2641853"/>
            <wp:effectExtent l="0" t="0" r="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2097"/>
                    <a:stretch/>
                  </pic:blipFill>
                  <pic:spPr bwMode="auto">
                    <a:xfrm>
                      <a:off x="0" y="0"/>
                      <a:ext cx="4032416" cy="2646129"/>
                    </a:xfrm>
                    <a:prstGeom prst="rect">
                      <a:avLst/>
                    </a:prstGeom>
                    <a:noFill/>
                    <a:ln>
                      <a:noFill/>
                    </a:ln>
                    <a:extLst>
                      <a:ext uri="{53640926-AAD7-44D8-BBD7-CCE9431645EC}">
                        <a14:shadowObscured xmlns:a14="http://schemas.microsoft.com/office/drawing/2010/main"/>
                      </a:ext>
                    </a:extLst>
                  </pic:spPr>
                </pic:pic>
              </a:graphicData>
            </a:graphic>
          </wp:inline>
        </w:drawing>
      </w:r>
    </w:p>
    <w:p w14:paraId="6B8D587A" w14:textId="77777777" w:rsidR="002B425B" w:rsidRPr="002B425B" w:rsidRDefault="002B425B" w:rsidP="002B425B">
      <w:pPr>
        <w:pStyle w:val="Textkrper-Einzug2"/>
        <w:spacing w:after="0" w:line="276" w:lineRule="auto"/>
        <w:ind w:left="0"/>
        <w:jc w:val="both"/>
        <w:rPr>
          <w:rFonts w:ascii="Calibri" w:hAnsi="Calibri" w:cs="Calibri"/>
          <w:szCs w:val="22"/>
        </w:rPr>
      </w:pPr>
      <w:r w:rsidRPr="002B425B">
        <w:rPr>
          <w:rFonts w:ascii="Calibri" w:hAnsi="Calibri" w:cs="Calibri"/>
          <w:szCs w:val="22"/>
        </w:rPr>
        <w:t xml:space="preserve">Das CT ist für die Bildgebung das Mittel der Wahl. Bei Leber-spezifischen Fragen wird das MRT empfohlen und bei insgesamt unklarer Situation empfiehlt sich das PET-CT. Auch um ein frühes Therapieansprechen </w:t>
      </w:r>
      <w:r w:rsidRPr="002B425B">
        <w:rPr>
          <w:rFonts w:ascii="Calibri" w:hAnsi="Calibri" w:cs="Calibri"/>
          <w:szCs w:val="22"/>
        </w:rPr>
        <w:lastRenderedPageBreak/>
        <w:t>zu evaluieren ist das PET-CT optimal. [18F]FDG ist der Tracer der Wahl.  In der Regel kann für das CT-Thorax auf das Kontrastmittel verzichtet werden. Die gleichen Methoden dienen auch der Verlaufsbeurteilung.</w:t>
      </w:r>
    </w:p>
    <w:p w14:paraId="28882600" w14:textId="77777777" w:rsidR="002B425B" w:rsidRPr="002B425B" w:rsidRDefault="002B425B" w:rsidP="002B425B">
      <w:pPr>
        <w:pStyle w:val="Textkrper-Einzug2"/>
        <w:spacing w:after="0" w:line="276" w:lineRule="auto"/>
        <w:ind w:left="0"/>
        <w:jc w:val="both"/>
        <w:rPr>
          <w:rFonts w:ascii="Calibri" w:hAnsi="Calibri" w:cs="Calibri"/>
          <w:szCs w:val="22"/>
        </w:rPr>
      </w:pPr>
    </w:p>
    <w:p w14:paraId="0A269436" w14:textId="77777777" w:rsidR="002B425B" w:rsidRDefault="002B425B" w:rsidP="002B425B">
      <w:pPr>
        <w:pStyle w:val="Textkrper-Einzug2"/>
        <w:spacing w:after="0" w:line="276" w:lineRule="auto"/>
        <w:ind w:left="0"/>
        <w:jc w:val="both"/>
        <w:rPr>
          <w:rFonts w:ascii="Calibri" w:hAnsi="Calibri" w:cs="Calibri"/>
          <w:szCs w:val="22"/>
        </w:rPr>
      </w:pPr>
      <w:r w:rsidRPr="002B425B">
        <w:rPr>
          <w:rFonts w:ascii="Calibri" w:hAnsi="Calibri" w:cs="Calibri"/>
          <w:szCs w:val="22"/>
        </w:rPr>
        <w:t xml:space="preserve">Für GISTe wurde eine eigene TNM Klassifikation entwickelt (Tabelle 2). Lymphknoten- oder Fernmetastasen gelten als Stadium IV (23). In die Klassifikation fließt die klinische Erfahrung ein, </w:t>
      </w:r>
      <w:r w:rsidR="00D00A54">
        <w:rPr>
          <w:rFonts w:ascii="Calibri" w:hAnsi="Calibri" w:cs="Calibri"/>
          <w:szCs w:val="22"/>
        </w:rPr>
        <w:t>dass</w:t>
      </w:r>
      <w:r w:rsidRPr="002B425B">
        <w:rPr>
          <w:rFonts w:ascii="Calibri" w:hAnsi="Calibri" w:cs="Calibri"/>
          <w:szCs w:val="22"/>
        </w:rPr>
        <w:t xml:space="preserve"> gastrale GISTe eine bessere Prognose als nicht-gastrale haben und daraus ergeben sich unterschiedliche UICC Stadien.</w:t>
      </w:r>
    </w:p>
    <w:p w14:paraId="051096AA" w14:textId="77777777" w:rsidR="001235A0" w:rsidRPr="00552774" w:rsidRDefault="001235A0" w:rsidP="002B425B">
      <w:pPr>
        <w:pStyle w:val="Textkrper-Einzug2"/>
        <w:spacing w:after="0" w:line="276" w:lineRule="auto"/>
        <w:ind w:left="0"/>
        <w:jc w:val="both"/>
        <w:rPr>
          <w:rFonts w:ascii="Calibri" w:hAnsi="Calibri" w:cs="Calibri"/>
          <w:sz w:val="16"/>
          <w:szCs w:val="16"/>
        </w:rPr>
      </w:pPr>
    </w:p>
    <w:p w14:paraId="6870B054" w14:textId="77777777" w:rsidR="001235A0" w:rsidRPr="001235A0" w:rsidRDefault="001235A0" w:rsidP="002B425B">
      <w:pPr>
        <w:pStyle w:val="Textkrper-Einzug2"/>
        <w:spacing w:after="0" w:line="276" w:lineRule="auto"/>
        <w:ind w:left="0"/>
        <w:jc w:val="both"/>
        <w:rPr>
          <w:rFonts w:ascii="Calibri" w:hAnsi="Calibri" w:cs="Calibri"/>
          <w:b/>
          <w:szCs w:val="22"/>
        </w:rPr>
      </w:pPr>
      <w:r>
        <w:rPr>
          <w:rFonts w:ascii="Calibri" w:hAnsi="Calibri" w:cs="Calibri"/>
          <w:b/>
          <w:szCs w:val="22"/>
        </w:rPr>
        <w:t xml:space="preserve">   </w:t>
      </w:r>
      <w:r w:rsidRPr="001235A0">
        <w:rPr>
          <w:rFonts w:ascii="Calibri" w:hAnsi="Calibri" w:cs="Calibri"/>
          <w:b/>
          <w:szCs w:val="22"/>
        </w:rPr>
        <w:t>TNM-Klassifik</w:t>
      </w:r>
      <w:r w:rsidR="00552774">
        <w:rPr>
          <w:rFonts w:ascii="Calibri" w:hAnsi="Calibri" w:cs="Calibri"/>
          <w:b/>
          <w:szCs w:val="22"/>
        </w:rPr>
        <w:t>a</w:t>
      </w:r>
      <w:r w:rsidRPr="001235A0">
        <w:rPr>
          <w:rFonts w:ascii="Calibri" w:hAnsi="Calibri" w:cs="Calibri"/>
          <w:b/>
          <w:szCs w:val="22"/>
        </w:rPr>
        <w:t>tion für GIST</w:t>
      </w:r>
    </w:p>
    <w:p w14:paraId="462965AD" w14:textId="77777777" w:rsidR="001235A0" w:rsidRPr="002B425B" w:rsidRDefault="001235A0" w:rsidP="002B425B">
      <w:pPr>
        <w:pStyle w:val="Textkrper-Einzug2"/>
        <w:spacing w:after="0" w:line="276" w:lineRule="auto"/>
        <w:ind w:left="0"/>
        <w:jc w:val="both"/>
        <w:rPr>
          <w:rFonts w:ascii="Calibri" w:hAnsi="Calibri" w:cs="Calibri"/>
          <w:szCs w:val="22"/>
        </w:rPr>
      </w:pPr>
      <w:r>
        <w:rPr>
          <w:rFonts w:ascii="Calibri" w:hAnsi="Calibri" w:cs="Calibri"/>
          <w:noProof/>
          <w:szCs w:val="22"/>
          <w:lang w:eastAsia="de-AT"/>
        </w:rPr>
        <w:drawing>
          <wp:inline distT="0" distB="0" distL="0" distR="0" wp14:anchorId="372219E9" wp14:editId="3248CC4C">
            <wp:extent cx="5562600" cy="1983683"/>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131" cy="1987082"/>
                    </a:xfrm>
                    <a:prstGeom prst="rect">
                      <a:avLst/>
                    </a:prstGeom>
                    <a:noFill/>
                    <a:ln>
                      <a:noFill/>
                    </a:ln>
                  </pic:spPr>
                </pic:pic>
              </a:graphicData>
            </a:graphic>
          </wp:inline>
        </w:drawing>
      </w:r>
    </w:p>
    <w:p w14:paraId="3D2E6B8C" w14:textId="77777777" w:rsidR="001235A0" w:rsidRPr="001235A0" w:rsidRDefault="001235A0" w:rsidP="001235A0">
      <w:pPr>
        <w:pStyle w:val="berschrift2"/>
      </w:pPr>
      <w:bookmarkStart w:id="8" w:name="_Toc41307597"/>
      <w:r>
        <w:t>2.3</w:t>
      </w:r>
      <w:r w:rsidRPr="001235A0">
        <w:t xml:space="preserve"> </w:t>
      </w:r>
      <w:r w:rsidRPr="001235A0">
        <w:tab/>
        <w:t>Risiko</w:t>
      </w:r>
      <w:bookmarkEnd w:id="8"/>
    </w:p>
    <w:p w14:paraId="38E0C190" w14:textId="77777777" w:rsidR="001235A0" w:rsidRPr="001235A0" w:rsidRDefault="001235A0" w:rsidP="001235A0">
      <w:pPr>
        <w:pStyle w:val="Textkrper-Einzug2"/>
        <w:spacing w:after="0" w:line="276" w:lineRule="auto"/>
        <w:ind w:left="0"/>
        <w:jc w:val="both"/>
        <w:rPr>
          <w:rFonts w:ascii="Calibri" w:hAnsi="Calibri" w:cs="Calibri"/>
          <w:szCs w:val="22"/>
        </w:rPr>
      </w:pPr>
      <w:r w:rsidRPr="001235A0">
        <w:rPr>
          <w:rFonts w:ascii="Calibri" w:hAnsi="Calibri" w:cs="Calibri"/>
          <w:szCs w:val="22"/>
        </w:rPr>
        <w:t>Die Einschätzung des Rezidivrisikos nach Operation ist essential um zu entscheiden, welcher Patient von einer adjuvanten Therapie mit Imatinib profitiert und welcher nicht.</w:t>
      </w:r>
    </w:p>
    <w:p w14:paraId="216E73C7" w14:textId="77777777" w:rsidR="001235A0" w:rsidRPr="001235A0" w:rsidRDefault="001235A0" w:rsidP="001235A0">
      <w:pPr>
        <w:pStyle w:val="Textkrper-Einzug2"/>
        <w:spacing w:after="0" w:line="276" w:lineRule="auto"/>
        <w:ind w:left="0"/>
        <w:jc w:val="both"/>
        <w:rPr>
          <w:rFonts w:ascii="Calibri" w:hAnsi="Calibri" w:cs="Calibri"/>
          <w:szCs w:val="22"/>
        </w:rPr>
      </w:pPr>
    </w:p>
    <w:p w14:paraId="255C5131" w14:textId="77777777" w:rsidR="00552774" w:rsidRDefault="001235A0" w:rsidP="001235A0">
      <w:pPr>
        <w:pStyle w:val="Textkrper-Einzug2"/>
        <w:spacing w:after="0" w:line="276" w:lineRule="auto"/>
        <w:ind w:left="0"/>
        <w:jc w:val="both"/>
        <w:rPr>
          <w:rFonts w:ascii="Calibri" w:hAnsi="Calibri" w:cs="Calibri"/>
          <w:szCs w:val="22"/>
        </w:rPr>
      </w:pPr>
      <w:r w:rsidRPr="001235A0">
        <w:rPr>
          <w:rFonts w:ascii="Calibri" w:hAnsi="Calibri" w:cs="Calibri"/>
          <w:szCs w:val="22"/>
        </w:rPr>
        <w:t>Zwei häufig verwendete Konsensus Kriterien sind jene des NIH (National Institutes of Health) und des AFIP (Armed Forces Institute of Pathology). Während die NIH Kriterien auf Tumorgröße und Mitoserate beruhen, inkludiert das AFIP Schema auch die anatomische Lokalisation. Eine Weiterentwicklung der NIH Kriterien, die modifizierten NIH Kriterien, inkludieren als vierten Risikofaktor auch die Tumorruptur. Sie sind aus klinischer Sicht am praktikabelsten und erlauben eine akkurate Risikoabschätzung (24). Neben klinischen gibt es auch pathologische Risikotabellen (25, 26).  Mittels den modifizierten NIH Kriterien ergeben sich 4 Risikogruppen (21):</w:t>
      </w:r>
    </w:p>
    <w:p w14:paraId="61A38B9B" w14:textId="77777777" w:rsidR="001235A0" w:rsidRPr="00552774" w:rsidRDefault="001235A0" w:rsidP="001235A0">
      <w:pPr>
        <w:pStyle w:val="Textkrper-Einzug2"/>
        <w:spacing w:after="0" w:line="276" w:lineRule="auto"/>
        <w:ind w:left="0"/>
        <w:jc w:val="both"/>
        <w:rPr>
          <w:rFonts w:ascii="Calibri" w:hAnsi="Calibri" w:cs="Calibri"/>
          <w:sz w:val="8"/>
          <w:szCs w:val="8"/>
        </w:rPr>
      </w:pPr>
      <w:r w:rsidRPr="001235A0">
        <w:rPr>
          <w:rFonts w:ascii="Calibri" w:hAnsi="Calibri" w:cs="Calibri"/>
          <w:szCs w:val="22"/>
        </w:rPr>
        <w:tab/>
      </w:r>
    </w:p>
    <w:p w14:paraId="5A2FAC19" w14:textId="77777777" w:rsidR="001235A0" w:rsidRPr="001235A0" w:rsidRDefault="001235A0" w:rsidP="001235A0">
      <w:pPr>
        <w:pStyle w:val="Textkrper-Einzug2"/>
        <w:pBdr>
          <w:top w:val="single" w:sz="4" w:space="1" w:color="auto"/>
          <w:left w:val="single" w:sz="4" w:space="4" w:color="auto"/>
          <w:bottom w:val="single" w:sz="4" w:space="1" w:color="auto"/>
          <w:right w:val="single" w:sz="4" w:space="4" w:color="auto"/>
        </w:pBdr>
        <w:spacing w:after="0" w:line="276" w:lineRule="auto"/>
        <w:ind w:left="0"/>
        <w:rPr>
          <w:rFonts w:ascii="Calibri" w:hAnsi="Calibri" w:cs="Calibri"/>
          <w:szCs w:val="22"/>
        </w:rPr>
      </w:pPr>
      <w:r w:rsidRPr="001235A0">
        <w:rPr>
          <w:rFonts w:ascii="Calibri" w:hAnsi="Calibri" w:cs="Calibri"/>
          <w:szCs w:val="22"/>
        </w:rPr>
        <w:t>sehr niedrig (very low) - niedrig (low)  - intermediär (intermediate)  - hoch (high)</w:t>
      </w:r>
    </w:p>
    <w:p w14:paraId="71EA1F69" w14:textId="77777777" w:rsidR="00552774" w:rsidRPr="00552774" w:rsidRDefault="00552774" w:rsidP="001235A0">
      <w:pPr>
        <w:pStyle w:val="Textkrper-Einzug2"/>
        <w:spacing w:after="0" w:line="276" w:lineRule="auto"/>
        <w:ind w:left="0"/>
        <w:rPr>
          <w:rFonts w:ascii="Calibri" w:hAnsi="Calibri" w:cs="Calibri"/>
          <w:noProof/>
          <w:sz w:val="8"/>
          <w:szCs w:val="8"/>
          <w:lang w:val="de-DE"/>
        </w:rPr>
      </w:pPr>
    </w:p>
    <w:p w14:paraId="3DC3E14D" w14:textId="77777777" w:rsidR="001235A0" w:rsidRPr="001235A0" w:rsidRDefault="001235A0" w:rsidP="001235A0">
      <w:pPr>
        <w:pStyle w:val="Textkrper-Einzug2"/>
        <w:spacing w:after="0" w:line="276" w:lineRule="auto"/>
        <w:ind w:left="0"/>
        <w:rPr>
          <w:rFonts w:ascii="Calibri" w:hAnsi="Calibri" w:cs="Calibri"/>
          <w:szCs w:val="22"/>
        </w:rPr>
      </w:pPr>
      <w:r>
        <w:rPr>
          <w:rFonts w:ascii="Calibri" w:hAnsi="Calibri" w:cs="Calibri"/>
          <w:noProof/>
          <w:szCs w:val="22"/>
          <w:lang w:eastAsia="de-AT"/>
        </w:rPr>
        <w:drawing>
          <wp:inline distT="0" distB="0" distL="0" distR="0" wp14:anchorId="2DD2527B" wp14:editId="78B30E79">
            <wp:extent cx="5996562" cy="1701800"/>
            <wp:effectExtent l="0" t="0" r="444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2515" cy="1709165"/>
                    </a:xfrm>
                    <a:prstGeom prst="rect">
                      <a:avLst/>
                    </a:prstGeom>
                    <a:noFill/>
                    <a:ln>
                      <a:noFill/>
                    </a:ln>
                  </pic:spPr>
                </pic:pic>
              </a:graphicData>
            </a:graphic>
          </wp:inline>
        </w:drawing>
      </w:r>
    </w:p>
    <w:p w14:paraId="1EA71F04" w14:textId="77777777" w:rsidR="001235A0" w:rsidRDefault="001235A0" w:rsidP="001235A0">
      <w:pPr>
        <w:pStyle w:val="Textkrper-Einzug2"/>
        <w:spacing w:after="0" w:line="276" w:lineRule="auto"/>
        <w:ind w:left="0"/>
        <w:jc w:val="both"/>
        <w:rPr>
          <w:rFonts w:ascii="Calibri" w:hAnsi="Calibri" w:cs="Calibri"/>
          <w:szCs w:val="22"/>
        </w:rPr>
      </w:pPr>
      <w:r w:rsidRPr="001235A0">
        <w:rPr>
          <w:rFonts w:ascii="Calibri" w:hAnsi="Calibri" w:cs="Calibri"/>
          <w:szCs w:val="22"/>
        </w:rPr>
        <w:t xml:space="preserve">Ein Nomogramm kann zum Abschätzen des 2- und 5-Jahres rezidivfreien Überlebens verwendet werden (27). Hierbei wird von den waagrechten Achsen „Size“, „Mitotic Index“ und „Site“ jeweils eine senkrechte Linien nach oben zur waagrechten „Points“ Achse gezogen. Die somit ermittelten Punkte werden addiert </w:t>
      </w:r>
      <w:r w:rsidRPr="001235A0">
        <w:rPr>
          <w:rFonts w:ascii="Calibri" w:hAnsi="Calibri" w:cs="Calibri"/>
          <w:szCs w:val="22"/>
        </w:rPr>
        <w:lastRenderedPageBreak/>
        <w:t>und auf der waagrechten Achse „Total Points“ aufgetragen. Durch Ziehen einer senkrechten Linie nach unten können die Wahrscheinlichkeiten eines 2- bzw. 5-Jahres Rezidiv-freien Überlebens ermittelt werden.</w:t>
      </w:r>
    </w:p>
    <w:p w14:paraId="0C5DA057" w14:textId="77777777" w:rsidR="00552774" w:rsidRPr="00552774" w:rsidRDefault="00552774" w:rsidP="001235A0">
      <w:pPr>
        <w:pStyle w:val="Textkrper-Einzug2"/>
        <w:spacing w:after="0" w:line="276" w:lineRule="auto"/>
        <w:ind w:left="0"/>
        <w:jc w:val="both"/>
        <w:rPr>
          <w:rFonts w:ascii="Calibri" w:hAnsi="Calibri" w:cs="Calibri"/>
          <w:sz w:val="8"/>
          <w:szCs w:val="8"/>
        </w:rPr>
      </w:pPr>
    </w:p>
    <w:p w14:paraId="7EDCF2CF" w14:textId="77777777" w:rsidR="00552774" w:rsidRPr="001235A0" w:rsidRDefault="00552774" w:rsidP="001235A0">
      <w:pPr>
        <w:pStyle w:val="Textkrper-Einzug2"/>
        <w:spacing w:after="0" w:line="276" w:lineRule="auto"/>
        <w:ind w:left="0"/>
        <w:jc w:val="both"/>
        <w:rPr>
          <w:rFonts w:ascii="Calibri" w:hAnsi="Calibri" w:cs="Calibri"/>
          <w:szCs w:val="22"/>
        </w:rPr>
      </w:pPr>
      <w:r>
        <w:rPr>
          <w:rFonts w:ascii="Calibri" w:hAnsi="Calibri" w:cs="Calibri"/>
          <w:noProof/>
          <w:szCs w:val="22"/>
          <w:lang w:eastAsia="de-AT"/>
        </w:rPr>
        <mc:AlternateContent>
          <mc:Choice Requires="wps">
            <w:drawing>
              <wp:anchor distT="0" distB="0" distL="114300" distR="114300" simplePos="0" relativeHeight="251675648" behindDoc="0" locked="0" layoutInCell="1" allowOverlap="1" wp14:anchorId="083F3757" wp14:editId="7C3AAFFC">
                <wp:simplePos x="0" y="0"/>
                <wp:positionH relativeFrom="column">
                  <wp:posOffset>3227070</wp:posOffset>
                </wp:positionH>
                <wp:positionV relativeFrom="paragraph">
                  <wp:posOffset>548005</wp:posOffset>
                </wp:positionV>
                <wp:extent cx="1847850" cy="831850"/>
                <wp:effectExtent l="0" t="0" r="0" b="6350"/>
                <wp:wrapNone/>
                <wp:docPr id="29" name="Textfeld 29"/>
                <wp:cNvGraphicFramePr/>
                <a:graphic xmlns:a="http://schemas.openxmlformats.org/drawingml/2006/main">
                  <a:graphicData uri="http://schemas.microsoft.com/office/word/2010/wordprocessingShape">
                    <wps:wsp>
                      <wps:cNvSpPr txBox="1"/>
                      <wps:spPr>
                        <a:xfrm>
                          <a:off x="0" y="0"/>
                          <a:ext cx="1847850" cy="83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7CFE3" w14:textId="77777777" w:rsidR="00EC608E" w:rsidRDefault="00EC608E" w:rsidP="00552774">
                            <w:pPr>
                              <w:tabs>
                                <w:tab w:val="left" w:pos="720"/>
                                <w:tab w:val="left" w:pos="1440"/>
                                <w:tab w:val="left" w:pos="2160"/>
                                <w:tab w:val="left" w:pos="2880"/>
                                <w:tab w:val="left" w:pos="3600"/>
                                <w:tab w:val="left" w:pos="4320"/>
                              </w:tabs>
                              <w:jc w:val="left"/>
                              <w:rPr>
                                <w:rFonts w:asciiTheme="minorHAnsi" w:hAnsiTheme="minorHAnsi"/>
                                <w:szCs w:val="22"/>
                                <w:shd w:val="clear" w:color="auto" w:fill="FFFFFF"/>
                                <w:lang w:val="de-DE"/>
                              </w:rPr>
                            </w:pPr>
                            <w:r w:rsidRPr="00552774">
                              <w:rPr>
                                <w:rFonts w:asciiTheme="minorHAnsi" w:hAnsiTheme="minorHAnsi"/>
                                <w:szCs w:val="22"/>
                                <w:shd w:val="clear" w:color="auto" w:fill="FFFFFF"/>
                                <w:lang w:val="de-DE"/>
                              </w:rPr>
                              <w:t xml:space="preserve">Nomogramm um das </w:t>
                            </w:r>
                          </w:p>
                          <w:p w14:paraId="36EF18B9" w14:textId="77777777" w:rsidR="00EC608E" w:rsidRPr="00552774" w:rsidRDefault="00EC608E" w:rsidP="00552774">
                            <w:pPr>
                              <w:tabs>
                                <w:tab w:val="left" w:pos="720"/>
                                <w:tab w:val="left" w:pos="1440"/>
                                <w:tab w:val="left" w:pos="2160"/>
                                <w:tab w:val="left" w:pos="2880"/>
                                <w:tab w:val="left" w:pos="3600"/>
                                <w:tab w:val="left" w:pos="4320"/>
                              </w:tabs>
                              <w:jc w:val="left"/>
                              <w:rPr>
                                <w:rFonts w:asciiTheme="minorHAnsi" w:hAnsiTheme="minorHAnsi"/>
                                <w:szCs w:val="22"/>
                                <w:shd w:val="clear" w:color="auto" w:fill="FFFFFF"/>
                              </w:rPr>
                            </w:pPr>
                            <w:r w:rsidRPr="00552774">
                              <w:rPr>
                                <w:rFonts w:asciiTheme="minorHAnsi" w:hAnsiTheme="minorHAnsi"/>
                                <w:szCs w:val="22"/>
                                <w:shd w:val="clear" w:color="auto" w:fill="FFFFFF"/>
                                <w:lang w:val="de-DE"/>
                              </w:rPr>
                              <w:t>2- und 5-Jahre rezidivfreie Überleben abzusch</w:t>
                            </w:r>
                            <w:r w:rsidRPr="00552774">
                              <w:rPr>
                                <w:rFonts w:asciiTheme="minorHAnsi" w:hAnsiTheme="minorHAnsi"/>
                                <w:szCs w:val="22"/>
                                <w:shd w:val="clear" w:color="auto" w:fill="FFFFFF"/>
                              </w:rPr>
                              <w:t>ä</w:t>
                            </w:r>
                            <w:r w:rsidRPr="00552774">
                              <w:rPr>
                                <w:rFonts w:asciiTheme="minorHAnsi" w:hAnsiTheme="minorHAnsi"/>
                                <w:szCs w:val="22"/>
                                <w:shd w:val="clear" w:color="auto" w:fill="FFFFFF"/>
                                <w:lang w:val="de-DE"/>
                              </w:rPr>
                              <w:t>tzen.</w:t>
                            </w:r>
                          </w:p>
                          <w:p w14:paraId="0D944235" w14:textId="77777777" w:rsidR="00EC608E" w:rsidRDefault="00EC60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F3757" id="Textfeld 29" o:spid="_x0000_s1028" type="#_x0000_t202" style="position:absolute;left:0;text-align:left;margin-left:254.1pt;margin-top:43.15pt;width:145.5pt;height:6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" fillcolor="white [3201]" stroked="f" strokeweight=".5pt">
                <v:textbox>
                  <w:txbxContent>
                    <w:p w14:paraId="4DF7CFE3" w14:textId="77777777" w:rsidR="00EC608E" w:rsidRDefault="00EC608E" w:rsidP="00552774">
                      <w:pPr>
                        <w:tabs>
                          <w:tab w:val="left" w:pos="720"/>
                          <w:tab w:val="left" w:pos="1440"/>
                          <w:tab w:val="left" w:pos="2160"/>
                          <w:tab w:val="left" w:pos="2880"/>
                          <w:tab w:val="left" w:pos="3600"/>
                          <w:tab w:val="left" w:pos="4320"/>
                        </w:tabs>
                        <w:jc w:val="left"/>
                        <w:rPr>
                          <w:rFonts w:asciiTheme="minorHAnsi" w:hAnsiTheme="minorHAnsi"/>
                          <w:szCs w:val="22"/>
                          <w:shd w:val="clear" w:color="auto" w:fill="FFFFFF"/>
                          <w:lang w:val="de-DE"/>
                        </w:rPr>
                      </w:pPr>
                      <w:r w:rsidRPr="00552774">
                        <w:rPr>
                          <w:rFonts w:asciiTheme="minorHAnsi" w:hAnsiTheme="minorHAnsi"/>
                          <w:szCs w:val="22"/>
                          <w:shd w:val="clear" w:color="auto" w:fill="FFFFFF"/>
                          <w:lang w:val="de-DE"/>
                        </w:rPr>
                        <w:t xml:space="preserve">Nomogramm um das </w:t>
                      </w:r>
                    </w:p>
                    <w:p w14:paraId="36EF18B9" w14:textId="77777777" w:rsidR="00EC608E" w:rsidRPr="00552774" w:rsidRDefault="00EC608E" w:rsidP="00552774">
                      <w:pPr>
                        <w:tabs>
                          <w:tab w:val="left" w:pos="720"/>
                          <w:tab w:val="left" w:pos="1440"/>
                          <w:tab w:val="left" w:pos="2160"/>
                          <w:tab w:val="left" w:pos="2880"/>
                          <w:tab w:val="left" w:pos="3600"/>
                          <w:tab w:val="left" w:pos="4320"/>
                        </w:tabs>
                        <w:jc w:val="left"/>
                        <w:rPr>
                          <w:rFonts w:asciiTheme="minorHAnsi" w:hAnsiTheme="minorHAnsi"/>
                          <w:szCs w:val="22"/>
                          <w:shd w:val="clear" w:color="auto" w:fill="FFFFFF"/>
                        </w:rPr>
                      </w:pPr>
                      <w:r w:rsidRPr="00552774">
                        <w:rPr>
                          <w:rFonts w:asciiTheme="minorHAnsi" w:hAnsiTheme="minorHAnsi"/>
                          <w:szCs w:val="22"/>
                          <w:shd w:val="clear" w:color="auto" w:fill="FFFFFF"/>
                          <w:lang w:val="de-DE"/>
                        </w:rPr>
                        <w:t>2- und 5-Jahre rezidivfreie Überleben abzusch</w:t>
                      </w:r>
                      <w:r w:rsidRPr="00552774">
                        <w:rPr>
                          <w:rFonts w:asciiTheme="minorHAnsi" w:hAnsiTheme="minorHAnsi"/>
                          <w:szCs w:val="22"/>
                          <w:shd w:val="clear" w:color="auto" w:fill="FFFFFF"/>
                        </w:rPr>
                        <w:t>ä</w:t>
                      </w:r>
                      <w:r w:rsidRPr="00552774">
                        <w:rPr>
                          <w:rFonts w:asciiTheme="minorHAnsi" w:hAnsiTheme="minorHAnsi"/>
                          <w:szCs w:val="22"/>
                          <w:shd w:val="clear" w:color="auto" w:fill="FFFFFF"/>
                          <w:lang w:val="de-DE"/>
                        </w:rPr>
                        <w:t>tzen.</w:t>
                      </w:r>
                    </w:p>
                    <w:p w14:paraId="0D944235" w14:textId="77777777" w:rsidR="00EC608E" w:rsidRDefault="00EC608E"/>
                  </w:txbxContent>
                </v:textbox>
              </v:shape>
            </w:pict>
          </mc:Fallback>
        </mc:AlternateContent>
      </w:r>
      <w:r>
        <w:rPr>
          <w:rFonts w:ascii="Calibri" w:hAnsi="Calibri" w:cs="Calibri"/>
          <w:noProof/>
          <w:szCs w:val="22"/>
          <w:lang w:eastAsia="de-AT"/>
        </w:rPr>
        <w:drawing>
          <wp:inline distT="0" distB="0" distL="0" distR="0" wp14:anchorId="727E5D44" wp14:editId="74CCEA2B">
            <wp:extent cx="3054350" cy="2000079"/>
            <wp:effectExtent l="0" t="0" r="0"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7115" cy="2001890"/>
                    </a:xfrm>
                    <a:prstGeom prst="rect">
                      <a:avLst/>
                    </a:prstGeom>
                    <a:noFill/>
                    <a:ln>
                      <a:noFill/>
                    </a:ln>
                  </pic:spPr>
                </pic:pic>
              </a:graphicData>
            </a:graphic>
          </wp:inline>
        </w:drawing>
      </w:r>
    </w:p>
    <w:p w14:paraId="0BBCAC4C" w14:textId="77777777" w:rsidR="001235A0" w:rsidRPr="00552774" w:rsidRDefault="001235A0" w:rsidP="00552774">
      <w:pPr>
        <w:pStyle w:val="Textkrper-Einzug2"/>
        <w:spacing w:after="0" w:line="276" w:lineRule="auto"/>
        <w:ind w:left="0"/>
        <w:jc w:val="both"/>
        <w:rPr>
          <w:rFonts w:ascii="Calibri" w:hAnsi="Calibri" w:cs="Calibri"/>
          <w:szCs w:val="22"/>
        </w:rPr>
      </w:pPr>
    </w:p>
    <w:p w14:paraId="602A8632" w14:textId="77777777" w:rsidR="001235A0" w:rsidRDefault="00552774" w:rsidP="00552774">
      <w:pPr>
        <w:pStyle w:val="Textkrper-Einzug2"/>
        <w:spacing w:after="0" w:line="276" w:lineRule="auto"/>
        <w:ind w:left="0"/>
        <w:jc w:val="both"/>
        <w:rPr>
          <w:rFonts w:ascii="Calibri" w:hAnsi="Calibri" w:cs="Calibri"/>
          <w:szCs w:val="22"/>
        </w:rPr>
      </w:pPr>
      <w:r>
        <w:rPr>
          <w:rFonts w:ascii="Calibri" w:hAnsi="Calibri" w:cs="Calibri"/>
          <w:szCs w:val="22"/>
        </w:rPr>
        <w:t>Die folgende Abbildung</w:t>
      </w:r>
      <w:r w:rsidR="001235A0" w:rsidRPr="00552774">
        <w:rPr>
          <w:rFonts w:ascii="Calibri" w:hAnsi="Calibri" w:cs="Calibri"/>
          <w:szCs w:val="22"/>
        </w:rPr>
        <w:t xml:space="preserve"> zeigt das rezidivfreie Überleben abhängig von Tumorgröße (A), Mitoserate (B), anatomischer Lokalisation (C) und Tumorruptur (D). Panel C zeigt u.a. auch, </w:t>
      </w:r>
      <w:r w:rsidR="00D00A54">
        <w:rPr>
          <w:rFonts w:ascii="Calibri" w:hAnsi="Calibri" w:cs="Calibri"/>
          <w:szCs w:val="22"/>
        </w:rPr>
        <w:t>dass</w:t>
      </w:r>
      <w:r w:rsidR="001235A0" w:rsidRPr="00552774">
        <w:rPr>
          <w:rFonts w:ascii="Calibri" w:hAnsi="Calibri" w:cs="Calibri"/>
          <w:szCs w:val="22"/>
        </w:rPr>
        <w:t xml:space="preserve"> „extragastrointestinale“ GISTe die schlechteste Prognose haben (E-GIST). Die Daten entstammen gepoolten Analysen (7).</w:t>
      </w:r>
    </w:p>
    <w:p w14:paraId="5A6B1AE8" w14:textId="77777777" w:rsidR="00552774" w:rsidRDefault="00552774" w:rsidP="00552774">
      <w:pPr>
        <w:pStyle w:val="Textkrper-Einzug2"/>
        <w:spacing w:after="0" w:line="276" w:lineRule="auto"/>
        <w:ind w:left="0"/>
        <w:jc w:val="both"/>
        <w:rPr>
          <w:rFonts w:ascii="Calibri" w:hAnsi="Calibri" w:cs="Calibri"/>
          <w:szCs w:val="22"/>
        </w:rPr>
      </w:pPr>
      <w:r>
        <w:rPr>
          <w:rFonts w:ascii="Calibri" w:hAnsi="Calibri" w:cs="Calibri"/>
          <w:noProof/>
          <w:szCs w:val="22"/>
          <w:lang w:eastAsia="de-AT"/>
        </w:rPr>
        <w:drawing>
          <wp:inline distT="0" distB="0" distL="0" distR="0" wp14:anchorId="7440662F" wp14:editId="659D0EEF">
            <wp:extent cx="5957570" cy="4645614"/>
            <wp:effectExtent l="0" t="0" r="5080" b="31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7570" cy="4645614"/>
                    </a:xfrm>
                    <a:prstGeom prst="rect">
                      <a:avLst/>
                    </a:prstGeom>
                    <a:noFill/>
                    <a:ln>
                      <a:noFill/>
                    </a:ln>
                  </pic:spPr>
                </pic:pic>
              </a:graphicData>
            </a:graphic>
          </wp:inline>
        </w:drawing>
      </w:r>
    </w:p>
    <w:p w14:paraId="59F421F4" w14:textId="77777777" w:rsidR="00552774" w:rsidRPr="00552774" w:rsidRDefault="00552774" w:rsidP="00552774">
      <w:pPr>
        <w:pStyle w:val="Textkrper-Einzug2"/>
        <w:spacing w:after="0" w:line="276" w:lineRule="auto"/>
        <w:ind w:left="0"/>
        <w:jc w:val="both"/>
        <w:rPr>
          <w:rFonts w:ascii="Calibri" w:hAnsi="Calibri" w:cs="Calibri"/>
          <w:sz w:val="18"/>
          <w:szCs w:val="18"/>
        </w:rPr>
      </w:pPr>
      <w:r w:rsidRPr="00552774">
        <w:rPr>
          <w:rFonts w:ascii="Calibri" w:hAnsi="Calibri" w:cs="Calibri"/>
          <w:sz w:val="18"/>
          <w:szCs w:val="18"/>
        </w:rPr>
        <w:t>Die Einheiten der X-Achse sind Jahre</w:t>
      </w:r>
      <w:r w:rsidR="00DF0655">
        <w:rPr>
          <w:rFonts w:ascii="Calibri" w:hAnsi="Calibri" w:cs="Calibri"/>
          <w:sz w:val="18"/>
          <w:szCs w:val="18"/>
        </w:rPr>
        <w:t>n</w:t>
      </w:r>
      <w:r w:rsidRPr="00552774">
        <w:rPr>
          <w:rFonts w:ascii="Calibri" w:hAnsi="Calibri" w:cs="Calibri"/>
          <w:sz w:val="18"/>
          <w:szCs w:val="18"/>
        </w:rPr>
        <w:t>, nach (7).</w:t>
      </w:r>
    </w:p>
    <w:p w14:paraId="05C76828" w14:textId="77777777" w:rsidR="001235A0" w:rsidRDefault="00552774" w:rsidP="00552774">
      <w:pPr>
        <w:pStyle w:val="Textkrper-Einzug2"/>
        <w:spacing w:after="0" w:line="276" w:lineRule="auto"/>
        <w:ind w:left="0"/>
        <w:jc w:val="both"/>
        <w:rPr>
          <w:rFonts w:ascii="Calibri" w:hAnsi="Calibri" w:cs="Calibri"/>
          <w:szCs w:val="22"/>
        </w:rPr>
      </w:pPr>
      <w:r>
        <w:rPr>
          <w:rFonts w:ascii="Calibri" w:hAnsi="Calibri" w:cs="Calibri"/>
          <w:szCs w:val="22"/>
        </w:rPr>
        <w:t>Die nächste Abbildung</w:t>
      </w:r>
      <w:r w:rsidR="001235A0" w:rsidRPr="00552774">
        <w:rPr>
          <w:rFonts w:ascii="Calibri" w:hAnsi="Calibri" w:cs="Calibri"/>
          <w:szCs w:val="22"/>
        </w:rPr>
        <w:t xml:space="preserve"> stellt das rezidivfreie Überleben für den gleichen Zeitraum nach Risikogruppen stratifiziert dar (7). Die Grafik zeigt sehr eindrücklich, warum die Leitlinienempfehlung für eine adjuvante Therapie nur die Hochrisikogruppe betrifft (21, 28, 29).</w:t>
      </w:r>
    </w:p>
    <w:p w14:paraId="4DF38A31" w14:textId="77777777" w:rsidR="005B11B2" w:rsidRDefault="00552774" w:rsidP="005B11B2">
      <w:pPr>
        <w:pStyle w:val="Textkrper-Einzug2"/>
        <w:spacing w:after="0" w:line="276" w:lineRule="auto"/>
        <w:ind w:left="0"/>
        <w:jc w:val="both"/>
        <w:rPr>
          <w:rFonts w:ascii="Calibri" w:hAnsi="Calibri" w:cs="Calibri"/>
          <w:szCs w:val="22"/>
        </w:rPr>
      </w:pPr>
      <w:r>
        <w:rPr>
          <w:rFonts w:ascii="Calibri" w:hAnsi="Calibri" w:cs="Calibri"/>
          <w:noProof/>
          <w:szCs w:val="22"/>
          <w:lang w:eastAsia="de-AT"/>
        </w:rPr>
        <w:lastRenderedPageBreak/>
        <w:drawing>
          <wp:inline distT="0" distB="0" distL="0" distR="0" wp14:anchorId="5552DC63" wp14:editId="66DD9B94">
            <wp:extent cx="4419600" cy="265013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6835" cy="2654468"/>
                    </a:xfrm>
                    <a:prstGeom prst="rect">
                      <a:avLst/>
                    </a:prstGeom>
                    <a:noFill/>
                    <a:ln>
                      <a:noFill/>
                    </a:ln>
                  </pic:spPr>
                </pic:pic>
              </a:graphicData>
            </a:graphic>
          </wp:inline>
        </w:drawing>
      </w:r>
    </w:p>
    <w:p w14:paraId="13095478" w14:textId="77777777" w:rsidR="001235A0" w:rsidRPr="005B11B2" w:rsidRDefault="005B11B2" w:rsidP="005B11B2">
      <w:pPr>
        <w:pStyle w:val="Textkrper-Einzug2"/>
        <w:spacing w:after="0" w:line="276" w:lineRule="auto"/>
        <w:ind w:left="0"/>
        <w:jc w:val="both"/>
        <w:rPr>
          <w:rFonts w:ascii="Calibri" w:hAnsi="Calibri" w:cs="Calibri"/>
          <w:szCs w:val="22"/>
        </w:rPr>
      </w:pPr>
      <w:r>
        <w:rPr>
          <w:rFonts w:ascii="Calibri" w:hAnsi="Calibri" w:cs="Calibri"/>
          <w:szCs w:val="22"/>
        </w:rPr>
        <w:t xml:space="preserve">     </w:t>
      </w:r>
      <w:r w:rsidR="001235A0" w:rsidRPr="00552774">
        <w:rPr>
          <w:rFonts w:ascii="Calibri" w:hAnsi="Calibri" w:cs="Calibri"/>
          <w:sz w:val="18"/>
          <w:szCs w:val="18"/>
        </w:rPr>
        <w:t>Die Einheit der x-Achse ist Jahre, nach (7).</w:t>
      </w:r>
    </w:p>
    <w:p w14:paraId="67FA2AD3" w14:textId="77777777" w:rsidR="001235A0" w:rsidRDefault="001235A0" w:rsidP="001235A0">
      <w:pPr>
        <w:tabs>
          <w:tab w:val="left" w:pos="720"/>
          <w:tab w:val="left" w:pos="1440"/>
          <w:tab w:val="left" w:pos="2160"/>
          <w:tab w:val="left" w:pos="2880"/>
          <w:tab w:val="left" w:pos="3600"/>
          <w:tab w:val="left" w:pos="4320"/>
        </w:tabs>
        <w:ind w:firstLine="360"/>
        <w:rPr>
          <w:rFonts w:ascii="Times New Roman" w:hAnsi="Times New Roman"/>
          <w:sz w:val="24"/>
          <w:szCs w:val="24"/>
          <w:shd w:val="clear" w:color="auto" w:fill="FFFFFF"/>
        </w:rPr>
      </w:pPr>
    </w:p>
    <w:p w14:paraId="0349D971" w14:textId="77777777" w:rsidR="001235A0" w:rsidRPr="00D62E15" w:rsidRDefault="001235A0" w:rsidP="00552774">
      <w:pPr>
        <w:pStyle w:val="Textkrper-Einzug2"/>
        <w:spacing w:after="0" w:line="276" w:lineRule="auto"/>
        <w:ind w:left="0"/>
        <w:jc w:val="both"/>
        <w:rPr>
          <w:rFonts w:ascii="Calibri" w:hAnsi="Calibri" w:cs="Calibri"/>
          <w:szCs w:val="22"/>
        </w:rPr>
      </w:pPr>
      <w:r w:rsidRPr="00552774">
        <w:rPr>
          <w:rFonts w:ascii="Calibri" w:hAnsi="Calibri" w:cs="Calibri"/>
          <w:szCs w:val="22"/>
        </w:rPr>
        <w:t xml:space="preserve">Mittlerweile gibt es auch Daten, die das Rezidivrisiko abhängig von KIT oder PDGFRA Mutationen ermessen können. Diese Daten </w:t>
      </w:r>
      <w:r w:rsidRPr="00D62E15">
        <w:rPr>
          <w:rFonts w:ascii="Calibri" w:hAnsi="Calibri" w:cs="Calibri"/>
          <w:szCs w:val="22"/>
        </w:rPr>
        <w:t>gehen allerdings noch nicht in die allgemeinen Risikoprofile ein. Deshalb finden sich entsprechende Kaplan-Meyer Kurven im Anhang. Sie sind nicht Grundlage einer Leitlinie zu betrachten (Abbildung A1 und A2).</w:t>
      </w:r>
    </w:p>
    <w:p w14:paraId="43277009" w14:textId="12435375" w:rsidR="004652A1" w:rsidRDefault="004652A1" w:rsidP="00552774">
      <w:pPr>
        <w:pStyle w:val="Textkrper-Einzug2"/>
        <w:spacing w:after="0" w:line="276" w:lineRule="auto"/>
        <w:ind w:left="0"/>
        <w:jc w:val="both"/>
        <w:rPr>
          <w:rFonts w:ascii="Calibri" w:hAnsi="Calibri" w:cs="Calibri"/>
          <w:color w:val="C00000"/>
          <w:szCs w:val="22"/>
        </w:rPr>
      </w:pPr>
      <w:r w:rsidRPr="00D62E15">
        <w:rPr>
          <w:rFonts w:ascii="Calibri" w:hAnsi="Calibri" w:cs="Calibri"/>
          <w:szCs w:val="22"/>
        </w:rPr>
        <w:t xml:space="preserve">Eine weitere häufig verwendete Abschätzung des Rezidivrisikos wurde von Miettinen und Lasota 2006 publiziert.  Bei hohem Risiko soll, bei intermediärem Risiko kann bei sensitiver Mutation eine adjvante Theapie angedacht </w:t>
      </w:r>
      <w:r w:rsidRPr="00D62E15">
        <w:rPr>
          <w:rFonts w:ascii="Calibri" w:hAnsi="Calibri" w:cs="Calibri"/>
          <w:color w:val="000000" w:themeColor="text1"/>
          <w:szCs w:val="22"/>
        </w:rPr>
        <w:t xml:space="preserve">werden </w:t>
      </w:r>
      <w:r w:rsidR="00D62E15" w:rsidRPr="00D62E15">
        <w:rPr>
          <w:rFonts w:ascii="Calibri" w:hAnsi="Calibri" w:cs="Calibri"/>
          <w:color w:val="000000" w:themeColor="text1"/>
          <w:szCs w:val="22"/>
        </w:rPr>
        <w:t>(</w:t>
      </w:r>
      <w:r w:rsidR="001D3CA8" w:rsidRPr="00D62E15">
        <w:rPr>
          <w:rFonts w:ascii="Calibri" w:hAnsi="Calibri" w:cs="Calibri"/>
          <w:color w:val="000000" w:themeColor="text1"/>
          <w:szCs w:val="22"/>
        </w:rPr>
        <w:t>30</w:t>
      </w:r>
      <w:r w:rsidRPr="00D62E15">
        <w:rPr>
          <w:rFonts w:ascii="Calibri" w:hAnsi="Calibri" w:cs="Calibri"/>
          <w:color w:val="000000" w:themeColor="text1"/>
          <w:szCs w:val="22"/>
        </w:rPr>
        <w:t>).</w:t>
      </w:r>
    </w:p>
    <w:p w14:paraId="5B01D4A6" w14:textId="77777777" w:rsidR="004652A1" w:rsidRPr="004652A1" w:rsidRDefault="004652A1" w:rsidP="00552774">
      <w:pPr>
        <w:pStyle w:val="Textkrper-Einzug2"/>
        <w:spacing w:after="0" w:line="276" w:lineRule="auto"/>
        <w:ind w:left="0"/>
        <w:jc w:val="both"/>
        <w:rPr>
          <w:rFonts w:ascii="Calibri" w:hAnsi="Calibri" w:cs="Calibri"/>
          <w:color w:val="C00000"/>
          <w:szCs w:val="22"/>
        </w:rPr>
      </w:pPr>
      <w:r w:rsidRPr="004652A1">
        <w:rPr>
          <w:rFonts w:ascii="Calibri" w:hAnsi="Calibri" w:cs="Calibri"/>
          <w:noProof/>
          <w:color w:val="C00000"/>
          <w:szCs w:val="22"/>
          <w:lang w:eastAsia="de-AT"/>
        </w:rPr>
        <w:drawing>
          <wp:inline distT="0" distB="0" distL="0" distR="0" wp14:anchorId="5EA65FE5" wp14:editId="2FB9B9F2">
            <wp:extent cx="5957570" cy="3079492"/>
            <wp:effectExtent l="0" t="0" r="5080" b="6985"/>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26">
                      <a:extLst>
                        <a:ext uri="{28A0092B-C50C-407E-A947-70E740481C1C}">
                          <a14:useLocalDpi xmlns:a14="http://schemas.microsoft.com/office/drawing/2010/main" val="0"/>
                        </a:ext>
                      </a:extLst>
                    </a:blip>
                    <a:srcRect l="4614" t="33102" r="58244" b="36175"/>
                    <a:stretch/>
                  </pic:blipFill>
                  <pic:spPr bwMode="auto">
                    <a:xfrm>
                      <a:off x="0" y="0"/>
                      <a:ext cx="5957570" cy="3079492"/>
                    </a:xfrm>
                    <a:prstGeom prst="rect">
                      <a:avLst/>
                    </a:prstGeom>
                    <a:noFill/>
                    <a:ln>
                      <a:noFill/>
                    </a:ln>
                    <a:extLst/>
                  </pic:spPr>
                </pic:pic>
              </a:graphicData>
            </a:graphic>
          </wp:inline>
        </w:drawing>
      </w:r>
    </w:p>
    <w:p w14:paraId="7047CACE" w14:textId="77777777" w:rsidR="002B425B" w:rsidRPr="002B425B" w:rsidRDefault="002B425B" w:rsidP="002B425B">
      <w:pPr>
        <w:pStyle w:val="Textkrper-Einzug2"/>
        <w:spacing w:after="0" w:line="276" w:lineRule="auto"/>
        <w:ind w:left="0"/>
        <w:jc w:val="both"/>
        <w:rPr>
          <w:rFonts w:ascii="Calibri" w:hAnsi="Calibri" w:cs="Calibri"/>
          <w:szCs w:val="22"/>
        </w:rPr>
      </w:pPr>
      <w:r w:rsidRPr="002B425B">
        <w:rPr>
          <w:rFonts w:ascii="Calibri" w:hAnsi="Calibri" w:cs="Calibri" w:hint="eastAsia"/>
          <w:szCs w:val="22"/>
        </w:rPr>
        <w:br w:type="page"/>
      </w:r>
    </w:p>
    <w:p w14:paraId="0D3C2D43" w14:textId="77777777" w:rsidR="006D4DAC" w:rsidRPr="00E344D4" w:rsidRDefault="006D4DAC" w:rsidP="004472C3">
      <w:pPr>
        <w:pStyle w:val="berschrift1"/>
        <w:numPr>
          <w:ilvl w:val="0"/>
          <w:numId w:val="28"/>
        </w:numPr>
        <w:ind w:hanging="720"/>
      </w:pPr>
      <w:bookmarkStart w:id="9" w:name="_Toc41307598"/>
      <w:bookmarkStart w:id="10" w:name="_Toc367183617"/>
      <w:bookmarkStart w:id="11" w:name="_Toc367183855"/>
      <w:r w:rsidRPr="00E344D4">
        <w:lastRenderedPageBreak/>
        <w:t>Behandlungsplan</w:t>
      </w:r>
      <w:bookmarkEnd w:id="9"/>
      <w:r w:rsidRPr="00E344D4">
        <w:t xml:space="preserve"> </w:t>
      </w:r>
      <w:bookmarkEnd w:id="10"/>
      <w:bookmarkEnd w:id="11"/>
    </w:p>
    <w:p w14:paraId="58A11085" w14:textId="1FFECA77" w:rsidR="00552774" w:rsidRPr="00552774" w:rsidRDefault="00552774" w:rsidP="00552774">
      <w:pPr>
        <w:pStyle w:val="Textkrper-Einzug2"/>
        <w:spacing w:after="0" w:line="276" w:lineRule="auto"/>
        <w:ind w:left="0"/>
        <w:jc w:val="both"/>
        <w:rPr>
          <w:rFonts w:ascii="Calibri" w:hAnsi="Calibri" w:cs="Calibri"/>
          <w:szCs w:val="22"/>
        </w:rPr>
      </w:pPr>
      <w:r w:rsidRPr="00552774">
        <w:rPr>
          <w:rFonts w:ascii="Calibri" w:hAnsi="Calibri" w:cs="Calibri"/>
          <w:szCs w:val="22"/>
        </w:rPr>
        <w:t>Die Operation besitzt den größten Stellenwert in der GIST Behandlung. In einer gepoolten Analyse von 2459 Fällen, die nur mittels OP behandelt worden waren, war das rezidivfreie Überleben 70,5 % nach 5 und 59,9 % nach 15 Jahren (7). Nach 10 Jahren kam es nur noch zu wenigen Rezidiven, so da</w:t>
      </w:r>
      <w:r>
        <w:rPr>
          <w:rFonts w:ascii="Calibri" w:hAnsi="Calibri" w:cs="Calibri"/>
          <w:szCs w:val="22"/>
        </w:rPr>
        <w:t>ss</w:t>
      </w:r>
      <w:r w:rsidRPr="00552774">
        <w:rPr>
          <w:rFonts w:ascii="Calibri" w:hAnsi="Calibri" w:cs="Calibri"/>
          <w:szCs w:val="22"/>
        </w:rPr>
        <w:t xml:space="preserve"> die geschätzte Heilungsrate durch OP alleine bei 60 % liegt (3). Das chirurgische Ziel sollte eine R0 Resektion ohne Tumorruptur sein (siehe Risiko, Tabelle 3). Tumore des Ösophagus und des Magens sollten nicht endoskopisch reseziert werden, da eine R0 Resektion schwierig zu kontrollieren ist. Tumore des Rektums und des rektovaginalen Septums sollten präoperativ mit Imatinib behandelt werden, um eine Größenreduktion zu erzielen (3, </w:t>
      </w:r>
      <w:r w:rsidR="008F5EE6" w:rsidRPr="00D62E15">
        <w:rPr>
          <w:rFonts w:ascii="Calibri" w:hAnsi="Calibri" w:cs="Calibri"/>
          <w:szCs w:val="22"/>
        </w:rPr>
        <w:t>31</w:t>
      </w:r>
      <w:r w:rsidRPr="00D62E15">
        <w:rPr>
          <w:rFonts w:ascii="Calibri" w:hAnsi="Calibri" w:cs="Calibri"/>
          <w:szCs w:val="22"/>
        </w:rPr>
        <w:t>).</w:t>
      </w:r>
    </w:p>
    <w:p w14:paraId="3603AC76" w14:textId="77777777" w:rsidR="00552774" w:rsidRPr="00552774" w:rsidRDefault="00552774" w:rsidP="00552774">
      <w:pPr>
        <w:pStyle w:val="Textkrper-Einzug2"/>
        <w:spacing w:after="0" w:line="276" w:lineRule="auto"/>
        <w:ind w:left="0"/>
        <w:jc w:val="both"/>
        <w:rPr>
          <w:rFonts w:ascii="Calibri" w:hAnsi="Calibri" w:cs="Calibri"/>
          <w:szCs w:val="22"/>
        </w:rPr>
      </w:pPr>
    </w:p>
    <w:p w14:paraId="45FC0528" w14:textId="77777777" w:rsidR="00552774" w:rsidRPr="00552774" w:rsidRDefault="00552774" w:rsidP="00552774">
      <w:pPr>
        <w:pStyle w:val="Textkrper-Einzug2"/>
        <w:spacing w:after="0" w:line="276" w:lineRule="auto"/>
        <w:ind w:left="0"/>
        <w:jc w:val="both"/>
        <w:rPr>
          <w:rFonts w:ascii="Calibri" w:hAnsi="Calibri" w:cs="Calibri"/>
          <w:szCs w:val="22"/>
        </w:rPr>
      </w:pPr>
      <w:r w:rsidRPr="00552774">
        <w:rPr>
          <w:rFonts w:ascii="Calibri" w:hAnsi="Calibri" w:cs="Calibri"/>
          <w:szCs w:val="22"/>
        </w:rPr>
        <w:t xml:space="preserve">Eine Lymphknotendissektion ist nicht indiziert, da GISTe des älteren Patienten in der Regel (&lt; 1 %), so wie andere Sarkome auch, keine Lymphknotenmetastasen setzen. Allerdings ist die Situation eine andere bei Jugendlichen oder jüngeren Erwachsenen (&lt; 40 Jahre), sowie bei Patienten mit syndromischen GISTe. Diese Fälle zeigen ein anderes </w:t>
      </w:r>
      <w:r w:rsidRPr="00D62E15">
        <w:rPr>
          <w:rFonts w:ascii="Calibri" w:hAnsi="Calibri" w:cs="Calibri"/>
          <w:szCs w:val="22"/>
        </w:rPr>
        <w:t>klinisches Verhalten und entwickeln Lymphknotenmetastasen in einem signifi</w:t>
      </w:r>
      <w:r w:rsidR="008F5EE6" w:rsidRPr="00D62E15">
        <w:rPr>
          <w:rFonts w:ascii="Calibri" w:hAnsi="Calibri" w:cs="Calibri"/>
          <w:szCs w:val="22"/>
        </w:rPr>
        <w:t>kanten Prozentsatz (20-59 %) (32–34</w:t>
      </w:r>
      <w:r w:rsidRPr="00D62E15">
        <w:rPr>
          <w:rFonts w:ascii="Calibri" w:hAnsi="Calibri" w:cs="Calibri"/>
          <w:szCs w:val="22"/>
        </w:rPr>
        <w:t>).</w:t>
      </w:r>
    </w:p>
    <w:p w14:paraId="705EA4A6" w14:textId="77777777" w:rsidR="00552774" w:rsidRPr="00552774" w:rsidRDefault="00552774" w:rsidP="00552774">
      <w:pPr>
        <w:pStyle w:val="Textkrper-Einzug2"/>
        <w:spacing w:after="0" w:line="276" w:lineRule="auto"/>
        <w:ind w:left="0"/>
        <w:jc w:val="both"/>
        <w:rPr>
          <w:rFonts w:ascii="Calibri" w:hAnsi="Calibri" w:cs="Calibri"/>
          <w:szCs w:val="22"/>
        </w:rPr>
      </w:pPr>
    </w:p>
    <w:p w14:paraId="79DF5B54" w14:textId="7BD50943" w:rsidR="00552774" w:rsidRPr="00D62E15" w:rsidRDefault="00552774" w:rsidP="00552774">
      <w:pPr>
        <w:pStyle w:val="Textkrper-Einzug2"/>
        <w:spacing w:after="0" w:line="276" w:lineRule="auto"/>
        <w:ind w:left="0"/>
        <w:jc w:val="both"/>
        <w:rPr>
          <w:rFonts w:ascii="Calibri" w:hAnsi="Calibri" w:cs="Calibri"/>
          <w:szCs w:val="22"/>
        </w:rPr>
      </w:pPr>
      <w:r w:rsidRPr="00552774">
        <w:rPr>
          <w:rFonts w:ascii="Calibri" w:hAnsi="Calibri" w:cs="Calibri"/>
          <w:szCs w:val="22"/>
        </w:rPr>
        <w:t xml:space="preserve">Die Indikation für eine systemische Therapie mit dem Tyrosinkinaseinhibitor Imatinib ergibt sich aus der klinischen Situation (adjuvant oder metastasiert), sowie dem klinischen als auch dem molekularpathologischen Profil. Nicht alle GIST Mutationen sind Imatinib-sensitiv.  Tabelle 4 (s.u.) gibt einen Überblick über die häufigsten molekularen GIST </w:t>
      </w:r>
      <w:r w:rsidRPr="00D62E15">
        <w:rPr>
          <w:rFonts w:ascii="Calibri" w:hAnsi="Calibri" w:cs="Calibri"/>
          <w:szCs w:val="22"/>
        </w:rPr>
        <w:t>Entitäten und deren Imatinab-Sensitivität (</w:t>
      </w:r>
      <w:r w:rsidR="008F5EE6" w:rsidRPr="00D62E15">
        <w:rPr>
          <w:rFonts w:ascii="Calibri" w:hAnsi="Calibri" w:cs="Calibri"/>
          <w:szCs w:val="22"/>
        </w:rPr>
        <w:t>35</w:t>
      </w:r>
      <w:r w:rsidRPr="00D62E15">
        <w:rPr>
          <w:rFonts w:ascii="Calibri" w:hAnsi="Calibri" w:cs="Calibri"/>
          <w:szCs w:val="22"/>
        </w:rPr>
        <w:t>) und Tabelle 5 zeigt das Imatinib Ansprechen dreier verschiedener klinischer Studien in Abhängigkeit von KIT und PDGFRA Mutationen (17). Es existiert dzt. keine Empfehlung, mit einem anderen TKI als Imatinib zu beginnen.</w:t>
      </w:r>
    </w:p>
    <w:p w14:paraId="08BF9C6E" w14:textId="77777777" w:rsidR="00552774" w:rsidRPr="00D62E15" w:rsidRDefault="00552774" w:rsidP="00552774">
      <w:pPr>
        <w:pStyle w:val="Textkrper-Einzug2"/>
        <w:spacing w:after="0" w:line="276" w:lineRule="auto"/>
        <w:ind w:left="0"/>
        <w:jc w:val="both"/>
        <w:rPr>
          <w:rFonts w:ascii="Calibri" w:hAnsi="Calibri" w:cs="Calibri"/>
          <w:szCs w:val="22"/>
        </w:rPr>
      </w:pPr>
    </w:p>
    <w:p w14:paraId="39E0E5A1" w14:textId="5143ACF0" w:rsidR="007D5B27" w:rsidRPr="00D62E15" w:rsidRDefault="00552774" w:rsidP="00DF0655">
      <w:pPr>
        <w:autoSpaceDE w:val="0"/>
        <w:autoSpaceDN w:val="0"/>
        <w:adjustRightInd w:val="0"/>
        <w:spacing w:line="240" w:lineRule="auto"/>
        <w:jc w:val="both"/>
        <w:rPr>
          <w:rFonts w:ascii="Calibri" w:hAnsi="Calibri" w:cs="Calibri"/>
          <w:szCs w:val="22"/>
        </w:rPr>
      </w:pPr>
      <w:r w:rsidRPr="00D62E15">
        <w:rPr>
          <w:rFonts w:ascii="Calibri" w:hAnsi="Calibri" w:cs="Calibri"/>
          <w:szCs w:val="22"/>
        </w:rPr>
        <w:t>Hervorzuheben sind vier Spezialfälle, die das KIT Exon 9 und jeweils eine spezifische Mutation des KIT Exons 17 (D820Y) und eine des PDGFRA Exon 18 (D842V) betreffen, sowie die KIT/PDGFRA „Wildtyp“ Fälle. Kit Exon 9 Mutationen haben eine reduzierte Imatinib-Sensitivität und erfordern 800 mg Imatinib/Tag. Die KIT Exon 17 D820Y und die PDGFRA Exon 18 D842V Mutationen sind resistent gegenüber Imati</w:t>
      </w:r>
      <w:r w:rsidR="00D62E15" w:rsidRPr="00D62E15">
        <w:rPr>
          <w:rFonts w:ascii="Calibri" w:hAnsi="Calibri" w:cs="Calibri"/>
          <w:szCs w:val="22"/>
        </w:rPr>
        <w:t>nib, Sunitinib und Regorafenib (</w:t>
      </w:r>
      <w:r w:rsidR="008F5EE6" w:rsidRPr="00D62E15">
        <w:rPr>
          <w:rFonts w:ascii="Calibri" w:hAnsi="Calibri" w:cs="Calibri"/>
          <w:szCs w:val="22"/>
        </w:rPr>
        <w:t>35</w:t>
      </w:r>
      <w:r w:rsidRPr="00D62E15">
        <w:rPr>
          <w:rFonts w:ascii="Calibri" w:hAnsi="Calibri" w:cs="Calibri"/>
          <w:szCs w:val="22"/>
        </w:rPr>
        <w:t xml:space="preserve">). </w:t>
      </w:r>
      <w:r w:rsidR="008343B6" w:rsidRPr="00D62E15">
        <w:rPr>
          <w:rFonts w:ascii="Calibri" w:hAnsi="Calibri" w:cs="Calibri"/>
          <w:szCs w:val="22"/>
        </w:rPr>
        <w:t xml:space="preserve"> </w:t>
      </w:r>
    </w:p>
    <w:p w14:paraId="03D617C6" w14:textId="77777777" w:rsidR="007D5B27" w:rsidRPr="00D62E15" w:rsidRDefault="007D5B27" w:rsidP="00DF0655">
      <w:pPr>
        <w:autoSpaceDE w:val="0"/>
        <w:autoSpaceDN w:val="0"/>
        <w:adjustRightInd w:val="0"/>
        <w:spacing w:line="240" w:lineRule="auto"/>
        <w:jc w:val="both"/>
        <w:rPr>
          <w:rFonts w:ascii="Calibri" w:hAnsi="Calibri" w:cs="Calibri"/>
          <w:szCs w:val="22"/>
        </w:rPr>
      </w:pPr>
    </w:p>
    <w:p w14:paraId="475AC8F1" w14:textId="77777777" w:rsidR="00863696" w:rsidRPr="00D62E15" w:rsidRDefault="008343B6" w:rsidP="00DF0655">
      <w:pPr>
        <w:autoSpaceDE w:val="0"/>
        <w:autoSpaceDN w:val="0"/>
        <w:adjustRightInd w:val="0"/>
        <w:spacing w:line="240" w:lineRule="auto"/>
        <w:jc w:val="both"/>
        <w:rPr>
          <w:rFonts w:asciiTheme="minorHAnsi" w:hAnsiTheme="minorHAnsi" w:cstheme="minorHAnsi"/>
          <w:szCs w:val="22"/>
          <w:lang w:eastAsia="de-AT"/>
        </w:rPr>
      </w:pPr>
      <w:r w:rsidRPr="00D62E15">
        <w:rPr>
          <w:rFonts w:asciiTheme="minorHAnsi" w:hAnsiTheme="minorHAnsi" w:cstheme="minorHAnsi"/>
          <w:szCs w:val="22"/>
        </w:rPr>
        <w:t xml:space="preserve">Eine Alternative in Zukunft dürfte für diese Patienten Avapritinib, ein selektiver und potenter </w:t>
      </w:r>
      <w:r w:rsidRPr="00D62E15">
        <w:rPr>
          <w:rFonts w:asciiTheme="minorHAnsi" w:hAnsiTheme="minorHAnsi" w:cstheme="minorHAnsi"/>
          <w:szCs w:val="22"/>
          <w:lang w:eastAsia="de-AT"/>
        </w:rPr>
        <w:t xml:space="preserve">KIT/PDGFRα-Hemmer sein. In einer Phase 1 Studie konnten mit dieser Substanz bei PDGFRA mit D824V Mutation zeigte sich eine Ansprechrate von </w:t>
      </w:r>
      <w:r w:rsidR="00863696" w:rsidRPr="00D62E15">
        <w:rPr>
          <w:rFonts w:asciiTheme="minorHAnsi" w:hAnsiTheme="minorHAnsi" w:cstheme="minorHAnsi"/>
          <w:szCs w:val="22"/>
          <w:lang w:eastAsia="de-AT"/>
        </w:rPr>
        <w:t>84% und eine radiologische Komplettremission in 9%. Eine Phase 3 Studie (VOYAGER Trial; ClinicalTrials.gov</w:t>
      </w:r>
      <w:r w:rsidR="00432BA3" w:rsidRPr="00D62E15">
        <w:rPr>
          <w:rFonts w:asciiTheme="minorHAnsi" w:hAnsiTheme="minorHAnsi" w:cstheme="minorHAnsi"/>
          <w:szCs w:val="22"/>
          <w:lang w:eastAsia="de-AT"/>
        </w:rPr>
        <w:t xml:space="preserve"> </w:t>
      </w:r>
      <w:r w:rsidR="00863696" w:rsidRPr="00D62E15">
        <w:rPr>
          <w:rFonts w:asciiTheme="minorHAnsi" w:hAnsiTheme="minorHAnsi" w:cstheme="minorHAnsi"/>
          <w:szCs w:val="22"/>
          <w:lang w:eastAsia="de-AT"/>
        </w:rPr>
        <w:t xml:space="preserve">identifier: NCT03465722) rekrutiert aktuell.  </w:t>
      </w:r>
    </w:p>
    <w:p w14:paraId="00DBA05E" w14:textId="27E1ACEB" w:rsidR="007D5B27" w:rsidRPr="00DF0655" w:rsidRDefault="007D5B27" w:rsidP="00DF0655">
      <w:pPr>
        <w:autoSpaceDE w:val="0"/>
        <w:autoSpaceDN w:val="0"/>
        <w:adjustRightInd w:val="0"/>
        <w:spacing w:line="240" w:lineRule="auto"/>
        <w:jc w:val="both"/>
        <w:rPr>
          <w:rFonts w:asciiTheme="minorHAnsi" w:hAnsiTheme="minorHAnsi" w:cstheme="minorHAnsi"/>
          <w:color w:val="C0504D" w:themeColor="accent2"/>
          <w:szCs w:val="22"/>
          <w:lang w:val="de-DE" w:eastAsia="de-AT"/>
        </w:rPr>
      </w:pPr>
      <w:r w:rsidRPr="00D62E15">
        <w:rPr>
          <w:rFonts w:asciiTheme="minorHAnsi" w:hAnsiTheme="minorHAnsi" w:cstheme="minorHAnsi"/>
          <w:szCs w:val="22"/>
          <w:lang w:eastAsia="de-AT"/>
        </w:rPr>
        <w:t xml:space="preserve">Ebenso zukünftig ineressant könnte Ripretinib , ein KIT-Inhibitor, welcher Wirksamkeit bei Mutationen im Exon 9, 11, 13, 14, 17 und 19 bzw. </w:t>
      </w:r>
      <w:r w:rsidRPr="00D62E15">
        <w:rPr>
          <w:rFonts w:asciiTheme="minorHAnsi" w:hAnsiTheme="minorHAnsi" w:cstheme="minorHAnsi"/>
          <w:szCs w:val="22"/>
        </w:rPr>
        <w:t xml:space="preserve">PDGFRA Exon 18 zeigt, werden. </w:t>
      </w:r>
      <w:r w:rsidR="00432BA3" w:rsidRPr="00D62E15">
        <w:rPr>
          <w:rFonts w:asciiTheme="minorHAnsi" w:hAnsiTheme="minorHAnsi" w:cstheme="minorHAnsi"/>
          <w:szCs w:val="22"/>
        </w:rPr>
        <w:t>In einer Pahse 1 Studie konnten Ansprechraten von  18% bzw. Krankheitskontrollraten von 72% gezeigt werden. Zwei Phase 3 Studien in der Viert- bzw. Zweitlinie sind aktuell im Laufen (</w:t>
      </w:r>
      <w:r w:rsidR="00432BA3" w:rsidRPr="00D62E15">
        <w:rPr>
          <w:rFonts w:asciiTheme="minorHAnsi" w:hAnsiTheme="minorHAnsi" w:cstheme="minorHAnsi"/>
          <w:szCs w:val="22"/>
          <w:lang w:val="de-DE" w:eastAsia="de-AT"/>
        </w:rPr>
        <w:t>INVICTUS; ClinicalTrials.gov identifier: NCT03353753 bzw. INTRIGUE; ClinicalTrials.gov identifier: NCT03673501</w:t>
      </w:r>
      <w:r w:rsidR="00432BA3" w:rsidRPr="00D62E15">
        <w:rPr>
          <w:rFonts w:asciiTheme="minorHAnsi" w:hAnsiTheme="minorHAnsi" w:cstheme="minorHAnsi"/>
          <w:color w:val="000000" w:themeColor="text1"/>
          <w:szCs w:val="22"/>
          <w:lang w:val="de-DE" w:eastAsia="de-AT"/>
        </w:rPr>
        <w:t>).</w:t>
      </w:r>
      <w:r w:rsidR="00432BA3" w:rsidRPr="00D62E15">
        <w:rPr>
          <w:rFonts w:asciiTheme="minorHAnsi" w:hAnsiTheme="minorHAnsi" w:cstheme="minorHAnsi"/>
          <w:color w:val="000000" w:themeColor="text1"/>
          <w:szCs w:val="22"/>
          <w:lang w:eastAsia="de-AT"/>
        </w:rPr>
        <w:t xml:space="preserve">  (</w:t>
      </w:r>
      <w:r w:rsidR="008F5EE6" w:rsidRPr="00D62E15">
        <w:rPr>
          <w:rFonts w:asciiTheme="minorHAnsi" w:hAnsiTheme="minorHAnsi" w:cstheme="minorHAnsi"/>
          <w:color w:val="000000" w:themeColor="text1"/>
          <w:szCs w:val="22"/>
          <w:lang w:eastAsia="de-AT"/>
        </w:rPr>
        <w:t>36</w:t>
      </w:r>
      <w:r w:rsidR="00432BA3" w:rsidRPr="00D62E15">
        <w:rPr>
          <w:rFonts w:asciiTheme="minorHAnsi" w:hAnsiTheme="minorHAnsi" w:cstheme="minorHAnsi"/>
          <w:color w:val="000000" w:themeColor="text1"/>
          <w:szCs w:val="22"/>
          <w:lang w:eastAsia="de-AT"/>
        </w:rPr>
        <w:t>)</w:t>
      </w:r>
    </w:p>
    <w:p w14:paraId="04A3EF53" w14:textId="77777777" w:rsidR="00863696" w:rsidRDefault="00863696" w:rsidP="00DF0655">
      <w:pPr>
        <w:pStyle w:val="Textkrper-Einzug2"/>
        <w:spacing w:after="0" w:line="276" w:lineRule="auto"/>
        <w:ind w:left="0"/>
        <w:jc w:val="both"/>
        <w:rPr>
          <w:rFonts w:asciiTheme="minorHAnsi" w:hAnsiTheme="minorHAnsi" w:cs="SymbolMT"/>
          <w:color w:val="C00000"/>
          <w:szCs w:val="22"/>
          <w:lang w:eastAsia="de-AT"/>
        </w:rPr>
      </w:pPr>
    </w:p>
    <w:p w14:paraId="2020E6F9" w14:textId="77777777" w:rsidR="00552774" w:rsidRPr="00552774" w:rsidRDefault="00552774" w:rsidP="00552774">
      <w:pPr>
        <w:pStyle w:val="Textkrper-Einzug2"/>
        <w:spacing w:after="0" w:line="276" w:lineRule="auto"/>
        <w:ind w:left="0"/>
        <w:jc w:val="both"/>
        <w:rPr>
          <w:rFonts w:ascii="Calibri" w:hAnsi="Calibri" w:cs="Calibri"/>
          <w:szCs w:val="22"/>
        </w:rPr>
      </w:pPr>
      <w:r w:rsidRPr="00552774">
        <w:rPr>
          <w:rFonts w:ascii="Calibri" w:hAnsi="Calibri" w:cs="Calibri"/>
          <w:szCs w:val="22"/>
        </w:rPr>
        <w:t>Bzgl. KIT/PDGFRA Wildtyp kann keine klare Empfehlung abgegeben werden, da das Ansprechen (CR + PR) auf Imatinib in klinischen Studien sehr unterschiedlich ausgefallen ist (CR + PR Rate von 0 - 37 %) (Tabelle 5).</w:t>
      </w:r>
    </w:p>
    <w:p w14:paraId="294996B0" w14:textId="77777777" w:rsidR="00552774" w:rsidRPr="00552774" w:rsidRDefault="00552774" w:rsidP="00552774">
      <w:pPr>
        <w:pStyle w:val="Textkrper-Einzug2"/>
        <w:spacing w:after="0" w:line="276" w:lineRule="auto"/>
        <w:ind w:left="0"/>
        <w:jc w:val="both"/>
        <w:rPr>
          <w:rFonts w:ascii="Calibri" w:hAnsi="Calibri" w:cs="Calibri"/>
          <w:szCs w:val="22"/>
        </w:rPr>
      </w:pPr>
    </w:p>
    <w:p w14:paraId="0726A948" w14:textId="77777777" w:rsidR="00552774" w:rsidRDefault="00552774" w:rsidP="00552774">
      <w:pPr>
        <w:pStyle w:val="Textkrper-Einzug2"/>
        <w:spacing w:after="0" w:line="276" w:lineRule="auto"/>
        <w:ind w:left="0"/>
        <w:jc w:val="both"/>
        <w:rPr>
          <w:rFonts w:ascii="Calibri" w:hAnsi="Calibri" w:cs="Calibri"/>
          <w:szCs w:val="22"/>
        </w:rPr>
      </w:pPr>
    </w:p>
    <w:p w14:paraId="7138E7FD" w14:textId="77777777" w:rsidR="00DF0655" w:rsidRDefault="00DF0655" w:rsidP="00552774">
      <w:pPr>
        <w:pStyle w:val="Textkrper-Einzug2"/>
        <w:spacing w:after="0" w:line="276" w:lineRule="auto"/>
        <w:ind w:left="0"/>
        <w:jc w:val="both"/>
        <w:rPr>
          <w:rFonts w:ascii="Calibri" w:hAnsi="Calibri" w:cs="Calibri"/>
          <w:szCs w:val="22"/>
        </w:rPr>
      </w:pPr>
    </w:p>
    <w:p w14:paraId="2F28B947" w14:textId="77777777" w:rsidR="00BD0AEF" w:rsidRPr="00552774" w:rsidRDefault="00BD0AEF" w:rsidP="00552774">
      <w:pPr>
        <w:pStyle w:val="Textkrper-Einzug2"/>
        <w:spacing w:after="0" w:line="276" w:lineRule="auto"/>
        <w:ind w:left="0"/>
        <w:jc w:val="both"/>
        <w:rPr>
          <w:rFonts w:ascii="Calibri" w:hAnsi="Calibri" w:cs="Calibri"/>
          <w:szCs w:val="22"/>
        </w:rPr>
      </w:pPr>
    </w:p>
    <w:p w14:paraId="4858AB4A" w14:textId="0B6B3666" w:rsidR="00552774" w:rsidRDefault="00552774" w:rsidP="00552774">
      <w:pPr>
        <w:pStyle w:val="Textkrper-Einzug2"/>
        <w:spacing w:after="0" w:line="276" w:lineRule="auto"/>
        <w:ind w:left="0"/>
        <w:jc w:val="both"/>
        <w:rPr>
          <w:rFonts w:ascii="Calibri" w:hAnsi="Calibri" w:cs="Calibri"/>
          <w:szCs w:val="22"/>
        </w:rPr>
      </w:pPr>
      <w:r w:rsidRPr="00552774">
        <w:rPr>
          <w:rFonts w:ascii="Calibri" w:hAnsi="Calibri" w:cs="Calibri"/>
          <w:szCs w:val="22"/>
        </w:rPr>
        <w:lastRenderedPageBreak/>
        <w:t xml:space="preserve">GIST-relevante Mutationen und Ansprechen auf Imatinib, </w:t>
      </w:r>
      <w:r w:rsidRPr="00D62E15">
        <w:rPr>
          <w:rFonts w:ascii="Calibri" w:hAnsi="Calibri" w:cs="Calibri"/>
          <w:szCs w:val="22"/>
        </w:rPr>
        <w:t>nach (</w:t>
      </w:r>
      <w:r w:rsidR="00BD0AEF" w:rsidRPr="00D62E15">
        <w:rPr>
          <w:rFonts w:ascii="Calibri" w:hAnsi="Calibri" w:cs="Calibri"/>
          <w:szCs w:val="22"/>
        </w:rPr>
        <w:t>35</w:t>
      </w:r>
      <w:r w:rsidRPr="00D62E15">
        <w:rPr>
          <w:rFonts w:ascii="Calibri" w:hAnsi="Calibri" w:cs="Calibri"/>
          <w:szCs w:val="22"/>
        </w:rPr>
        <w:t>)</w:t>
      </w:r>
      <w:r w:rsidR="00C90089" w:rsidRPr="00D62E15">
        <w:rPr>
          <w:rFonts w:ascii="Calibri" w:hAnsi="Calibri" w:cs="Calibri"/>
          <w:szCs w:val="22"/>
        </w:rPr>
        <w:t xml:space="preserve"> und (17)</w:t>
      </w:r>
    </w:p>
    <w:p w14:paraId="0CB00F33" w14:textId="77777777" w:rsidR="00C90089" w:rsidRPr="00552774" w:rsidRDefault="00C90089" w:rsidP="00552774">
      <w:pPr>
        <w:pStyle w:val="Textkrper-Einzug2"/>
        <w:spacing w:after="0" w:line="276" w:lineRule="auto"/>
        <w:ind w:left="0"/>
        <w:jc w:val="both"/>
        <w:rPr>
          <w:rFonts w:ascii="Calibri" w:hAnsi="Calibri" w:cs="Calibri"/>
          <w:szCs w:val="22"/>
        </w:rPr>
      </w:pPr>
    </w:p>
    <w:p w14:paraId="5943DEC8" w14:textId="77777777" w:rsidR="00552774" w:rsidRPr="00C90089" w:rsidRDefault="00C90089" w:rsidP="00C90089">
      <w:pPr>
        <w:pStyle w:val="Textkrper-Einzug2"/>
        <w:spacing w:after="0" w:line="276" w:lineRule="auto"/>
        <w:ind w:left="0"/>
        <w:jc w:val="both"/>
        <w:rPr>
          <w:rFonts w:ascii="Calibri" w:hAnsi="Calibri" w:cs="Calibri"/>
          <w:szCs w:val="22"/>
        </w:rPr>
      </w:pPr>
      <w:r w:rsidRPr="00C90089">
        <w:rPr>
          <w:rFonts w:ascii="Calibri" w:hAnsi="Calibri" w:cs="Calibri"/>
          <w:noProof/>
          <w:szCs w:val="22"/>
          <w:lang w:eastAsia="de-AT"/>
        </w:rPr>
        <w:drawing>
          <wp:inline distT="0" distB="0" distL="0" distR="0" wp14:anchorId="031F4605" wp14:editId="61CDDDC5">
            <wp:extent cx="5957570" cy="5171654"/>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7570" cy="5171654"/>
                    </a:xfrm>
                    <a:prstGeom prst="rect">
                      <a:avLst/>
                    </a:prstGeom>
                    <a:noFill/>
                    <a:ln>
                      <a:noFill/>
                    </a:ln>
                  </pic:spPr>
                </pic:pic>
              </a:graphicData>
            </a:graphic>
          </wp:inline>
        </w:drawing>
      </w:r>
    </w:p>
    <w:p w14:paraId="1BC694E5" w14:textId="77777777" w:rsidR="00C90089" w:rsidRDefault="00C90089" w:rsidP="00C90089">
      <w:pPr>
        <w:pStyle w:val="Textkrper-Einzug2"/>
        <w:spacing w:after="0" w:line="276" w:lineRule="auto"/>
        <w:ind w:left="0"/>
        <w:jc w:val="both"/>
        <w:rPr>
          <w:rFonts w:ascii="Calibri" w:hAnsi="Calibri" w:cs="Calibri"/>
          <w:szCs w:val="22"/>
        </w:rPr>
      </w:pPr>
    </w:p>
    <w:p w14:paraId="2C4AE0CC" w14:textId="77777777" w:rsidR="00C90089" w:rsidRPr="00C90089" w:rsidRDefault="00C90089" w:rsidP="00C90089">
      <w:pPr>
        <w:pStyle w:val="Textkrper-Einzug2"/>
        <w:spacing w:after="0" w:line="276" w:lineRule="auto"/>
        <w:ind w:left="0"/>
        <w:jc w:val="both"/>
        <w:rPr>
          <w:rFonts w:ascii="Calibri" w:hAnsi="Calibri" w:cs="Calibri"/>
          <w:szCs w:val="22"/>
        </w:rPr>
      </w:pPr>
    </w:p>
    <w:p w14:paraId="4F9EB026" w14:textId="77777777" w:rsidR="00552774" w:rsidRPr="00552774" w:rsidRDefault="00C90089" w:rsidP="00C90089">
      <w:pPr>
        <w:pStyle w:val="Textkrper-Einzug2"/>
        <w:spacing w:after="0" w:line="276" w:lineRule="auto"/>
        <w:ind w:left="0"/>
        <w:jc w:val="left"/>
        <w:rPr>
          <w:rFonts w:ascii="Times New Roman" w:hAnsi="Times New Roman"/>
          <w:sz w:val="24"/>
          <w:szCs w:val="24"/>
          <w:shd w:val="clear" w:color="auto" w:fill="FFFFFF"/>
        </w:rPr>
      </w:pPr>
      <w:r>
        <w:rPr>
          <w:rFonts w:ascii="Times New Roman" w:hAnsi="Times New Roman"/>
          <w:noProof/>
          <w:sz w:val="24"/>
          <w:szCs w:val="24"/>
          <w:shd w:val="clear" w:color="auto" w:fill="FFFFFF"/>
          <w:lang w:eastAsia="de-AT"/>
        </w:rPr>
        <w:drawing>
          <wp:inline distT="0" distB="0" distL="0" distR="0" wp14:anchorId="31C1B200" wp14:editId="6ED675E6">
            <wp:extent cx="5957570" cy="2723771"/>
            <wp:effectExtent l="0" t="0" r="508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7570" cy="2723771"/>
                    </a:xfrm>
                    <a:prstGeom prst="rect">
                      <a:avLst/>
                    </a:prstGeom>
                    <a:noFill/>
                    <a:ln>
                      <a:noFill/>
                    </a:ln>
                  </pic:spPr>
                </pic:pic>
              </a:graphicData>
            </a:graphic>
          </wp:inline>
        </w:drawing>
      </w:r>
    </w:p>
    <w:p w14:paraId="15D88AEF" w14:textId="77777777" w:rsidR="00D00A54" w:rsidRDefault="00D00A54" w:rsidP="00D00A54">
      <w:pPr>
        <w:pStyle w:val="berschrift2"/>
        <w:rPr>
          <w:rFonts w:cs="Times New Roman"/>
          <w:shd w:val="clear" w:color="auto" w:fill="FFFFFF"/>
        </w:rPr>
      </w:pPr>
      <w:bookmarkStart w:id="12" w:name="_Toc41307599"/>
      <w:r>
        <w:rPr>
          <w:shd w:val="clear" w:color="auto" w:fill="FFFFFF"/>
          <w:lang w:val="de-DE"/>
        </w:rPr>
        <w:lastRenderedPageBreak/>
        <w:t>3.1</w:t>
      </w:r>
      <w:r>
        <w:rPr>
          <w:shd w:val="clear" w:color="auto" w:fill="FFFFFF"/>
          <w:lang w:val="de-DE"/>
        </w:rPr>
        <w:tab/>
        <w:t>Nicht metastasiert, prim</w:t>
      </w:r>
      <w:r>
        <w:rPr>
          <w:shd w:val="clear" w:color="auto" w:fill="FFFFFF"/>
        </w:rPr>
        <w:t>är operabel</w:t>
      </w:r>
      <w:bookmarkEnd w:id="12"/>
    </w:p>
    <w:p w14:paraId="2F56A03B" w14:textId="1EF479A7" w:rsidR="00D00A54" w:rsidRDefault="00D00A54" w:rsidP="00D00A54">
      <w:pPr>
        <w:pStyle w:val="Textkrper-Einzug2"/>
        <w:numPr>
          <w:ilvl w:val="0"/>
          <w:numId w:val="29"/>
        </w:numPr>
        <w:spacing w:after="0" w:line="276" w:lineRule="auto"/>
        <w:ind w:left="0" w:firstLine="284"/>
        <w:jc w:val="both"/>
        <w:rPr>
          <w:rFonts w:ascii="Calibri" w:hAnsi="Calibri" w:cs="Calibri"/>
          <w:szCs w:val="22"/>
        </w:rPr>
      </w:pPr>
      <w:r w:rsidRPr="00D00A54">
        <w:rPr>
          <w:rFonts w:ascii="Calibri" w:hAnsi="Calibri" w:cs="Calibri"/>
          <w:szCs w:val="22"/>
        </w:rPr>
        <w:t>Tumore &lt; 2 cm sollten nach Möglichkeit biopsiert werden. Es besteht aber keine dringliche Notwendigkeit sie zu resezieren. Sie können beobachtet werden (z.B. endosonographisch) (17). Abbildung 8 zeigt einen Behandlungsalgorithmus für Tumore &lt; 2 cm (</w:t>
      </w:r>
      <w:r w:rsidR="008F5EE6" w:rsidRPr="00D62E15">
        <w:rPr>
          <w:rFonts w:ascii="Calibri" w:hAnsi="Calibri" w:cs="Calibri"/>
          <w:szCs w:val="22"/>
        </w:rPr>
        <w:t>37</w:t>
      </w:r>
      <w:r w:rsidRPr="00D62E15">
        <w:rPr>
          <w:rFonts w:ascii="Calibri" w:hAnsi="Calibri" w:cs="Calibri"/>
          <w:szCs w:val="22"/>
        </w:rPr>
        <w:t>).</w:t>
      </w:r>
    </w:p>
    <w:p w14:paraId="294DD41F" w14:textId="77777777" w:rsidR="00D00A54" w:rsidRDefault="00D00A54" w:rsidP="00D00A54">
      <w:pPr>
        <w:pStyle w:val="Textkrper-Einzug2"/>
        <w:spacing w:after="0" w:line="276" w:lineRule="auto"/>
        <w:ind w:left="0"/>
        <w:jc w:val="both"/>
        <w:rPr>
          <w:rFonts w:ascii="Calibri" w:hAnsi="Calibri" w:cs="Calibri"/>
          <w:szCs w:val="22"/>
        </w:rPr>
      </w:pPr>
    </w:p>
    <w:p w14:paraId="29CF7730" w14:textId="77777777" w:rsidR="00D00A54" w:rsidRDefault="00D00A54" w:rsidP="00D00A54">
      <w:pPr>
        <w:pStyle w:val="Textkrper-Einzug2"/>
        <w:spacing w:after="0" w:line="276" w:lineRule="auto"/>
        <w:ind w:left="0"/>
        <w:jc w:val="left"/>
        <w:rPr>
          <w:rFonts w:ascii="Calibri" w:hAnsi="Calibri" w:cs="Calibri"/>
          <w:szCs w:val="22"/>
        </w:rPr>
      </w:pPr>
      <w:r>
        <w:rPr>
          <w:rFonts w:ascii="Calibri" w:hAnsi="Calibri" w:cs="Calibri"/>
          <w:noProof/>
          <w:szCs w:val="22"/>
          <w:lang w:eastAsia="de-AT"/>
        </w:rPr>
        <w:drawing>
          <wp:inline distT="0" distB="0" distL="0" distR="0" wp14:anchorId="3475F8D5" wp14:editId="2CD7DC05">
            <wp:extent cx="5957570" cy="1835635"/>
            <wp:effectExtent l="0" t="0" r="508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7570" cy="1835635"/>
                    </a:xfrm>
                    <a:prstGeom prst="rect">
                      <a:avLst/>
                    </a:prstGeom>
                    <a:noFill/>
                    <a:ln>
                      <a:noFill/>
                    </a:ln>
                  </pic:spPr>
                </pic:pic>
              </a:graphicData>
            </a:graphic>
          </wp:inline>
        </w:drawing>
      </w:r>
    </w:p>
    <w:p w14:paraId="171C42AF" w14:textId="77777777" w:rsidR="00D00A54" w:rsidRPr="00D00A54" w:rsidRDefault="00D00A54" w:rsidP="00D00A54">
      <w:pPr>
        <w:pStyle w:val="Textkrper-Einzug2"/>
        <w:spacing w:after="0" w:line="276" w:lineRule="auto"/>
        <w:ind w:left="0"/>
        <w:jc w:val="left"/>
        <w:rPr>
          <w:rFonts w:ascii="Calibri" w:hAnsi="Calibri" w:cs="Calibri"/>
          <w:sz w:val="8"/>
          <w:szCs w:val="8"/>
        </w:rPr>
      </w:pPr>
    </w:p>
    <w:p w14:paraId="3236E9AC" w14:textId="77777777" w:rsidR="00D00A54" w:rsidRPr="00F250FE" w:rsidRDefault="00D00A54" w:rsidP="00D00A54">
      <w:pPr>
        <w:pStyle w:val="Textkrper-Einzug2"/>
        <w:spacing w:after="0" w:line="240" w:lineRule="auto"/>
        <w:ind w:left="0"/>
        <w:jc w:val="both"/>
        <w:rPr>
          <w:rFonts w:ascii="Calibri" w:hAnsi="Calibri" w:cs="Calibri"/>
          <w:sz w:val="18"/>
          <w:szCs w:val="18"/>
          <w:lang w:val="en-US"/>
        </w:rPr>
      </w:pPr>
      <w:r w:rsidRPr="00D00A54">
        <w:rPr>
          <w:rFonts w:ascii="Calibri" w:hAnsi="Calibri" w:cs="Calibri"/>
          <w:sz w:val="18"/>
          <w:szCs w:val="18"/>
          <w:lang w:val="en-US"/>
        </w:rPr>
        <w:t xml:space="preserve">Approach for the management of very small gastric gastrointestinal stromal tumors (GISTs). </w:t>
      </w:r>
      <w:r w:rsidRPr="00F250FE">
        <w:rPr>
          <w:rFonts w:ascii="Calibri" w:hAnsi="Calibri" w:cs="Calibri"/>
          <w:sz w:val="18"/>
          <w:szCs w:val="18"/>
          <w:lang w:val="en-US"/>
        </w:rPr>
        <w:t>*Possible high-risk endoscopic ultrasound (EUS) features include irregular border, cystic spaces, ulceration, echogenic foci, and heterogeneity. † EUS should only be considered after a thorough discussion with the patient regarding the risks and benefits.</w:t>
      </w:r>
    </w:p>
    <w:p w14:paraId="7FAF4ADD" w14:textId="77777777" w:rsidR="00D00A54" w:rsidRPr="00F250FE" w:rsidRDefault="00D00A54" w:rsidP="00D00A54">
      <w:pPr>
        <w:pStyle w:val="Textkrper-Einzug2"/>
        <w:spacing w:after="0" w:line="276" w:lineRule="auto"/>
        <w:ind w:left="0"/>
        <w:jc w:val="both"/>
        <w:rPr>
          <w:rFonts w:ascii="Calibri" w:hAnsi="Calibri" w:cs="Calibri"/>
          <w:szCs w:val="22"/>
          <w:lang w:val="en-US"/>
        </w:rPr>
      </w:pPr>
    </w:p>
    <w:p w14:paraId="02D80942" w14:textId="77777777" w:rsidR="00D00A54" w:rsidRPr="00F250FE" w:rsidRDefault="00D00A54" w:rsidP="00D00A54">
      <w:pPr>
        <w:pStyle w:val="Textkrper-Einzug2"/>
        <w:spacing w:after="0" w:line="276" w:lineRule="auto"/>
        <w:ind w:left="0"/>
        <w:jc w:val="both"/>
        <w:rPr>
          <w:rFonts w:ascii="Calibri" w:hAnsi="Calibri" w:cs="Calibri"/>
          <w:szCs w:val="22"/>
          <w:lang w:val="en-US"/>
        </w:rPr>
      </w:pPr>
    </w:p>
    <w:p w14:paraId="34E7DDF4" w14:textId="77777777" w:rsidR="00D00A54" w:rsidRPr="00D00A54" w:rsidRDefault="00D00A54" w:rsidP="00D00A54">
      <w:pPr>
        <w:pStyle w:val="Textkrper-Einzug2"/>
        <w:spacing w:after="0" w:line="276" w:lineRule="auto"/>
        <w:ind w:left="0" w:firstLine="284"/>
        <w:jc w:val="both"/>
        <w:rPr>
          <w:rFonts w:ascii="Calibri" w:hAnsi="Calibri" w:cs="Calibri"/>
          <w:szCs w:val="22"/>
        </w:rPr>
      </w:pPr>
      <w:r w:rsidRPr="00D00A54">
        <w:rPr>
          <w:rFonts w:ascii="Calibri" w:hAnsi="Calibri" w:cs="Calibri"/>
          <w:szCs w:val="22"/>
        </w:rPr>
        <w:t>2.</w:t>
      </w:r>
      <w:r w:rsidRPr="00D00A54">
        <w:rPr>
          <w:rFonts w:ascii="Calibri" w:hAnsi="Calibri" w:cs="Calibri"/>
          <w:szCs w:val="22"/>
        </w:rPr>
        <w:tab/>
        <w:t>Für Patienten aller Risikogruppen mit Tumore &gt; 2 cm lautet die Empfehlung Operation. Falls keine Indikation für eine adjuvante Therapie besteht (s.u.), werden die Patienten nur nachgesorgt.</w:t>
      </w:r>
    </w:p>
    <w:p w14:paraId="3E3A9D3B" w14:textId="77777777" w:rsidR="00D00A54" w:rsidRPr="00D00A54" w:rsidRDefault="00D00A54" w:rsidP="00D00A54">
      <w:pPr>
        <w:pStyle w:val="Textkrper-Einzug2"/>
        <w:spacing w:after="0" w:line="276" w:lineRule="auto"/>
        <w:ind w:left="284"/>
        <w:jc w:val="both"/>
        <w:rPr>
          <w:rFonts w:ascii="Calibri" w:hAnsi="Calibri" w:cs="Calibri"/>
          <w:szCs w:val="22"/>
        </w:rPr>
      </w:pPr>
    </w:p>
    <w:p w14:paraId="69AEA4C4" w14:textId="77777777" w:rsidR="00D00A54" w:rsidRPr="00D00A54" w:rsidRDefault="00D00A54" w:rsidP="00D00A54">
      <w:pPr>
        <w:pStyle w:val="Textkrper-Einzug2"/>
        <w:spacing w:after="0" w:line="276" w:lineRule="auto"/>
        <w:ind w:left="0" w:firstLine="284"/>
        <w:jc w:val="both"/>
        <w:rPr>
          <w:rFonts w:ascii="Calibri" w:hAnsi="Calibri" w:cs="Calibri"/>
          <w:szCs w:val="22"/>
        </w:rPr>
      </w:pPr>
      <w:r w:rsidRPr="00D00A54">
        <w:rPr>
          <w:rFonts w:ascii="Calibri" w:hAnsi="Calibri" w:cs="Calibri"/>
          <w:szCs w:val="22"/>
        </w:rPr>
        <w:t>3.</w:t>
      </w:r>
      <w:r w:rsidRPr="00D00A54">
        <w:rPr>
          <w:rFonts w:ascii="Calibri" w:hAnsi="Calibri" w:cs="Calibri"/>
          <w:szCs w:val="22"/>
        </w:rPr>
        <w:tab/>
        <w:t>Eine adjuvante Therapie mit Imatinib 400 mg/d für 3 Jahre ist nur dann indiziert wenn</w:t>
      </w:r>
    </w:p>
    <w:p w14:paraId="6BF3E637" w14:textId="77777777" w:rsidR="00D00A54" w:rsidRPr="00D00A54" w:rsidRDefault="00D00A54" w:rsidP="00D00A54">
      <w:pPr>
        <w:pStyle w:val="Textkrper-Einzug2"/>
        <w:spacing w:after="0" w:line="276" w:lineRule="auto"/>
        <w:ind w:left="0"/>
        <w:jc w:val="both"/>
        <w:rPr>
          <w:rFonts w:ascii="Calibri" w:hAnsi="Calibri" w:cs="Calibri"/>
          <w:szCs w:val="22"/>
        </w:rPr>
      </w:pPr>
      <w:r>
        <w:rPr>
          <w:rFonts w:ascii="Calibri" w:hAnsi="Calibri" w:cs="Calibri"/>
          <w:szCs w:val="22"/>
        </w:rPr>
        <w:tab/>
        <w:t xml:space="preserve">a) </w:t>
      </w:r>
      <w:r w:rsidRPr="00D00A54">
        <w:rPr>
          <w:rFonts w:ascii="Calibri" w:hAnsi="Calibri" w:cs="Calibri"/>
          <w:szCs w:val="22"/>
        </w:rPr>
        <w:t xml:space="preserve">eine Imatinib-sensitive KIT oder PDGFRA Mutation vorliegt (Tabelle 4) und </w:t>
      </w:r>
    </w:p>
    <w:p w14:paraId="06D3C538" w14:textId="77777777" w:rsidR="00251177" w:rsidRPr="00D62E15" w:rsidRDefault="00D00A54" w:rsidP="00251177">
      <w:pPr>
        <w:pStyle w:val="Textkrper-Einzug2"/>
        <w:spacing w:after="0" w:line="276" w:lineRule="auto"/>
        <w:ind w:left="0"/>
        <w:jc w:val="both"/>
        <w:rPr>
          <w:rFonts w:ascii="Calibri" w:hAnsi="Calibri" w:cs="Calibri"/>
          <w:szCs w:val="22"/>
        </w:rPr>
      </w:pPr>
      <w:r>
        <w:rPr>
          <w:rFonts w:ascii="Calibri" w:hAnsi="Calibri" w:cs="Calibri"/>
          <w:szCs w:val="22"/>
        </w:rPr>
        <w:tab/>
      </w:r>
      <w:r w:rsidRPr="00D62E15">
        <w:rPr>
          <w:rFonts w:ascii="Calibri" w:hAnsi="Calibri" w:cs="Calibri"/>
          <w:szCs w:val="22"/>
        </w:rPr>
        <w:t xml:space="preserve">b) </w:t>
      </w:r>
      <w:r w:rsidR="00251177" w:rsidRPr="00D62E15">
        <w:rPr>
          <w:rFonts w:ascii="Calibri" w:hAnsi="Calibri" w:cs="Calibri"/>
          <w:szCs w:val="22"/>
        </w:rPr>
        <w:t>das Rezidivrisiko hoch ist</w:t>
      </w:r>
    </w:p>
    <w:p w14:paraId="0541A4ED" w14:textId="477F49B9" w:rsidR="00D00A54" w:rsidRPr="00251177" w:rsidRDefault="00251177" w:rsidP="00251177">
      <w:pPr>
        <w:pStyle w:val="Textkrper-Einzug2"/>
        <w:spacing w:after="0" w:line="276" w:lineRule="auto"/>
        <w:ind w:left="0" w:firstLine="708"/>
        <w:jc w:val="both"/>
        <w:rPr>
          <w:rFonts w:ascii="Calibri" w:hAnsi="Calibri" w:cs="Calibri"/>
          <w:color w:val="C0504D" w:themeColor="accent2"/>
          <w:szCs w:val="22"/>
        </w:rPr>
      </w:pPr>
      <w:r w:rsidRPr="00D62E15">
        <w:rPr>
          <w:rFonts w:ascii="Calibri" w:hAnsi="Calibri" w:cs="Calibri"/>
          <w:szCs w:val="22"/>
        </w:rPr>
        <w:t xml:space="preserve">c) bei intermediärem Risiko muss individuell entschieden werden  (Tabelle </w:t>
      </w:r>
      <w:r w:rsidRPr="00D62E15">
        <w:rPr>
          <w:rFonts w:ascii="Calibri" w:hAnsi="Calibri" w:cs="Calibri"/>
          <w:color w:val="000000" w:themeColor="text1"/>
          <w:szCs w:val="22"/>
        </w:rPr>
        <w:t>3)</w:t>
      </w:r>
      <w:r w:rsidR="00665096" w:rsidRPr="00D62E15">
        <w:rPr>
          <w:rFonts w:ascii="Calibri" w:hAnsi="Calibri" w:cs="Calibri"/>
          <w:color w:val="000000" w:themeColor="text1"/>
          <w:szCs w:val="22"/>
        </w:rPr>
        <w:t xml:space="preserve"> (</w:t>
      </w:r>
      <w:r w:rsidR="008F5EE6" w:rsidRPr="00D62E15">
        <w:rPr>
          <w:rFonts w:ascii="Calibri" w:hAnsi="Calibri" w:cs="Calibri"/>
          <w:color w:val="000000" w:themeColor="text1"/>
          <w:szCs w:val="22"/>
        </w:rPr>
        <w:t>37</w:t>
      </w:r>
      <w:r w:rsidR="00665096" w:rsidRPr="00D62E15">
        <w:rPr>
          <w:rFonts w:ascii="Calibri" w:hAnsi="Calibri" w:cs="Calibri"/>
          <w:color w:val="000000" w:themeColor="text1"/>
          <w:szCs w:val="22"/>
        </w:rPr>
        <w:t>)</w:t>
      </w:r>
    </w:p>
    <w:p w14:paraId="4260D8B0" w14:textId="77777777" w:rsidR="00D00A54" w:rsidRPr="00D00A54" w:rsidRDefault="00D00A54" w:rsidP="00D00A54">
      <w:pPr>
        <w:pStyle w:val="Textkrper-Einzug2"/>
        <w:spacing w:after="0" w:line="276" w:lineRule="auto"/>
        <w:ind w:left="0"/>
        <w:jc w:val="both"/>
        <w:rPr>
          <w:rFonts w:ascii="Calibri" w:hAnsi="Calibri" w:cs="Calibri"/>
          <w:szCs w:val="22"/>
        </w:rPr>
      </w:pPr>
    </w:p>
    <w:p w14:paraId="1865A172" w14:textId="77777777" w:rsidR="00D00A54" w:rsidRPr="00D00A54" w:rsidRDefault="00D00A54" w:rsidP="00D00A54">
      <w:pPr>
        <w:pStyle w:val="Textkrper-Einzug2"/>
        <w:spacing w:after="0" w:line="276" w:lineRule="auto"/>
        <w:ind w:left="0"/>
        <w:jc w:val="both"/>
        <w:rPr>
          <w:rFonts w:ascii="Calibri" w:hAnsi="Calibri" w:cs="Calibri"/>
          <w:szCs w:val="22"/>
        </w:rPr>
      </w:pPr>
      <w:r w:rsidRPr="00D00A54">
        <w:rPr>
          <w:rFonts w:ascii="Calibri" w:hAnsi="Calibri" w:cs="Calibri"/>
          <w:szCs w:val="22"/>
        </w:rPr>
        <w:tab/>
        <w:t>Keine Indikation für Imatinib adjuvant besteht bei</w:t>
      </w:r>
    </w:p>
    <w:p w14:paraId="0DEF4D29" w14:textId="77777777" w:rsidR="00D00A54" w:rsidRPr="00D00A54" w:rsidRDefault="00D00A54" w:rsidP="00D00A54">
      <w:pPr>
        <w:pStyle w:val="Textkrper-Einzug2"/>
        <w:spacing w:after="0" w:line="276" w:lineRule="auto"/>
        <w:ind w:left="0"/>
        <w:jc w:val="both"/>
        <w:rPr>
          <w:rFonts w:ascii="Calibri" w:hAnsi="Calibri" w:cs="Calibri"/>
          <w:szCs w:val="22"/>
        </w:rPr>
      </w:pPr>
      <w:r w:rsidRPr="00D00A54">
        <w:rPr>
          <w:rFonts w:ascii="Calibri" w:hAnsi="Calibri" w:cs="Calibri"/>
          <w:szCs w:val="22"/>
        </w:rPr>
        <w:tab/>
        <w:t>a) sehr niedrigem, niedrigem Rezidivrisiko (Tabelle 3)</w:t>
      </w:r>
    </w:p>
    <w:p w14:paraId="306FE0F5" w14:textId="77777777" w:rsidR="00D00A54" w:rsidRPr="00F250FE" w:rsidRDefault="00D00A54" w:rsidP="00D00A54">
      <w:pPr>
        <w:pStyle w:val="Textkrper-Einzug2"/>
        <w:spacing w:after="0" w:line="276" w:lineRule="auto"/>
        <w:ind w:left="0"/>
        <w:jc w:val="both"/>
        <w:rPr>
          <w:rFonts w:ascii="Calibri" w:hAnsi="Calibri" w:cs="Calibri"/>
          <w:szCs w:val="22"/>
          <w:lang w:val="en-US"/>
        </w:rPr>
      </w:pPr>
      <w:r w:rsidRPr="00D00A54">
        <w:rPr>
          <w:rFonts w:ascii="Calibri" w:hAnsi="Calibri" w:cs="Calibri"/>
          <w:szCs w:val="22"/>
        </w:rPr>
        <w:tab/>
      </w:r>
      <w:r w:rsidRPr="00F250FE">
        <w:rPr>
          <w:rFonts w:ascii="Calibri" w:hAnsi="Calibri" w:cs="Calibri"/>
          <w:szCs w:val="22"/>
          <w:lang w:val="en-US"/>
        </w:rPr>
        <w:t>b) KIT Exon 17 D820Y Mutation (Imatinib resistent)</w:t>
      </w:r>
    </w:p>
    <w:p w14:paraId="4F15E048" w14:textId="77777777" w:rsidR="00D00A54" w:rsidRPr="00D00A54" w:rsidRDefault="00D00A54" w:rsidP="00D00A54">
      <w:pPr>
        <w:pStyle w:val="Textkrper-Einzug2"/>
        <w:spacing w:after="0" w:line="276" w:lineRule="auto"/>
        <w:ind w:left="0"/>
        <w:jc w:val="both"/>
        <w:rPr>
          <w:rFonts w:ascii="Calibri" w:hAnsi="Calibri" w:cs="Calibri"/>
          <w:szCs w:val="22"/>
        </w:rPr>
      </w:pPr>
      <w:r w:rsidRPr="00F250FE">
        <w:rPr>
          <w:rFonts w:ascii="Calibri" w:hAnsi="Calibri" w:cs="Calibri"/>
          <w:szCs w:val="22"/>
          <w:lang w:val="en-US"/>
        </w:rPr>
        <w:tab/>
      </w:r>
      <w:r w:rsidRPr="00D00A54">
        <w:rPr>
          <w:rFonts w:ascii="Calibri" w:hAnsi="Calibri" w:cs="Calibri"/>
          <w:szCs w:val="22"/>
        </w:rPr>
        <w:t>c) PDGFRA Exon 18 D842V Mutation (Imatinib resistent)</w:t>
      </w:r>
    </w:p>
    <w:p w14:paraId="154A1CB9" w14:textId="77777777" w:rsidR="00D00A54" w:rsidRPr="00D00A54" w:rsidRDefault="00D00A54" w:rsidP="00D00A54">
      <w:pPr>
        <w:pStyle w:val="Textkrper-Einzug2"/>
        <w:spacing w:after="0" w:line="276" w:lineRule="auto"/>
        <w:ind w:left="0"/>
        <w:jc w:val="both"/>
        <w:rPr>
          <w:rFonts w:ascii="Calibri" w:hAnsi="Calibri" w:cs="Calibri"/>
          <w:szCs w:val="22"/>
        </w:rPr>
      </w:pPr>
      <w:r w:rsidRPr="00D00A54">
        <w:rPr>
          <w:rFonts w:ascii="Calibri" w:hAnsi="Calibri" w:cs="Calibri"/>
          <w:szCs w:val="22"/>
        </w:rPr>
        <w:tab/>
      </w:r>
      <w:r w:rsidRPr="00D00A54">
        <w:rPr>
          <w:rFonts w:ascii="Calibri" w:hAnsi="Calibri" w:cs="Calibri"/>
          <w:szCs w:val="22"/>
        </w:rPr>
        <w:tab/>
      </w:r>
    </w:p>
    <w:p w14:paraId="573CB4A1" w14:textId="77777777" w:rsidR="00D00A54" w:rsidRPr="00D00A54" w:rsidRDefault="00D00A54" w:rsidP="00D00A54">
      <w:pPr>
        <w:pStyle w:val="Textkrper-Einzug2"/>
        <w:spacing w:after="0" w:line="276" w:lineRule="auto"/>
        <w:ind w:left="0" w:firstLine="284"/>
        <w:jc w:val="both"/>
        <w:rPr>
          <w:rFonts w:ascii="Calibri" w:hAnsi="Calibri" w:cs="Calibri"/>
          <w:szCs w:val="22"/>
        </w:rPr>
      </w:pPr>
      <w:r w:rsidRPr="00D00A54">
        <w:rPr>
          <w:rFonts w:ascii="Calibri" w:hAnsi="Calibri" w:cs="Calibri"/>
          <w:szCs w:val="22"/>
        </w:rPr>
        <w:t>4.</w:t>
      </w:r>
      <w:r w:rsidRPr="00D00A54">
        <w:rPr>
          <w:rFonts w:ascii="Calibri" w:hAnsi="Calibri" w:cs="Calibri"/>
          <w:szCs w:val="22"/>
        </w:rPr>
        <w:tab/>
        <w:t xml:space="preserve">Nur bei KIT Exon 9 Mutation Imatinib adjuvant 800 mg/d für 3 Jahre </w:t>
      </w:r>
    </w:p>
    <w:p w14:paraId="4EEA7302" w14:textId="77777777" w:rsidR="00D00A54" w:rsidRPr="00D00A54" w:rsidRDefault="00D00A54" w:rsidP="00D00A54">
      <w:pPr>
        <w:pStyle w:val="Textkrper-Einzug2"/>
        <w:spacing w:after="0" w:line="276" w:lineRule="auto"/>
        <w:ind w:left="0"/>
        <w:jc w:val="both"/>
        <w:rPr>
          <w:rFonts w:ascii="Calibri" w:hAnsi="Calibri" w:cs="Calibri"/>
          <w:szCs w:val="22"/>
        </w:rPr>
      </w:pPr>
    </w:p>
    <w:p w14:paraId="134AEA7F" w14:textId="77777777" w:rsidR="00D00A54" w:rsidRPr="00D00A54" w:rsidRDefault="00D00A54" w:rsidP="00D00A54">
      <w:pPr>
        <w:pStyle w:val="Textkrper-Einzug2"/>
        <w:spacing w:after="0" w:line="276" w:lineRule="auto"/>
        <w:ind w:left="0" w:firstLine="284"/>
        <w:jc w:val="both"/>
        <w:rPr>
          <w:rFonts w:ascii="Calibri" w:hAnsi="Calibri" w:cs="Calibri"/>
          <w:szCs w:val="22"/>
        </w:rPr>
      </w:pPr>
      <w:r w:rsidRPr="00D00A54">
        <w:rPr>
          <w:rFonts w:ascii="Calibri" w:hAnsi="Calibri" w:cs="Calibri"/>
          <w:szCs w:val="22"/>
        </w:rPr>
        <w:t>5.</w:t>
      </w:r>
      <w:r w:rsidRPr="00D00A54">
        <w:rPr>
          <w:rFonts w:ascii="Calibri" w:hAnsi="Calibri" w:cs="Calibri"/>
          <w:szCs w:val="22"/>
        </w:rPr>
        <w:tab/>
        <w:t xml:space="preserve">„Wildtyp“ GISTe (keine KIT oder PDGFRA Mutation nachweisbar) sind ein Streitfall, für die es keine eindeutige Antwort gibt. Wie Tabelle 5 (s.o.) zeigt, fällt das Ansprechen auf Imatinib sehr unterschiedlich aus, so </w:t>
      </w:r>
      <w:r>
        <w:rPr>
          <w:rFonts w:ascii="Calibri" w:hAnsi="Calibri" w:cs="Calibri"/>
          <w:szCs w:val="22"/>
        </w:rPr>
        <w:t>dass</w:t>
      </w:r>
      <w:r w:rsidRPr="00D00A54">
        <w:rPr>
          <w:rFonts w:ascii="Calibri" w:hAnsi="Calibri" w:cs="Calibri"/>
          <w:szCs w:val="22"/>
        </w:rPr>
        <w:t xml:space="preserve"> von Fall zu Fall entschieden werden sollte.</w:t>
      </w:r>
      <w:r w:rsidRPr="00D00A54">
        <w:rPr>
          <w:rFonts w:ascii="Calibri" w:hAnsi="Calibri" w:cs="Calibri"/>
          <w:szCs w:val="22"/>
        </w:rPr>
        <w:tab/>
      </w:r>
    </w:p>
    <w:p w14:paraId="3C12CAA7" w14:textId="77777777" w:rsidR="00D00A54" w:rsidRPr="00D00A54" w:rsidRDefault="00D00A54" w:rsidP="00D00A54">
      <w:pPr>
        <w:pStyle w:val="Textkrper-Einzug2"/>
        <w:spacing w:after="0" w:line="276" w:lineRule="auto"/>
        <w:ind w:left="0"/>
        <w:jc w:val="both"/>
        <w:rPr>
          <w:rFonts w:ascii="Calibri" w:hAnsi="Calibri" w:cs="Calibri"/>
          <w:szCs w:val="22"/>
        </w:rPr>
      </w:pPr>
    </w:p>
    <w:p w14:paraId="37F52B35" w14:textId="1F4800AE" w:rsidR="00E26DAD" w:rsidRPr="00D62E15" w:rsidRDefault="00D00A54" w:rsidP="00D00A54">
      <w:pPr>
        <w:pStyle w:val="Textkrper-Einzug2"/>
        <w:spacing w:after="0" w:line="276" w:lineRule="auto"/>
        <w:ind w:left="0"/>
        <w:jc w:val="both"/>
        <w:rPr>
          <w:rFonts w:ascii="Calibri" w:hAnsi="Calibri" w:cs="Calibri"/>
          <w:color w:val="000000" w:themeColor="text1"/>
          <w:szCs w:val="22"/>
        </w:rPr>
      </w:pPr>
      <w:r w:rsidRPr="00D00A54">
        <w:rPr>
          <w:rFonts w:ascii="Calibri" w:hAnsi="Calibri" w:cs="Calibri"/>
          <w:szCs w:val="22"/>
        </w:rPr>
        <w:t>Mittlerweile gibt es verläßliche Daten, die zeigen, da</w:t>
      </w:r>
      <w:r>
        <w:rPr>
          <w:rFonts w:ascii="Calibri" w:hAnsi="Calibri" w:cs="Calibri"/>
          <w:szCs w:val="22"/>
        </w:rPr>
        <w:t>ss</w:t>
      </w:r>
      <w:r w:rsidRPr="00D00A54">
        <w:rPr>
          <w:rFonts w:ascii="Calibri" w:hAnsi="Calibri" w:cs="Calibri"/>
          <w:szCs w:val="22"/>
        </w:rPr>
        <w:t xml:space="preserve"> 3 Jahre Imatinib besser als kein oder nur 1 Jahr sind (</w:t>
      </w:r>
      <w:r w:rsidR="00BD0AEF" w:rsidRPr="00D62E15">
        <w:rPr>
          <w:rFonts w:ascii="Calibri" w:hAnsi="Calibri" w:cs="Calibri"/>
          <w:color w:val="000000" w:themeColor="text1"/>
          <w:szCs w:val="22"/>
        </w:rPr>
        <w:t>41,42</w:t>
      </w:r>
      <w:r w:rsidRPr="00D62E15">
        <w:rPr>
          <w:rFonts w:ascii="Calibri" w:hAnsi="Calibri" w:cs="Calibri"/>
          <w:color w:val="000000" w:themeColor="text1"/>
          <w:szCs w:val="22"/>
        </w:rPr>
        <w:t>). Es ist davon auszugehen, dass zukünftige Studien für eine Imatinib Therapie sprechen werden, die über 3 Jahre hinausgeht.</w:t>
      </w:r>
    </w:p>
    <w:p w14:paraId="53874F1E" w14:textId="3B0BDDBE" w:rsidR="00D00A54" w:rsidRPr="00D62E15" w:rsidRDefault="00E26DAD" w:rsidP="00D00A54">
      <w:pPr>
        <w:pStyle w:val="Textkrper-Einzug2"/>
        <w:spacing w:after="0" w:line="276" w:lineRule="auto"/>
        <w:ind w:left="0"/>
        <w:jc w:val="both"/>
        <w:rPr>
          <w:rFonts w:ascii="Calibri" w:hAnsi="Calibri" w:cs="Calibri"/>
          <w:color w:val="000000" w:themeColor="text1"/>
          <w:szCs w:val="22"/>
        </w:rPr>
      </w:pPr>
      <w:r w:rsidRPr="00D62E15">
        <w:rPr>
          <w:rFonts w:ascii="Calibri" w:hAnsi="Calibri" w:cs="Calibri"/>
          <w:color w:val="000000" w:themeColor="text1"/>
          <w:szCs w:val="22"/>
        </w:rPr>
        <w:t>In einer einarmigen Phase 2 Studie (PERSIST), zeigt sich für Hochriskiko-Patienten bei einer verlängerten Einnahme über 5 Jahre ein Rezidivfreies Überleben von 90 bzw. 81% nach 5 bzw. 8 Jahren. Bei fehlendem Kontrollarm sind die Aussage dieser Studie sicherlich begrenzt. (</w:t>
      </w:r>
      <w:r w:rsidR="008F5EE6" w:rsidRPr="00D62E15">
        <w:rPr>
          <w:rFonts w:ascii="Calibri" w:hAnsi="Calibri" w:cs="Calibri"/>
          <w:color w:val="000000" w:themeColor="text1"/>
          <w:szCs w:val="22"/>
        </w:rPr>
        <w:t>38</w:t>
      </w:r>
      <w:r w:rsidRPr="00D62E15">
        <w:rPr>
          <w:rFonts w:ascii="Calibri" w:hAnsi="Calibri" w:cs="Calibri"/>
          <w:color w:val="000000" w:themeColor="text1"/>
          <w:szCs w:val="22"/>
        </w:rPr>
        <w:t>)</w:t>
      </w:r>
    </w:p>
    <w:p w14:paraId="08F31AF4" w14:textId="77777777" w:rsidR="00E26DAD" w:rsidRPr="00D62E15" w:rsidRDefault="00E26DAD" w:rsidP="00D62E15">
      <w:pPr>
        <w:pStyle w:val="Textkrper-Einzug2"/>
        <w:spacing w:after="0" w:line="276" w:lineRule="auto"/>
        <w:ind w:left="0"/>
        <w:jc w:val="both"/>
        <w:rPr>
          <w:rFonts w:ascii="Calibri" w:hAnsi="Calibri" w:cs="Calibri"/>
          <w:szCs w:val="22"/>
        </w:rPr>
      </w:pPr>
      <w:r w:rsidRPr="00D62E15">
        <w:rPr>
          <w:rFonts w:ascii="Calibri" w:hAnsi="Calibri" w:cs="Calibri"/>
          <w:szCs w:val="22"/>
        </w:rPr>
        <w:lastRenderedPageBreak/>
        <w:t>Aktuell laufen 2 Phase 3 Studien (</w:t>
      </w:r>
      <w:r w:rsidRPr="00D62E15">
        <w:rPr>
          <w:rFonts w:ascii="Calibri" w:hAnsi="Calibri" w:cs="Calibri"/>
        </w:rPr>
        <w:t xml:space="preserve">IMADGIST; </w:t>
      </w:r>
      <w:r w:rsidRPr="00D62E15">
        <w:rPr>
          <w:rFonts w:ascii="Calibri" w:hAnsi="Calibri" w:cs="Calibri"/>
          <w:szCs w:val="22"/>
        </w:rPr>
        <w:t xml:space="preserve">ClinicalTrials.gov Identifier: NCT02260505 bzw. </w:t>
      </w:r>
      <w:r w:rsidRPr="00D62E15">
        <w:rPr>
          <w:rFonts w:ascii="Calibri" w:hAnsi="Calibri" w:cs="Calibri"/>
        </w:rPr>
        <w:t xml:space="preserve">sSGXXII; </w:t>
      </w:r>
      <w:r w:rsidRPr="00D62E15">
        <w:rPr>
          <w:rFonts w:ascii="Calibri" w:hAnsi="Calibri" w:cs="Calibri"/>
          <w:szCs w:val="22"/>
        </w:rPr>
        <w:t>ClinicalTrials.gov Identifier: NCT02413736), die sich mit einer verlängerten Therapie befassen.</w:t>
      </w:r>
    </w:p>
    <w:p w14:paraId="715DA913" w14:textId="2DAECE29" w:rsidR="00D00A54" w:rsidRDefault="00D00A54" w:rsidP="00D00A54">
      <w:pPr>
        <w:pStyle w:val="Textkrper-Einzug2"/>
        <w:spacing w:after="0" w:line="276" w:lineRule="auto"/>
        <w:ind w:left="0"/>
        <w:jc w:val="both"/>
        <w:rPr>
          <w:rFonts w:ascii="Calibri" w:hAnsi="Calibri" w:cs="Calibri"/>
          <w:szCs w:val="22"/>
        </w:rPr>
      </w:pPr>
      <w:r w:rsidRPr="00D62E15">
        <w:rPr>
          <w:rFonts w:ascii="Calibri" w:hAnsi="Calibri" w:cs="Calibri"/>
          <w:szCs w:val="22"/>
        </w:rPr>
        <w:t>Die folgende Abbildung zeigt Überlebenskurven für rezidivfreies und Gesamtüberleben zweier Populationen, die entweder 1 oder 3 Jahre adjuvant mit Imatinib behandelt worden waren (</w:t>
      </w:r>
      <w:r w:rsidR="00351804" w:rsidRPr="00D62E15">
        <w:rPr>
          <w:rFonts w:ascii="Calibri" w:hAnsi="Calibri" w:cs="Calibri"/>
          <w:szCs w:val="22"/>
        </w:rPr>
        <w:t>43</w:t>
      </w:r>
      <w:r w:rsidRPr="00D62E15">
        <w:rPr>
          <w:rFonts w:ascii="Calibri" w:hAnsi="Calibri" w:cs="Calibri"/>
          <w:szCs w:val="22"/>
        </w:rPr>
        <w:t>).</w:t>
      </w:r>
    </w:p>
    <w:p w14:paraId="312C4513" w14:textId="77777777" w:rsidR="00D00A54" w:rsidRPr="00D00A54" w:rsidRDefault="00D00A54" w:rsidP="00D00A54">
      <w:pPr>
        <w:pStyle w:val="Textkrper-Einzug2"/>
        <w:spacing w:after="0" w:line="276" w:lineRule="auto"/>
        <w:ind w:left="0"/>
        <w:rPr>
          <w:rFonts w:ascii="Calibri" w:hAnsi="Calibri" w:cs="Calibri"/>
          <w:szCs w:val="22"/>
        </w:rPr>
      </w:pPr>
      <w:r>
        <w:rPr>
          <w:rFonts w:ascii="Calibri" w:hAnsi="Calibri" w:cs="Calibri"/>
          <w:noProof/>
          <w:szCs w:val="22"/>
          <w:lang w:eastAsia="de-AT"/>
        </w:rPr>
        <w:drawing>
          <wp:inline distT="0" distB="0" distL="0" distR="0" wp14:anchorId="70208115" wp14:editId="2A04F798">
            <wp:extent cx="3155950" cy="3882319"/>
            <wp:effectExtent l="0" t="0" r="6350" b="444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5950" cy="3882319"/>
                    </a:xfrm>
                    <a:prstGeom prst="rect">
                      <a:avLst/>
                    </a:prstGeom>
                    <a:noFill/>
                    <a:ln>
                      <a:noFill/>
                    </a:ln>
                  </pic:spPr>
                </pic:pic>
              </a:graphicData>
            </a:graphic>
          </wp:inline>
        </w:drawing>
      </w:r>
    </w:p>
    <w:p w14:paraId="0A62B775" w14:textId="77777777" w:rsidR="00D00A54" w:rsidRPr="00D00A54" w:rsidRDefault="00D00A54" w:rsidP="00D00A54">
      <w:pPr>
        <w:pStyle w:val="Textkrper-Einzug2"/>
        <w:spacing w:after="0" w:line="276" w:lineRule="auto"/>
        <w:ind w:left="0"/>
        <w:jc w:val="both"/>
        <w:rPr>
          <w:rFonts w:ascii="Calibri" w:hAnsi="Calibri" w:cs="Calibri"/>
          <w:sz w:val="8"/>
          <w:szCs w:val="8"/>
        </w:rPr>
      </w:pPr>
    </w:p>
    <w:p w14:paraId="0824B6E9" w14:textId="77777777" w:rsidR="00D00A54" w:rsidRPr="00D00A54" w:rsidRDefault="00D00A54" w:rsidP="00D00A54">
      <w:pPr>
        <w:pStyle w:val="Textkrper-Einzug2"/>
        <w:spacing w:after="0" w:line="276" w:lineRule="auto"/>
        <w:ind w:left="0"/>
        <w:jc w:val="both"/>
        <w:rPr>
          <w:rFonts w:ascii="Calibri" w:hAnsi="Calibri" w:cs="Calibri"/>
          <w:sz w:val="18"/>
          <w:szCs w:val="18"/>
        </w:rPr>
      </w:pPr>
      <w:r>
        <w:rPr>
          <w:rFonts w:ascii="Calibri" w:hAnsi="Calibri" w:cs="Calibri"/>
          <w:szCs w:val="22"/>
        </w:rPr>
        <w:tab/>
      </w:r>
      <w:r>
        <w:rPr>
          <w:rFonts w:ascii="Calibri" w:hAnsi="Calibri" w:cs="Calibri"/>
          <w:szCs w:val="22"/>
        </w:rPr>
        <w:tab/>
        <w:t xml:space="preserve">     </w:t>
      </w:r>
      <w:r w:rsidRPr="00D00A54">
        <w:rPr>
          <w:rFonts w:ascii="Calibri" w:hAnsi="Calibri" w:cs="Calibri"/>
          <w:sz w:val="18"/>
          <w:szCs w:val="18"/>
        </w:rPr>
        <w:t>Die Prozentangaben in der Bildmitte beziehen sich auf das jeweilige 5-Jahres Überleben.</w:t>
      </w:r>
    </w:p>
    <w:p w14:paraId="0389ACFD" w14:textId="77777777" w:rsidR="00552774" w:rsidRPr="00D00A54" w:rsidRDefault="00552774" w:rsidP="00D00A54">
      <w:pPr>
        <w:pStyle w:val="Textkrper-Einzug2"/>
        <w:spacing w:after="0" w:line="276" w:lineRule="auto"/>
        <w:ind w:left="0"/>
        <w:jc w:val="both"/>
        <w:rPr>
          <w:rFonts w:ascii="Calibri" w:hAnsi="Calibri" w:cs="Calibri"/>
          <w:szCs w:val="22"/>
        </w:rPr>
      </w:pPr>
    </w:p>
    <w:p w14:paraId="53BE1D0E" w14:textId="77777777" w:rsidR="00D00A54" w:rsidRPr="00D00A54" w:rsidRDefault="00D00A54" w:rsidP="00D00A54">
      <w:pPr>
        <w:pStyle w:val="berschrift2"/>
      </w:pPr>
      <w:bookmarkStart w:id="13" w:name="_Toc41307600"/>
      <w:r>
        <w:t>3.2</w:t>
      </w:r>
      <w:r>
        <w:tab/>
      </w:r>
      <w:r w:rsidRPr="00D00A54">
        <w:t>Nicht metastasiert, inoperabel oder nur mit hohem Risiko operabel</w:t>
      </w:r>
      <w:bookmarkEnd w:id="13"/>
      <w:r w:rsidRPr="00D00A54">
        <w:t xml:space="preserve"> </w:t>
      </w:r>
    </w:p>
    <w:p w14:paraId="3F6D964D" w14:textId="71426C11" w:rsidR="00D00A54" w:rsidRPr="00D62E15" w:rsidRDefault="00D00A54" w:rsidP="00D00A54">
      <w:pPr>
        <w:pStyle w:val="Textkrper-Einzug2"/>
        <w:spacing w:after="0" w:line="276" w:lineRule="auto"/>
        <w:ind w:left="0"/>
        <w:jc w:val="both"/>
        <w:rPr>
          <w:rFonts w:ascii="Calibri" w:hAnsi="Calibri" w:cs="Calibri"/>
          <w:color w:val="000000" w:themeColor="text1"/>
          <w:szCs w:val="22"/>
        </w:rPr>
      </w:pPr>
      <w:r w:rsidRPr="00D00A54">
        <w:rPr>
          <w:rFonts w:ascii="Calibri" w:hAnsi="Calibri" w:cs="Calibri"/>
          <w:szCs w:val="22"/>
        </w:rPr>
        <w:t xml:space="preserve">Vorausgesetzt es liegt eine Imatinib-sensitive Mutation vor, kann Imatinib auch in der neoadjuvanten Therapie eingesetzt werden. Die Erfahrungen mit neoadjuvaten Imatinib sind noch limitiert, da nur wenige neoadjuvante Studien bis </w:t>
      </w:r>
      <w:r w:rsidRPr="00D62E15">
        <w:rPr>
          <w:rFonts w:ascii="Calibri" w:hAnsi="Calibri" w:cs="Calibri"/>
          <w:color w:val="000000" w:themeColor="text1"/>
          <w:szCs w:val="22"/>
        </w:rPr>
        <w:t>dato publiziert wurden (</w:t>
      </w:r>
      <w:r w:rsidR="00F820BC" w:rsidRPr="00D62E15">
        <w:rPr>
          <w:rFonts w:ascii="Calibri" w:hAnsi="Calibri" w:cs="Calibri"/>
          <w:color w:val="000000" w:themeColor="text1"/>
          <w:szCs w:val="22"/>
        </w:rPr>
        <w:t>45-48</w:t>
      </w:r>
      <w:r w:rsidRPr="00D62E15">
        <w:rPr>
          <w:rFonts w:ascii="Calibri" w:hAnsi="Calibri" w:cs="Calibri"/>
          <w:color w:val="000000" w:themeColor="text1"/>
          <w:szCs w:val="22"/>
        </w:rPr>
        <w:t xml:space="preserve">). </w:t>
      </w:r>
    </w:p>
    <w:p w14:paraId="6A2BD73F" w14:textId="53D7A40D" w:rsidR="00D00A54" w:rsidRPr="00D62E15" w:rsidRDefault="00432BA3" w:rsidP="00D00A54">
      <w:pPr>
        <w:pStyle w:val="Textkrper-Einzug2"/>
        <w:spacing w:after="0" w:line="276" w:lineRule="auto"/>
        <w:ind w:left="0"/>
        <w:jc w:val="both"/>
        <w:rPr>
          <w:rFonts w:ascii="Calibri" w:hAnsi="Calibri" w:cs="Calibri"/>
          <w:color w:val="000000" w:themeColor="text1"/>
          <w:szCs w:val="22"/>
        </w:rPr>
      </w:pPr>
      <w:r w:rsidRPr="00D62E15">
        <w:rPr>
          <w:rFonts w:ascii="Calibri" w:hAnsi="Calibri" w:cs="Calibri"/>
          <w:color w:val="000000" w:themeColor="text1"/>
          <w:szCs w:val="22"/>
        </w:rPr>
        <w:t>Laut ESMO Leitlinien 201</w:t>
      </w:r>
      <w:r w:rsidR="00E64A04" w:rsidRPr="00D62E15">
        <w:rPr>
          <w:rFonts w:ascii="Calibri" w:hAnsi="Calibri" w:cs="Calibri"/>
          <w:color w:val="000000" w:themeColor="text1"/>
          <w:szCs w:val="22"/>
        </w:rPr>
        <w:t>4</w:t>
      </w:r>
      <w:r w:rsidR="00D00A54" w:rsidRPr="00D62E15">
        <w:rPr>
          <w:rFonts w:ascii="Calibri" w:hAnsi="Calibri" w:cs="Calibri"/>
          <w:color w:val="000000" w:themeColor="text1"/>
          <w:szCs w:val="22"/>
        </w:rPr>
        <w:t xml:space="preserve"> sind Patienten im nicht metastasiertem Stadium, deren GIST inoperabel ist oder nur mit einem erhöhtem Risiko zu operieren wäre, Anwärter für eine präoperative (neoadjuvante) Imatinib-Therapie (</w:t>
      </w:r>
      <w:r w:rsidR="00F820BC" w:rsidRPr="00D62E15">
        <w:rPr>
          <w:rFonts w:ascii="Calibri" w:hAnsi="Calibri" w:cs="Calibri"/>
          <w:color w:val="000000" w:themeColor="text1"/>
          <w:szCs w:val="22"/>
        </w:rPr>
        <w:t>49</w:t>
      </w:r>
      <w:r w:rsidR="00D00A54" w:rsidRPr="00D62E15">
        <w:rPr>
          <w:rFonts w:ascii="Calibri" w:hAnsi="Calibri" w:cs="Calibri"/>
          <w:color w:val="000000" w:themeColor="text1"/>
          <w:szCs w:val="22"/>
        </w:rPr>
        <w:t>).</w:t>
      </w:r>
      <w:r w:rsidR="00E64A04" w:rsidRPr="00D62E15">
        <w:rPr>
          <w:rFonts w:ascii="Calibri" w:hAnsi="Calibri" w:cs="Calibri"/>
          <w:color w:val="000000" w:themeColor="text1"/>
          <w:szCs w:val="22"/>
        </w:rPr>
        <w:t xml:space="preserve"> Auch in der aktuellen Leitlinie von 2018 ist bei primärer Inoperabilität und sensitiver Therapie eine neoadjuvantes Therapiekonzept abgebildet (</w:t>
      </w:r>
      <w:r w:rsidR="00351804" w:rsidRPr="00D62E15">
        <w:rPr>
          <w:rFonts w:ascii="Calibri" w:hAnsi="Calibri" w:cs="Calibri"/>
          <w:color w:val="000000" w:themeColor="text1"/>
          <w:szCs w:val="22"/>
        </w:rPr>
        <w:t>44</w:t>
      </w:r>
      <w:r w:rsidR="00E64A04" w:rsidRPr="00D62E15">
        <w:rPr>
          <w:rFonts w:ascii="Calibri" w:hAnsi="Calibri" w:cs="Calibri"/>
          <w:color w:val="000000" w:themeColor="text1"/>
          <w:szCs w:val="22"/>
        </w:rPr>
        <w:t xml:space="preserve">). </w:t>
      </w:r>
    </w:p>
    <w:p w14:paraId="2EED6C78" w14:textId="77777777" w:rsidR="00D00A54" w:rsidRPr="00E64A04" w:rsidRDefault="00D00A54" w:rsidP="00D00A54">
      <w:pPr>
        <w:pStyle w:val="Textkrper-Einzug2"/>
        <w:spacing w:after="0" w:line="276" w:lineRule="auto"/>
        <w:ind w:left="0"/>
        <w:jc w:val="both"/>
        <w:rPr>
          <w:rFonts w:ascii="Calibri" w:hAnsi="Calibri" w:cs="Calibri"/>
          <w:color w:val="C0504D" w:themeColor="accent2"/>
          <w:szCs w:val="22"/>
        </w:rPr>
      </w:pPr>
    </w:p>
    <w:p w14:paraId="6567169A" w14:textId="77777777" w:rsidR="00D00A54" w:rsidRPr="00F250FE" w:rsidRDefault="00D00A54" w:rsidP="00D00A54">
      <w:pPr>
        <w:pStyle w:val="Textkrper-Einzug2"/>
        <w:spacing w:after="0" w:line="276" w:lineRule="auto"/>
        <w:ind w:left="0" w:firstLine="284"/>
        <w:jc w:val="both"/>
        <w:rPr>
          <w:rFonts w:ascii="Calibri" w:hAnsi="Calibri" w:cs="Calibri"/>
          <w:i/>
          <w:szCs w:val="22"/>
          <w:lang w:val="en-US"/>
        </w:rPr>
      </w:pPr>
      <w:r w:rsidRPr="00F250FE">
        <w:rPr>
          <w:rFonts w:ascii="Calibri" w:hAnsi="Calibri" w:cs="Calibri"/>
          <w:i/>
          <w:szCs w:val="22"/>
          <w:lang w:val="en-US"/>
        </w:rPr>
        <w:t>&gt;&gt; If R0 surgery is not feasible, or if it could be achieved through less-mutilating surgery with cytoreduction (i.e. tumor size reduction), imatinib pretreatment is recommended; this is also the case if the surgeon believes the surgery could be made safer (i.e. decreased bleeding and tumor rupture) &lt;&lt;</w:t>
      </w:r>
    </w:p>
    <w:p w14:paraId="3EDAF813" w14:textId="77777777" w:rsidR="00D00A54" w:rsidRPr="00F250FE" w:rsidRDefault="00D00A54" w:rsidP="00D00A54">
      <w:pPr>
        <w:pStyle w:val="Textkrper-Einzug2"/>
        <w:spacing w:after="0" w:line="276" w:lineRule="auto"/>
        <w:ind w:left="0"/>
        <w:jc w:val="both"/>
        <w:rPr>
          <w:rFonts w:ascii="Calibri" w:hAnsi="Calibri" w:cs="Calibri"/>
          <w:szCs w:val="22"/>
          <w:lang w:val="en-US"/>
        </w:rPr>
      </w:pPr>
    </w:p>
    <w:p w14:paraId="716BBA7B" w14:textId="7E611206" w:rsidR="00D00A54" w:rsidRPr="00D00A54" w:rsidRDefault="00D00A54" w:rsidP="00D00A54">
      <w:pPr>
        <w:pStyle w:val="Textkrper-Einzug2"/>
        <w:spacing w:after="0" w:line="276" w:lineRule="auto"/>
        <w:ind w:left="0"/>
        <w:jc w:val="both"/>
        <w:rPr>
          <w:rFonts w:ascii="Calibri" w:hAnsi="Calibri" w:cs="Calibri"/>
          <w:szCs w:val="22"/>
        </w:rPr>
      </w:pPr>
      <w:r w:rsidRPr="00D62E15">
        <w:rPr>
          <w:rFonts w:ascii="Calibri" w:hAnsi="Calibri" w:cs="Calibri"/>
          <w:szCs w:val="22"/>
        </w:rPr>
        <w:t>NCCN hat für das neoadjuvante Setting folgende Empfehlungen (</w:t>
      </w:r>
      <w:r w:rsidR="00F820BC" w:rsidRPr="00D62E15">
        <w:rPr>
          <w:rFonts w:ascii="Calibri" w:hAnsi="Calibri" w:cs="Calibri"/>
          <w:szCs w:val="22"/>
        </w:rPr>
        <w:t>50</w:t>
      </w:r>
      <w:r w:rsidRPr="00D62E15">
        <w:rPr>
          <w:rFonts w:ascii="Calibri" w:hAnsi="Calibri" w:cs="Calibri"/>
          <w:szCs w:val="22"/>
        </w:rPr>
        <w:t>):</w:t>
      </w:r>
    </w:p>
    <w:p w14:paraId="4CDDE8C2" w14:textId="77777777" w:rsidR="00D00A54" w:rsidRPr="00F250FE" w:rsidRDefault="00D00A54" w:rsidP="00D00A54">
      <w:pPr>
        <w:pStyle w:val="Textkrper-Einzug2"/>
        <w:spacing w:after="0" w:line="276" w:lineRule="auto"/>
        <w:ind w:left="0" w:firstLine="284"/>
        <w:jc w:val="both"/>
        <w:rPr>
          <w:rFonts w:ascii="Calibri" w:hAnsi="Calibri" w:cs="Calibri"/>
          <w:i/>
          <w:szCs w:val="22"/>
          <w:lang w:val="en-US"/>
        </w:rPr>
      </w:pPr>
      <w:r w:rsidRPr="00F250FE">
        <w:rPr>
          <w:rFonts w:ascii="Calibri" w:hAnsi="Calibri" w:cs="Calibri"/>
          <w:i/>
          <w:szCs w:val="22"/>
          <w:lang w:val="en-US"/>
        </w:rPr>
        <w:t xml:space="preserve">&gt;&gt; Recommended for patients with marginally resectable GIST, or for patients whose surgical morbidity could be improved by preoperative reduction of tumor size. Close monitoring is essential as some patients that are marginally resectable may rapidly progress to unresectable. PET may give indication of imatinib activity after 2 to 4 weeks of therapy, although PET is not a substitute for diagnostic CT. No distinction </w:t>
      </w:r>
      <w:r w:rsidRPr="00F250FE">
        <w:rPr>
          <w:rFonts w:ascii="Calibri" w:hAnsi="Calibri" w:cs="Calibri"/>
          <w:i/>
          <w:szCs w:val="22"/>
          <w:lang w:val="en-US"/>
        </w:rPr>
        <w:lastRenderedPageBreak/>
        <w:t>made between dosing for preoperative and other settings; recommended starting dose is 400 mg/day, but a dose of 800 mg/day should be considered for those patients with KIT exon 9 mutations. Dosing can be stopped right before surgery and restarted as soon as the patient is able to tolerate oral medications &lt;&lt;</w:t>
      </w:r>
    </w:p>
    <w:p w14:paraId="78373FDA" w14:textId="77777777" w:rsidR="00D00A54" w:rsidRPr="00F250FE" w:rsidRDefault="00D00A54" w:rsidP="00D00A54">
      <w:pPr>
        <w:pStyle w:val="Textkrper-Einzug2"/>
        <w:spacing w:after="0" w:line="276" w:lineRule="auto"/>
        <w:ind w:left="0"/>
        <w:jc w:val="both"/>
        <w:rPr>
          <w:rFonts w:ascii="Calibri" w:hAnsi="Calibri" w:cs="Calibri"/>
          <w:szCs w:val="22"/>
          <w:lang w:val="en-US"/>
        </w:rPr>
      </w:pPr>
    </w:p>
    <w:p w14:paraId="7A99852E" w14:textId="4C8154CD" w:rsidR="00D00A54" w:rsidRPr="00D62E15" w:rsidRDefault="00D00A54" w:rsidP="00D00A54">
      <w:pPr>
        <w:pStyle w:val="Textkrper-Einzug2"/>
        <w:spacing w:after="0" w:line="276" w:lineRule="auto"/>
        <w:ind w:left="0"/>
        <w:jc w:val="both"/>
        <w:rPr>
          <w:rFonts w:ascii="Calibri" w:hAnsi="Calibri" w:cs="Calibri"/>
          <w:szCs w:val="22"/>
        </w:rPr>
      </w:pPr>
      <w:r w:rsidRPr="00D00A54">
        <w:rPr>
          <w:rFonts w:ascii="Calibri" w:hAnsi="Calibri" w:cs="Calibri"/>
          <w:szCs w:val="22"/>
        </w:rPr>
        <w:t xml:space="preserve">Bzgl. der </w:t>
      </w:r>
      <w:r w:rsidRPr="00D62E15">
        <w:rPr>
          <w:rFonts w:ascii="Calibri" w:hAnsi="Calibri" w:cs="Calibri"/>
          <w:szCs w:val="22"/>
        </w:rPr>
        <w:t>präoperativen Behandlungsdauer gibt es keine klaren Empfehlungen. In den meisten Berichten erfolgte die Behandlung für 2 - 6, gelegentlich auch bis zu 12 Monate (</w:t>
      </w:r>
      <w:r w:rsidR="00F820BC" w:rsidRPr="00D62E15">
        <w:rPr>
          <w:rFonts w:ascii="Calibri" w:hAnsi="Calibri" w:cs="Calibri"/>
          <w:szCs w:val="22"/>
        </w:rPr>
        <w:t>48,</w:t>
      </w:r>
      <w:r w:rsidRPr="00D62E15">
        <w:rPr>
          <w:rFonts w:ascii="Calibri" w:hAnsi="Calibri" w:cs="Calibri"/>
          <w:szCs w:val="22"/>
        </w:rPr>
        <w:t xml:space="preserve"> </w:t>
      </w:r>
      <w:r w:rsidR="00F820BC" w:rsidRPr="00D62E15">
        <w:rPr>
          <w:rFonts w:ascii="Calibri" w:hAnsi="Calibri" w:cs="Calibri"/>
          <w:szCs w:val="22"/>
        </w:rPr>
        <w:t>50</w:t>
      </w:r>
      <w:r w:rsidR="00E64A04" w:rsidRPr="00D62E15">
        <w:rPr>
          <w:rFonts w:ascii="Calibri" w:hAnsi="Calibri" w:cs="Calibri"/>
          <w:szCs w:val="22"/>
        </w:rPr>
        <w:t xml:space="preserve">). Das Therapieansprechen soll mittels PET-CT überprüft werden. </w:t>
      </w:r>
    </w:p>
    <w:p w14:paraId="6E9720A2" w14:textId="77777777" w:rsidR="00552774" w:rsidRPr="00D62E15" w:rsidRDefault="00552774" w:rsidP="00D00A54">
      <w:pPr>
        <w:pStyle w:val="Textkrper-Einzug2"/>
        <w:spacing w:after="0" w:line="276" w:lineRule="auto"/>
        <w:ind w:left="0"/>
        <w:jc w:val="both"/>
        <w:rPr>
          <w:rFonts w:ascii="Calibri" w:hAnsi="Calibri" w:cs="Calibri"/>
          <w:szCs w:val="22"/>
        </w:rPr>
      </w:pPr>
    </w:p>
    <w:p w14:paraId="36CBC87C" w14:textId="77777777" w:rsidR="00D00A54" w:rsidRPr="00D62E15" w:rsidRDefault="00D00A54" w:rsidP="00D00A54">
      <w:pPr>
        <w:pStyle w:val="berschrift2"/>
      </w:pPr>
      <w:bookmarkStart w:id="14" w:name="_Toc41307601"/>
      <w:r w:rsidRPr="00D62E15">
        <w:t>3.3</w:t>
      </w:r>
      <w:r w:rsidRPr="00D62E15">
        <w:tab/>
        <w:t>Metastasiert</w:t>
      </w:r>
      <w:bookmarkEnd w:id="14"/>
    </w:p>
    <w:p w14:paraId="42D70A99" w14:textId="7BEC3A74" w:rsidR="00D00A54" w:rsidRPr="00D62E15" w:rsidRDefault="00D00A54" w:rsidP="00D00A54">
      <w:pPr>
        <w:pStyle w:val="Textkrper-Einzug2"/>
        <w:spacing w:after="0" w:line="276" w:lineRule="auto"/>
        <w:ind w:left="0"/>
        <w:jc w:val="both"/>
        <w:rPr>
          <w:rFonts w:ascii="Calibri" w:hAnsi="Calibri" w:cs="Calibri"/>
          <w:szCs w:val="22"/>
        </w:rPr>
      </w:pPr>
      <w:r w:rsidRPr="00D62E15">
        <w:rPr>
          <w:rFonts w:ascii="Calibri" w:hAnsi="Calibri" w:cs="Calibri"/>
          <w:szCs w:val="22"/>
        </w:rPr>
        <w:t xml:space="preserve">Vorausgesetzt es liegt eine Imatinib-sensitive Mutation vor, sollte Imatinib auch im metastasiertem Zustand eingesetzt werden. Klinische Studien zeigen, </w:t>
      </w:r>
      <w:r w:rsidR="00BD39AF" w:rsidRPr="00D62E15">
        <w:rPr>
          <w:rFonts w:ascii="Calibri" w:hAnsi="Calibri" w:cs="Calibri"/>
          <w:szCs w:val="22"/>
        </w:rPr>
        <w:t>dass</w:t>
      </w:r>
      <w:r w:rsidRPr="00D62E15">
        <w:rPr>
          <w:rFonts w:ascii="Calibri" w:hAnsi="Calibri" w:cs="Calibri"/>
          <w:szCs w:val="22"/>
        </w:rPr>
        <w:t xml:space="preserve"> 83 - 89 % aller Patienten ansprechen (SD oder besser) und sich nur 11-17 % sich als progredient erweisen. Das mediane 5-Jahre progressionsfreie Überleben liegt bei 50-55 %. Nach einem Jahr sind ca. 85 % der Patienten und nach 2 Jahren 69 % am Leben. (</w:t>
      </w:r>
      <w:r w:rsidR="00F820BC" w:rsidRPr="00D62E15">
        <w:rPr>
          <w:rFonts w:ascii="Calibri" w:hAnsi="Calibri" w:cs="Calibri"/>
          <w:szCs w:val="22"/>
        </w:rPr>
        <w:t>51-53</w:t>
      </w:r>
      <w:r w:rsidRPr="00D62E15">
        <w:rPr>
          <w:rFonts w:ascii="Calibri" w:hAnsi="Calibri" w:cs="Calibri"/>
          <w:szCs w:val="22"/>
        </w:rPr>
        <w:t xml:space="preserve">). Die Studien belegen, auch, </w:t>
      </w:r>
      <w:r w:rsidR="00BD39AF" w:rsidRPr="00D62E15">
        <w:rPr>
          <w:rFonts w:ascii="Calibri" w:hAnsi="Calibri" w:cs="Calibri"/>
          <w:szCs w:val="22"/>
        </w:rPr>
        <w:t>dass</w:t>
      </w:r>
      <w:r w:rsidRPr="00D62E15">
        <w:rPr>
          <w:rFonts w:ascii="Calibri" w:hAnsi="Calibri" w:cs="Calibri"/>
          <w:szCs w:val="22"/>
        </w:rPr>
        <w:t>, abgesehen von KIT Exon 9 Mutationen, 400 mg/d Imatinib nicht schlechter als 800 mg/d sind (</w:t>
      </w:r>
      <w:r w:rsidR="00F820BC" w:rsidRPr="00D62E15">
        <w:rPr>
          <w:rFonts w:ascii="Calibri" w:hAnsi="Calibri" w:cs="Calibri"/>
          <w:szCs w:val="22"/>
        </w:rPr>
        <w:t>51,53</w:t>
      </w:r>
      <w:r w:rsidRPr="00D62E15">
        <w:rPr>
          <w:rFonts w:ascii="Calibri" w:hAnsi="Calibri" w:cs="Calibri"/>
          <w:szCs w:val="22"/>
        </w:rPr>
        <w:t xml:space="preserve">). Chemotherapie spielt bei GIST keine Rolle (46) . </w:t>
      </w:r>
    </w:p>
    <w:p w14:paraId="4EBE6958" w14:textId="77777777" w:rsidR="00D00A54" w:rsidRPr="00D62E15" w:rsidRDefault="00D00A54" w:rsidP="00D00A54">
      <w:pPr>
        <w:pStyle w:val="Textkrper-Einzug2"/>
        <w:spacing w:after="0" w:line="276" w:lineRule="auto"/>
        <w:ind w:left="0"/>
        <w:jc w:val="both"/>
        <w:rPr>
          <w:rFonts w:ascii="Calibri" w:hAnsi="Calibri" w:cs="Calibri"/>
          <w:szCs w:val="22"/>
        </w:rPr>
      </w:pPr>
    </w:p>
    <w:p w14:paraId="79DC4608" w14:textId="734C4364" w:rsidR="00D00A54" w:rsidRPr="00D00A54" w:rsidRDefault="00D00A54" w:rsidP="00D00A54">
      <w:pPr>
        <w:pStyle w:val="Textkrper-Einzug2"/>
        <w:spacing w:after="0" w:line="276" w:lineRule="auto"/>
        <w:ind w:left="0"/>
        <w:jc w:val="both"/>
        <w:rPr>
          <w:rFonts w:ascii="Calibri" w:hAnsi="Calibri" w:cs="Calibri"/>
          <w:szCs w:val="22"/>
        </w:rPr>
      </w:pPr>
      <w:r w:rsidRPr="00D62E15">
        <w:rPr>
          <w:rFonts w:ascii="Calibri" w:hAnsi="Calibri" w:cs="Calibri"/>
          <w:szCs w:val="22"/>
        </w:rPr>
        <w:t>Eine Unterbrechung von Imatinib bei Patienten, die im metastasierten Stadium ansprechen, sollte unterlassen werden.  Ein Aussetzen von Imatinib führt in der Regel zu einem weiteren Rezidiv innerhalb eines Jahres (</w:t>
      </w:r>
      <w:r w:rsidR="00F820BC" w:rsidRPr="00D62E15">
        <w:rPr>
          <w:rFonts w:ascii="Calibri" w:hAnsi="Calibri" w:cs="Calibri"/>
          <w:szCs w:val="22"/>
        </w:rPr>
        <w:t>54</w:t>
      </w:r>
      <w:r w:rsidRPr="00D62E15">
        <w:rPr>
          <w:rFonts w:ascii="Calibri" w:hAnsi="Calibri" w:cs="Calibri"/>
          <w:szCs w:val="22"/>
        </w:rPr>
        <w:t>).</w:t>
      </w:r>
    </w:p>
    <w:p w14:paraId="1277A4C8" w14:textId="77777777" w:rsidR="00D00A54" w:rsidRPr="00D00A54" w:rsidRDefault="00D00A54" w:rsidP="00D00A54">
      <w:pPr>
        <w:pStyle w:val="Textkrper-Einzug2"/>
        <w:spacing w:after="0" w:line="276" w:lineRule="auto"/>
        <w:ind w:left="0"/>
        <w:jc w:val="both"/>
        <w:rPr>
          <w:rFonts w:ascii="Calibri" w:hAnsi="Calibri" w:cs="Calibri"/>
          <w:szCs w:val="22"/>
        </w:rPr>
      </w:pPr>
    </w:p>
    <w:p w14:paraId="12F95A83" w14:textId="77777777" w:rsidR="00D00A54" w:rsidRPr="00D00A54" w:rsidRDefault="00D00A54" w:rsidP="00D00A54">
      <w:pPr>
        <w:pStyle w:val="berschrift2"/>
      </w:pPr>
      <w:bookmarkStart w:id="15" w:name="_Toc41307602"/>
      <w:r>
        <w:t>3.4</w:t>
      </w:r>
      <w:r w:rsidRPr="00D00A54">
        <w:t xml:space="preserve">. </w:t>
      </w:r>
      <w:r w:rsidRPr="00D00A54">
        <w:tab/>
        <w:t>Rezidiv nach adjuvanter Therapie</w:t>
      </w:r>
      <w:bookmarkEnd w:id="15"/>
    </w:p>
    <w:p w14:paraId="0311FC81" w14:textId="77777777" w:rsidR="00D00A54" w:rsidRPr="00D00A54" w:rsidRDefault="00D00A54" w:rsidP="00D00A54">
      <w:pPr>
        <w:pStyle w:val="Textkrper-Einzug2"/>
        <w:spacing w:after="0" w:line="276" w:lineRule="auto"/>
        <w:ind w:left="0"/>
        <w:jc w:val="both"/>
        <w:rPr>
          <w:rFonts w:ascii="Calibri" w:hAnsi="Calibri" w:cs="Calibri"/>
          <w:szCs w:val="22"/>
        </w:rPr>
      </w:pPr>
      <w:r w:rsidRPr="00D00A54">
        <w:rPr>
          <w:rFonts w:ascii="Calibri" w:hAnsi="Calibri" w:cs="Calibri"/>
          <w:szCs w:val="22"/>
        </w:rPr>
        <w:t>GISTe die nach Beendigung einer adjuvanten Therapie mit Imatinib rezidivieren, sind meist wiederum Imatinib-sensitiv und können damit kontrolliert werden (3). Bei Nicht-Ansprechen oder Progress unter Imatinib s. Abschnitt 7.4.</w:t>
      </w:r>
    </w:p>
    <w:p w14:paraId="64109B15" w14:textId="77777777" w:rsidR="00D00A54" w:rsidRPr="00D00A54" w:rsidRDefault="00D00A54" w:rsidP="00D00A54">
      <w:pPr>
        <w:pStyle w:val="Textkrper-Einzug2"/>
        <w:spacing w:after="0" w:line="276" w:lineRule="auto"/>
        <w:ind w:left="0"/>
        <w:jc w:val="both"/>
        <w:rPr>
          <w:rFonts w:ascii="Calibri" w:hAnsi="Calibri" w:cs="Calibri"/>
          <w:szCs w:val="22"/>
        </w:rPr>
      </w:pPr>
    </w:p>
    <w:p w14:paraId="6C1A53A3" w14:textId="77777777" w:rsidR="00D00A54" w:rsidRPr="00D00A54" w:rsidRDefault="00D00A54" w:rsidP="00D00A54">
      <w:pPr>
        <w:pStyle w:val="Textkrper-Einzug2"/>
        <w:spacing w:after="0" w:line="276" w:lineRule="auto"/>
        <w:ind w:left="0"/>
        <w:jc w:val="both"/>
        <w:rPr>
          <w:rFonts w:cs="Arial"/>
          <w:b/>
          <w:bCs/>
          <w:i/>
          <w:iCs/>
          <w:sz w:val="24"/>
          <w:szCs w:val="24"/>
        </w:rPr>
      </w:pPr>
      <w:r>
        <w:rPr>
          <w:rFonts w:cs="Arial"/>
          <w:b/>
          <w:bCs/>
          <w:i/>
          <w:iCs/>
          <w:sz w:val="24"/>
          <w:szCs w:val="24"/>
        </w:rPr>
        <w:t>3.5</w:t>
      </w:r>
      <w:r w:rsidRPr="00D00A54">
        <w:rPr>
          <w:rFonts w:cs="Arial"/>
          <w:b/>
          <w:bCs/>
          <w:i/>
          <w:iCs/>
          <w:sz w:val="24"/>
          <w:szCs w:val="24"/>
        </w:rPr>
        <w:t xml:space="preserve"> </w:t>
      </w:r>
      <w:r w:rsidRPr="00D00A54">
        <w:rPr>
          <w:rFonts w:cs="Arial"/>
          <w:b/>
          <w:bCs/>
          <w:i/>
          <w:iCs/>
          <w:sz w:val="24"/>
          <w:szCs w:val="24"/>
        </w:rPr>
        <w:tab/>
        <w:t>Lokal ablative Verfahren</w:t>
      </w:r>
    </w:p>
    <w:p w14:paraId="49079158" w14:textId="44F879ED" w:rsidR="00D00A54" w:rsidRPr="00D00A54" w:rsidRDefault="00D00A54" w:rsidP="00D00A54">
      <w:pPr>
        <w:pStyle w:val="Textkrper-Einzug2"/>
        <w:spacing w:after="0" w:line="276" w:lineRule="auto"/>
        <w:ind w:left="0"/>
        <w:jc w:val="both"/>
        <w:rPr>
          <w:rFonts w:ascii="Calibri" w:hAnsi="Calibri" w:cs="Calibri"/>
          <w:szCs w:val="22"/>
        </w:rPr>
      </w:pPr>
      <w:r w:rsidRPr="00D00A54">
        <w:rPr>
          <w:rFonts w:ascii="Calibri" w:hAnsi="Calibri" w:cs="Calibri"/>
          <w:szCs w:val="22"/>
        </w:rPr>
        <w:t xml:space="preserve">Für die palliative Therapie von inoperablen Lebermetastasen stehen arterielle Embolisation, Chemoembolisation, Radiofrequenzablation oder SIRT zur Verfügung (3, </w:t>
      </w:r>
      <w:r w:rsidR="00BD0AEF" w:rsidRPr="00D62E15">
        <w:rPr>
          <w:rFonts w:ascii="Calibri" w:hAnsi="Calibri" w:cs="Calibri"/>
          <w:szCs w:val="22"/>
        </w:rPr>
        <w:t>55-57</w:t>
      </w:r>
      <w:r w:rsidRPr="00D62E15">
        <w:rPr>
          <w:rFonts w:ascii="Calibri" w:hAnsi="Calibri" w:cs="Calibri"/>
          <w:szCs w:val="22"/>
        </w:rPr>
        <w:t>).</w:t>
      </w:r>
      <w:r w:rsidRPr="00D00A54">
        <w:rPr>
          <w:rFonts w:ascii="Calibri" w:hAnsi="Calibri" w:cs="Calibri"/>
          <w:szCs w:val="22"/>
        </w:rPr>
        <w:t xml:space="preserve"> </w:t>
      </w:r>
    </w:p>
    <w:p w14:paraId="425FC3FF" w14:textId="77777777" w:rsidR="00D00A54" w:rsidRPr="00D00A54" w:rsidRDefault="00D00A54" w:rsidP="00D00A54">
      <w:pPr>
        <w:pStyle w:val="Textkrper-Einzug2"/>
        <w:spacing w:after="0" w:line="276" w:lineRule="auto"/>
        <w:ind w:left="0"/>
        <w:jc w:val="both"/>
        <w:rPr>
          <w:rFonts w:ascii="Calibri" w:hAnsi="Calibri" w:cs="Calibri"/>
          <w:szCs w:val="22"/>
        </w:rPr>
      </w:pPr>
    </w:p>
    <w:p w14:paraId="6EEEDE1B" w14:textId="77777777" w:rsidR="00D00A54" w:rsidRPr="00D00A54" w:rsidRDefault="00D00A54" w:rsidP="00D00A54">
      <w:pPr>
        <w:pStyle w:val="Textkrper-Einzug2"/>
        <w:spacing w:after="0" w:line="276" w:lineRule="auto"/>
        <w:ind w:left="0"/>
        <w:jc w:val="both"/>
        <w:rPr>
          <w:rFonts w:ascii="Calibri" w:hAnsi="Calibri" w:cs="Calibri"/>
          <w:szCs w:val="22"/>
        </w:rPr>
      </w:pPr>
      <w:r>
        <w:rPr>
          <w:rFonts w:cs="Arial"/>
          <w:b/>
          <w:bCs/>
          <w:i/>
          <w:iCs/>
          <w:sz w:val="24"/>
          <w:szCs w:val="24"/>
        </w:rPr>
        <w:t>3.6</w:t>
      </w:r>
      <w:r w:rsidRPr="00D00A54">
        <w:rPr>
          <w:rFonts w:cs="Arial"/>
          <w:b/>
          <w:bCs/>
          <w:i/>
          <w:iCs/>
          <w:sz w:val="24"/>
          <w:szCs w:val="24"/>
        </w:rPr>
        <w:t xml:space="preserve"> </w:t>
      </w:r>
      <w:r w:rsidRPr="00D00A54">
        <w:rPr>
          <w:rFonts w:cs="Arial"/>
          <w:b/>
          <w:bCs/>
          <w:i/>
          <w:iCs/>
          <w:sz w:val="24"/>
          <w:szCs w:val="24"/>
        </w:rPr>
        <w:tab/>
        <w:t>Metastasenchirurgie</w:t>
      </w:r>
    </w:p>
    <w:p w14:paraId="5CCBB528" w14:textId="1A2F6342" w:rsidR="00D00A54" w:rsidRDefault="00D00A54" w:rsidP="00D00A54">
      <w:pPr>
        <w:pStyle w:val="Textkrper-Einzug2"/>
        <w:spacing w:after="0" w:line="276" w:lineRule="auto"/>
        <w:ind w:left="0"/>
        <w:jc w:val="both"/>
        <w:rPr>
          <w:rFonts w:ascii="Calibri" w:hAnsi="Calibri" w:cs="Calibri"/>
          <w:szCs w:val="22"/>
        </w:rPr>
      </w:pPr>
      <w:r w:rsidRPr="00D00A54">
        <w:rPr>
          <w:rFonts w:ascii="Calibri" w:hAnsi="Calibri" w:cs="Calibri"/>
          <w:szCs w:val="22"/>
        </w:rPr>
        <w:t>Desto kleiner die Tumormasse unter palliativer Therapie mit Imatinib desto länger ist das Überleben (47). Nach dieser Logik sollte die Resektion von Tumormasse das Leben verlängern, allerdings wurde dies nie in vergleichenden Studien geprüft. Der Erfolg von chirurgischen Interventionen bei Patienten, die unter Imatinib progredient sind, ist bescheiden. Im Median beträgt das progressionsfreie Intervall nur 8-9 Monate und das progressionsfreie Überleben nach 2 Jahren beläuft sich nur auf knapp 10 % (</w:t>
      </w:r>
      <w:r w:rsidR="00BD0AEF" w:rsidRPr="00D62E15">
        <w:rPr>
          <w:rFonts w:ascii="Calibri" w:hAnsi="Calibri" w:cs="Calibri"/>
          <w:szCs w:val="22"/>
        </w:rPr>
        <w:t>58</w:t>
      </w:r>
      <w:r w:rsidR="00420DFD" w:rsidRPr="00D62E15">
        <w:rPr>
          <w:rFonts w:ascii="Calibri" w:hAnsi="Calibri" w:cs="Calibri"/>
          <w:szCs w:val="22"/>
        </w:rPr>
        <w:t>-</w:t>
      </w:r>
      <w:r w:rsidR="00BD0AEF" w:rsidRPr="00D62E15">
        <w:rPr>
          <w:rFonts w:ascii="Calibri" w:hAnsi="Calibri" w:cs="Calibri"/>
          <w:szCs w:val="22"/>
        </w:rPr>
        <w:t>60</w:t>
      </w:r>
      <w:r w:rsidRPr="00D62E15">
        <w:rPr>
          <w:rFonts w:ascii="Calibri" w:hAnsi="Calibri" w:cs="Calibri"/>
          <w:szCs w:val="22"/>
        </w:rPr>
        <w:t>).</w:t>
      </w:r>
    </w:p>
    <w:p w14:paraId="0DF1A969" w14:textId="77777777" w:rsidR="002C471F" w:rsidRPr="002C471F" w:rsidRDefault="002C471F" w:rsidP="002C471F">
      <w:pPr>
        <w:pStyle w:val="berschrift2"/>
      </w:pPr>
      <w:bookmarkStart w:id="16" w:name="_Toc41307603"/>
      <w:r>
        <w:t>3.7</w:t>
      </w:r>
      <w:r>
        <w:tab/>
      </w:r>
      <w:r w:rsidRPr="002C471F">
        <w:t>Progress unter Imatinib</w:t>
      </w:r>
      <w:bookmarkEnd w:id="16"/>
    </w:p>
    <w:p w14:paraId="0AFCC783" w14:textId="77777777" w:rsidR="002C471F" w:rsidRPr="002C471F" w:rsidRDefault="002C471F" w:rsidP="002C471F">
      <w:pPr>
        <w:pStyle w:val="Textkrper-Einzug2"/>
        <w:spacing w:after="0" w:line="276" w:lineRule="auto"/>
        <w:ind w:left="0"/>
        <w:jc w:val="both"/>
        <w:rPr>
          <w:rFonts w:ascii="Calibri" w:hAnsi="Calibri" w:cs="Calibri"/>
          <w:szCs w:val="22"/>
        </w:rPr>
      </w:pPr>
      <w:r w:rsidRPr="002C471F">
        <w:rPr>
          <w:rFonts w:ascii="Calibri" w:hAnsi="Calibri" w:cs="Calibri"/>
          <w:szCs w:val="22"/>
        </w:rPr>
        <w:t xml:space="preserve">Trotz primärer Sensitivität eines GIST gegenüber Imatinib ist es möglich, </w:t>
      </w:r>
      <w:r w:rsidR="00BD39AF">
        <w:rPr>
          <w:rFonts w:ascii="Calibri" w:hAnsi="Calibri" w:cs="Calibri"/>
          <w:szCs w:val="22"/>
        </w:rPr>
        <w:t>dass</w:t>
      </w:r>
      <w:r w:rsidRPr="002C471F">
        <w:rPr>
          <w:rFonts w:ascii="Calibri" w:hAnsi="Calibri" w:cs="Calibri"/>
          <w:szCs w:val="22"/>
        </w:rPr>
        <w:t xml:space="preserve"> das Medikament mit der Zeit seine Wirksamkeit verliert. Dies kann einerseits an 1) insuffizienten Plasmaspiegeln oder aber an der Entwicklung 2) sekundärer Resistenzen liegen. </w:t>
      </w:r>
    </w:p>
    <w:p w14:paraId="1E7EA011" w14:textId="77777777" w:rsidR="002C471F" w:rsidRPr="002C471F" w:rsidRDefault="002C471F" w:rsidP="002C471F">
      <w:pPr>
        <w:pStyle w:val="Textkrper-Einzug2"/>
        <w:spacing w:after="0" w:line="276" w:lineRule="auto"/>
        <w:ind w:left="0"/>
        <w:jc w:val="both"/>
        <w:rPr>
          <w:rFonts w:ascii="Calibri" w:hAnsi="Calibri" w:cs="Calibri"/>
          <w:szCs w:val="22"/>
        </w:rPr>
      </w:pPr>
    </w:p>
    <w:p w14:paraId="7ACF7DD8" w14:textId="77777777" w:rsidR="002C471F" w:rsidRPr="002C471F" w:rsidRDefault="002C471F" w:rsidP="002C471F">
      <w:pPr>
        <w:pStyle w:val="berschrift3"/>
        <w:numPr>
          <w:ilvl w:val="2"/>
          <w:numId w:val="28"/>
        </w:numPr>
        <w:ind w:left="709" w:hanging="709"/>
      </w:pPr>
      <w:bookmarkStart w:id="17" w:name="_Toc41307604"/>
      <w:r w:rsidRPr="002C471F">
        <w:lastRenderedPageBreak/>
        <w:t>Insuffiziente Plasmaspiegel</w:t>
      </w:r>
      <w:bookmarkEnd w:id="17"/>
    </w:p>
    <w:p w14:paraId="051BC73A" w14:textId="2927D738" w:rsidR="002C471F" w:rsidRPr="00D62E15" w:rsidRDefault="002C471F" w:rsidP="002C471F">
      <w:pPr>
        <w:pStyle w:val="Textkrper-Einzug2"/>
        <w:spacing w:after="0" w:line="276" w:lineRule="auto"/>
        <w:ind w:left="0"/>
        <w:jc w:val="both"/>
        <w:rPr>
          <w:rFonts w:ascii="Calibri" w:hAnsi="Calibri" w:cs="Calibri"/>
          <w:szCs w:val="22"/>
        </w:rPr>
      </w:pPr>
      <w:r w:rsidRPr="002C471F">
        <w:rPr>
          <w:rFonts w:ascii="Calibri" w:hAnsi="Calibri" w:cs="Calibri"/>
          <w:szCs w:val="22"/>
        </w:rPr>
        <w:t xml:space="preserve"> Die Pharmakokinetik von Imatinib kann stark variieren, insbesondere bei Patienten nach Gastrektomie. Sollten die Imatinib Talspiegel 4 Wochen nach Therapiebeginn unter 1100 µg/L liegen, kann dies negative Auswirkungen auf die klinische Effektivität </w:t>
      </w:r>
      <w:r w:rsidRPr="00D62E15">
        <w:rPr>
          <w:rFonts w:ascii="Calibri" w:hAnsi="Calibri" w:cs="Calibri"/>
          <w:szCs w:val="22"/>
        </w:rPr>
        <w:t>haben (</w:t>
      </w:r>
      <w:r w:rsidR="00420DFD" w:rsidRPr="00D62E15">
        <w:rPr>
          <w:rFonts w:ascii="Calibri" w:hAnsi="Calibri" w:cs="Calibri"/>
          <w:szCs w:val="22"/>
        </w:rPr>
        <w:t>61</w:t>
      </w:r>
      <w:r w:rsidRPr="00D62E15">
        <w:rPr>
          <w:rFonts w:ascii="Calibri" w:hAnsi="Calibri" w:cs="Calibri"/>
          <w:szCs w:val="22"/>
        </w:rPr>
        <w:t>). Dazu sinkt die Bioverfügbarkeit von Imatinib innerhalb der ersten 3 Monate der Behandlung um 30 % (</w:t>
      </w:r>
      <w:r w:rsidR="00420DFD" w:rsidRPr="00D62E15">
        <w:rPr>
          <w:rFonts w:ascii="Calibri" w:hAnsi="Calibri" w:cs="Calibri"/>
          <w:szCs w:val="22"/>
        </w:rPr>
        <w:t>62</w:t>
      </w:r>
      <w:r w:rsidRPr="00D62E15">
        <w:rPr>
          <w:rFonts w:ascii="Calibri" w:hAnsi="Calibri" w:cs="Calibri"/>
          <w:szCs w:val="22"/>
        </w:rPr>
        <w:t xml:space="preserve">). Die Ursache hierfür ist unbekannt (58). Eine Plasmaspiegelbestimmung empfiehlt sich insbesondere bei Patienten mit primär Imatinib-sensiblen Tumoren, die früh in der Behandlung nicht mehr ansprechen. Darüber hinaus sollten auf Medikamente geachtet werden, die den Imatinib Plasmaspiegel beeinflussen. Ketoconazol, Itraconazol, Grapefruit- und Granatapfelsaft erhöhen und Rifampicin und Phenytoin senken den Plasmaspiegel. </w:t>
      </w:r>
    </w:p>
    <w:p w14:paraId="15B6A403" w14:textId="77777777" w:rsidR="002C471F" w:rsidRPr="00D62E15" w:rsidRDefault="002C471F" w:rsidP="002C471F">
      <w:pPr>
        <w:pStyle w:val="Textkrper-Einzug2"/>
        <w:spacing w:after="0" w:line="276" w:lineRule="auto"/>
        <w:ind w:left="0"/>
        <w:jc w:val="both"/>
        <w:rPr>
          <w:rFonts w:ascii="Calibri" w:hAnsi="Calibri" w:cs="Calibri"/>
          <w:szCs w:val="22"/>
        </w:rPr>
      </w:pPr>
    </w:p>
    <w:p w14:paraId="1ABEB373" w14:textId="77777777" w:rsidR="002C471F" w:rsidRPr="00D62E15" w:rsidRDefault="002C471F" w:rsidP="002C471F">
      <w:pPr>
        <w:pStyle w:val="berschrift3"/>
        <w:numPr>
          <w:ilvl w:val="2"/>
          <w:numId w:val="28"/>
        </w:numPr>
        <w:ind w:left="709" w:hanging="709"/>
      </w:pPr>
      <w:bookmarkStart w:id="18" w:name="_Toc41307605"/>
      <w:r w:rsidRPr="00D62E15">
        <w:t>Sekundäre Resistenzen</w:t>
      </w:r>
      <w:bookmarkEnd w:id="18"/>
    </w:p>
    <w:p w14:paraId="20F70AA3" w14:textId="4041975D" w:rsidR="002C471F" w:rsidRPr="002C471F" w:rsidRDefault="002C471F" w:rsidP="002C471F">
      <w:pPr>
        <w:pStyle w:val="Textkrper-Einzug2"/>
        <w:spacing w:after="0" w:line="276" w:lineRule="auto"/>
        <w:ind w:left="0"/>
        <w:jc w:val="both"/>
        <w:rPr>
          <w:rFonts w:ascii="Calibri" w:hAnsi="Calibri" w:cs="Calibri"/>
          <w:szCs w:val="22"/>
        </w:rPr>
      </w:pPr>
      <w:r w:rsidRPr="00D62E15">
        <w:rPr>
          <w:rFonts w:ascii="Calibri" w:hAnsi="Calibri" w:cs="Calibri"/>
          <w:szCs w:val="22"/>
        </w:rPr>
        <w:t>Nach einem Behandlungszeitraum von 12 bis 36 Monaten entwickeln wahrscheinlich mehr als 80 % aller Patienten sekundäre Imatinib-Resistenzen. Dabei handelt es sich fast immer um Mutationen in der KIT Kinase Domäne, wodurch die Bindung von Imatinib beeinträchtigt wird (</w:t>
      </w:r>
      <w:r w:rsidR="00420DFD" w:rsidRPr="00D62E15">
        <w:rPr>
          <w:rFonts w:ascii="Calibri" w:hAnsi="Calibri" w:cs="Calibri"/>
          <w:szCs w:val="22"/>
        </w:rPr>
        <w:t>64-67</w:t>
      </w:r>
      <w:r w:rsidRPr="00D62E15">
        <w:rPr>
          <w:rFonts w:ascii="Calibri" w:hAnsi="Calibri" w:cs="Calibri"/>
          <w:szCs w:val="22"/>
        </w:rPr>
        <w:t>). Über sekundäre PDGFRA Mutationen ist wenig bekannt.</w:t>
      </w:r>
    </w:p>
    <w:p w14:paraId="405FCA1C" w14:textId="77777777" w:rsidR="002C471F" w:rsidRDefault="002C471F" w:rsidP="002C471F">
      <w:pPr>
        <w:pStyle w:val="Textkrper-Einzug2"/>
        <w:spacing w:after="0" w:line="276" w:lineRule="auto"/>
        <w:ind w:left="0"/>
        <w:jc w:val="both"/>
        <w:rPr>
          <w:rFonts w:ascii="Calibri" w:hAnsi="Calibri" w:cs="Calibri"/>
          <w:szCs w:val="22"/>
        </w:rPr>
      </w:pPr>
      <w:r w:rsidRPr="002C471F">
        <w:rPr>
          <w:rFonts w:ascii="Calibri" w:hAnsi="Calibri" w:cs="Calibri"/>
          <w:szCs w:val="22"/>
        </w:rPr>
        <w:t xml:space="preserve">Andere TKIs können einige dieser KIT Resistenzen überwinden aber es gibt keinen TKI, der alle Resistenzen überwindet. Abbildung 10 gibt einen Anhalt für die Wahl eines sekundären TKI abhängig von einer sekundären KIT Mutation. Die Abbildung zeigt auch, </w:t>
      </w:r>
      <w:r w:rsidR="00BD39AF">
        <w:rPr>
          <w:rFonts w:ascii="Calibri" w:hAnsi="Calibri" w:cs="Calibri"/>
          <w:szCs w:val="22"/>
        </w:rPr>
        <w:t>dass</w:t>
      </w:r>
      <w:r w:rsidRPr="002C471F">
        <w:rPr>
          <w:rFonts w:ascii="Calibri" w:hAnsi="Calibri" w:cs="Calibri"/>
          <w:szCs w:val="22"/>
        </w:rPr>
        <w:t xml:space="preserve"> sekundäre KIT Mutationen in Exons auftreten, die typischerweise nicht von primären Mutationen betroffen sind, z.B. KIT Exon 14 und 18. </w:t>
      </w:r>
    </w:p>
    <w:p w14:paraId="35D9652C" w14:textId="77777777" w:rsidR="002C471F" w:rsidRPr="005E26C3" w:rsidRDefault="002C471F" w:rsidP="002C471F">
      <w:pPr>
        <w:pStyle w:val="Textkrper-Einzug2"/>
        <w:spacing w:after="0" w:line="276" w:lineRule="auto"/>
        <w:ind w:left="0"/>
        <w:jc w:val="both"/>
        <w:rPr>
          <w:rFonts w:ascii="Calibri" w:hAnsi="Calibri" w:cs="Calibri"/>
          <w:sz w:val="8"/>
          <w:szCs w:val="8"/>
        </w:rPr>
      </w:pPr>
    </w:p>
    <w:p w14:paraId="700B0A05" w14:textId="77777777" w:rsidR="002C471F" w:rsidRPr="002C471F" w:rsidRDefault="002C471F" w:rsidP="002C471F">
      <w:pPr>
        <w:pStyle w:val="Textkrper-Einzug2"/>
        <w:spacing w:after="0" w:line="276" w:lineRule="auto"/>
        <w:ind w:left="0"/>
        <w:jc w:val="both"/>
        <w:rPr>
          <w:rFonts w:ascii="Calibri" w:hAnsi="Calibri" w:cs="Calibri"/>
          <w:szCs w:val="22"/>
        </w:rPr>
      </w:pPr>
      <w:r>
        <w:rPr>
          <w:rFonts w:ascii="Calibri" w:hAnsi="Calibri" w:cs="Calibri"/>
          <w:noProof/>
          <w:szCs w:val="22"/>
          <w:lang w:eastAsia="de-AT"/>
        </w:rPr>
        <mc:AlternateContent>
          <mc:Choice Requires="wps">
            <w:drawing>
              <wp:anchor distT="0" distB="0" distL="114300" distR="114300" simplePos="0" relativeHeight="251682816" behindDoc="0" locked="0" layoutInCell="1" allowOverlap="1" wp14:anchorId="1B9B4A87" wp14:editId="2F86DB62">
                <wp:simplePos x="0" y="0"/>
                <wp:positionH relativeFrom="column">
                  <wp:posOffset>4325620</wp:posOffset>
                </wp:positionH>
                <wp:positionV relativeFrom="paragraph">
                  <wp:posOffset>672465</wp:posOffset>
                </wp:positionV>
                <wp:extent cx="1454150" cy="110490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1454150"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9EE8E" w14:textId="77777777" w:rsidR="00EC608E" w:rsidRPr="002C471F" w:rsidRDefault="00EC608E" w:rsidP="002C471F">
                            <w:pPr>
                              <w:pStyle w:val="Textkrper-Einzug2"/>
                              <w:spacing w:after="0" w:line="276" w:lineRule="auto"/>
                              <w:ind w:left="0"/>
                              <w:jc w:val="left"/>
                              <w:rPr>
                                <w:rFonts w:ascii="Calibri" w:hAnsi="Calibri" w:cs="Calibri"/>
                                <w:szCs w:val="22"/>
                              </w:rPr>
                            </w:pPr>
                            <w:r w:rsidRPr="002C471F">
                              <w:rPr>
                                <w:rFonts w:ascii="Calibri" w:hAnsi="Calibri" w:cs="Calibri"/>
                                <w:szCs w:val="22"/>
                              </w:rPr>
                              <w:t xml:space="preserve">Imatinib (IM), Sunitinib (SU), Sorafenib (SOR) und Nilotinib (NIL). </w:t>
                            </w:r>
                          </w:p>
                          <w:p w14:paraId="7CA17494" w14:textId="77777777" w:rsidR="00EC608E" w:rsidRPr="002C471F" w:rsidRDefault="00EC608E" w:rsidP="002C471F">
                            <w:pPr>
                              <w:pStyle w:val="Textkrper-Einzug2"/>
                              <w:spacing w:after="0" w:line="276" w:lineRule="auto"/>
                              <w:ind w:left="0"/>
                              <w:jc w:val="left"/>
                              <w:rPr>
                                <w:rFonts w:ascii="Calibri" w:hAnsi="Calibri" w:cs="Calibri"/>
                                <w:szCs w:val="22"/>
                              </w:rPr>
                            </w:pPr>
                            <w:r w:rsidRPr="002C471F">
                              <w:rPr>
                                <w:rFonts w:ascii="Calibri" w:hAnsi="Calibri" w:cs="Calibri"/>
                                <w:szCs w:val="22"/>
                              </w:rPr>
                              <w:t>JM, juxtamembrane.</w:t>
                            </w:r>
                          </w:p>
                          <w:p w14:paraId="59025E68" w14:textId="77777777" w:rsidR="00EC608E" w:rsidRDefault="00EC60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B4A87" id="Textfeld 46" o:spid="_x0000_s1029" type="#_x0000_t202" style="position:absolute;left:0;text-align:left;margin-left:340.6pt;margin-top:52.95pt;width:114.5pt;height:8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" fillcolor="white [3201]" stroked="f" strokeweight=".5pt">
                <v:textbox>
                  <w:txbxContent>
                    <w:p w14:paraId="0DD9EE8E" w14:textId="77777777" w:rsidR="00EC608E" w:rsidRPr="002C471F" w:rsidRDefault="00EC608E" w:rsidP="002C471F">
                      <w:pPr>
                        <w:pStyle w:val="Textkrper-Einzug2"/>
                        <w:spacing w:after="0" w:line="276" w:lineRule="auto"/>
                        <w:ind w:left="0"/>
                        <w:jc w:val="left"/>
                        <w:rPr>
                          <w:rFonts w:ascii="Calibri" w:hAnsi="Calibri" w:cs="Calibri"/>
                          <w:szCs w:val="22"/>
                        </w:rPr>
                      </w:pPr>
                      <w:r w:rsidRPr="002C471F">
                        <w:rPr>
                          <w:rFonts w:ascii="Calibri" w:hAnsi="Calibri" w:cs="Calibri"/>
                          <w:szCs w:val="22"/>
                        </w:rPr>
                        <w:t xml:space="preserve">Imatinib (IM), Sunitinib (SU), Sorafenib (SOR) und Nilotinib (NIL). </w:t>
                      </w:r>
                    </w:p>
                    <w:p w14:paraId="7CA17494" w14:textId="77777777" w:rsidR="00EC608E" w:rsidRPr="002C471F" w:rsidRDefault="00EC608E" w:rsidP="002C471F">
                      <w:pPr>
                        <w:pStyle w:val="Textkrper-Einzug2"/>
                        <w:spacing w:after="0" w:line="276" w:lineRule="auto"/>
                        <w:ind w:left="0"/>
                        <w:jc w:val="left"/>
                        <w:rPr>
                          <w:rFonts w:ascii="Calibri" w:hAnsi="Calibri" w:cs="Calibri"/>
                          <w:szCs w:val="22"/>
                        </w:rPr>
                      </w:pPr>
                      <w:r w:rsidRPr="002C471F">
                        <w:rPr>
                          <w:rFonts w:ascii="Calibri" w:hAnsi="Calibri" w:cs="Calibri"/>
                          <w:szCs w:val="22"/>
                        </w:rPr>
                        <w:t>JM, juxtamembrane.</w:t>
                      </w:r>
                    </w:p>
                    <w:p w14:paraId="59025E68" w14:textId="77777777" w:rsidR="00EC608E" w:rsidRDefault="00EC608E"/>
                  </w:txbxContent>
                </v:textbox>
              </v:shape>
            </w:pict>
          </mc:Fallback>
        </mc:AlternateContent>
      </w:r>
      <w:r>
        <w:rPr>
          <w:rFonts w:ascii="Calibri" w:hAnsi="Calibri" w:cs="Calibri"/>
          <w:noProof/>
          <w:szCs w:val="22"/>
          <w:lang w:eastAsia="de-AT"/>
        </w:rPr>
        <w:drawing>
          <wp:inline distT="0" distB="0" distL="0" distR="0" wp14:anchorId="639B1D3C" wp14:editId="50BD7072">
            <wp:extent cx="4019550" cy="2226074"/>
            <wp:effectExtent l="0" t="0" r="0" b="317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1734" cy="2227284"/>
                    </a:xfrm>
                    <a:prstGeom prst="rect">
                      <a:avLst/>
                    </a:prstGeom>
                    <a:noFill/>
                    <a:ln>
                      <a:noFill/>
                    </a:ln>
                  </pic:spPr>
                </pic:pic>
              </a:graphicData>
            </a:graphic>
          </wp:inline>
        </w:drawing>
      </w:r>
    </w:p>
    <w:p w14:paraId="4AEC935F" w14:textId="77777777" w:rsidR="002C471F" w:rsidRPr="00D62E15" w:rsidRDefault="002C471F" w:rsidP="002C471F">
      <w:pPr>
        <w:pStyle w:val="Textkrper-Einzug2"/>
        <w:spacing w:after="0" w:line="276" w:lineRule="auto"/>
        <w:ind w:left="0"/>
        <w:jc w:val="both"/>
        <w:rPr>
          <w:rFonts w:ascii="Calibri" w:hAnsi="Calibri" w:cs="Calibri"/>
          <w:color w:val="000000" w:themeColor="text1"/>
          <w:szCs w:val="22"/>
        </w:rPr>
      </w:pPr>
    </w:p>
    <w:p w14:paraId="70DE8A50" w14:textId="6089CFD2" w:rsidR="003744DF" w:rsidRPr="00D62E15" w:rsidRDefault="002C471F" w:rsidP="002C471F">
      <w:pPr>
        <w:pStyle w:val="Textkrper-Einzug2"/>
        <w:spacing w:after="0" w:line="276" w:lineRule="auto"/>
        <w:ind w:left="0"/>
        <w:jc w:val="both"/>
        <w:rPr>
          <w:rFonts w:ascii="Calibri" w:hAnsi="Calibri" w:cs="Calibri"/>
          <w:color w:val="000000" w:themeColor="text1"/>
          <w:szCs w:val="22"/>
        </w:rPr>
      </w:pPr>
      <w:r w:rsidRPr="00D62E15">
        <w:rPr>
          <w:rFonts w:ascii="Calibri" w:hAnsi="Calibri" w:cs="Calibri"/>
          <w:color w:val="000000" w:themeColor="text1"/>
          <w:szCs w:val="22"/>
        </w:rPr>
        <w:t>Sunitinib (Sutent®) ist das Mittel der Wahl für Imatinib-resistente Patienten (</w:t>
      </w:r>
      <w:r w:rsidR="00420DFD" w:rsidRPr="00D62E15">
        <w:rPr>
          <w:rFonts w:ascii="Calibri" w:hAnsi="Calibri" w:cs="Calibri"/>
          <w:color w:val="000000" w:themeColor="text1"/>
          <w:szCs w:val="22"/>
        </w:rPr>
        <w:t>68</w:t>
      </w:r>
      <w:r w:rsidRPr="00D62E15">
        <w:rPr>
          <w:rFonts w:ascii="Calibri" w:hAnsi="Calibri" w:cs="Calibri"/>
          <w:color w:val="000000" w:themeColor="text1"/>
          <w:szCs w:val="22"/>
        </w:rPr>
        <w:t xml:space="preserve">). </w:t>
      </w:r>
      <w:r w:rsidR="00BD39AF" w:rsidRPr="00D62E15">
        <w:rPr>
          <w:rFonts w:ascii="Calibri" w:hAnsi="Calibri" w:cs="Calibri"/>
          <w:color w:val="000000" w:themeColor="text1"/>
          <w:szCs w:val="22"/>
        </w:rPr>
        <w:t xml:space="preserve">Die nächste </w:t>
      </w:r>
      <w:r w:rsidRPr="00D62E15">
        <w:rPr>
          <w:rFonts w:ascii="Calibri" w:hAnsi="Calibri" w:cs="Calibri"/>
          <w:color w:val="000000" w:themeColor="text1"/>
          <w:szCs w:val="22"/>
        </w:rPr>
        <w:t xml:space="preserve">Abbildung zeigt, </w:t>
      </w:r>
      <w:r w:rsidR="00BD39AF" w:rsidRPr="00D62E15">
        <w:rPr>
          <w:rFonts w:ascii="Calibri" w:hAnsi="Calibri" w:cs="Calibri"/>
          <w:color w:val="000000" w:themeColor="text1"/>
          <w:szCs w:val="22"/>
        </w:rPr>
        <w:t>dass</w:t>
      </w:r>
      <w:r w:rsidRPr="00D62E15">
        <w:rPr>
          <w:rFonts w:ascii="Calibri" w:hAnsi="Calibri" w:cs="Calibri"/>
          <w:color w:val="000000" w:themeColor="text1"/>
          <w:szCs w:val="22"/>
        </w:rPr>
        <w:t xml:space="preserve"> Sunitinib bei Imatinib-resistenten Patienten die mediane Zeit bis zum Progreß auf 27,3 Wochen steigern kann, während unter Placebo nur 6,4 Wochen erreicht werden (</w:t>
      </w:r>
      <w:r w:rsidR="00420DFD" w:rsidRPr="00D62E15">
        <w:rPr>
          <w:rFonts w:ascii="Calibri" w:hAnsi="Calibri" w:cs="Calibri"/>
          <w:color w:val="000000" w:themeColor="text1"/>
          <w:szCs w:val="22"/>
        </w:rPr>
        <w:t>69</w:t>
      </w:r>
      <w:r w:rsidRPr="00D62E15">
        <w:rPr>
          <w:rFonts w:ascii="Calibri" w:hAnsi="Calibri" w:cs="Calibri"/>
          <w:color w:val="000000" w:themeColor="text1"/>
          <w:szCs w:val="22"/>
        </w:rPr>
        <w:t>). Diesen verzögernden Effekt erzielt Sunitinib obwohl es nur in 7 % zu einem objektiven Ansprechen (PR) führt. Die Standarddosis beträgt 50 mg/d (4 Wochen on, 2 Wochen off</w:t>
      </w:r>
      <w:r w:rsidR="008E02D5" w:rsidRPr="00D62E15">
        <w:rPr>
          <w:rFonts w:ascii="Calibri" w:hAnsi="Calibri" w:cs="Calibri"/>
          <w:color w:val="000000" w:themeColor="text1"/>
          <w:szCs w:val="22"/>
        </w:rPr>
        <w:t>). Bei schlechter Verträglichkeit kann eine Dosis von 37,5mg als Dauertherapie gewählt werden (</w:t>
      </w:r>
      <w:r w:rsidR="00420DFD" w:rsidRPr="00D62E15">
        <w:rPr>
          <w:rFonts w:ascii="Calibri" w:hAnsi="Calibri" w:cs="Calibri"/>
          <w:color w:val="000000" w:themeColor="text1"/>
          <w:szCs w:val="22"/>
        </w:rPr>
        <w:t>70</w:t>
      </w:r>
      <w:r w:rsidR="008E02D5" w:rsidRPr="00D62E15">
        <w:rPr>
          <w:rFonts w:ascii="Calibri" w:hAnsi="Calibri" w:cs="Calibri"/>
          <w:color w:val="000000" w:themeColor="text1"/>
          <w:szCs w:val="22"/>
        </w:rPr>
        <w:t>).</w:t>
      </w:r>
      <w:r w:rsidR="003744DF" w:rsidRPr="00D62E15">
        <w:rPr>
          <w:rFonts w:ascii="Calibri" w:hAnsi="Calibri" w:cs="Calibri"/>
          <w:color w:val="000000" w:themeColor="text1"/>
          <w:szCs w:val="22"/>
        </w:rPr>
        <w:t xml:space="preserve"> Vor Therapieeinleitung sollte, wenn möglich, eine histologische Sicherung inkl. molekularbiologischer Analyse erfolgen, um eine </w:t>
      </w:r>
      <w:r w:rsidR="003744DF" w:rsidRPr="00D62E15">
        <w:rPr>
          <w:rFonts w:asciiTheme="minorHAnsi" w:hAnsiTheme="minorHAnsi" w:cs="Arial"/>
          <w:color w:val="000000" w:themeColor="text1"/>
          <w:sz w:val="20"/>
          <w:lang w:val="de-DE"/>
        </w:rPr>
        <w:t>S</w:t>
      </w:r>
      <w:r w:rsidR="003744DF" w:rsidRPr="00D62E15">
        <w:rPr>
          <w:rFonts w:asciiTheme="minorHAnsi" w:hAnsiTheme="minorHAnsi" w:cs="Arial"/>
          <w:color w:val="000000" w:themeColor="text1"/>
          <w:szCs w:val="22"/>
          <w:lang w:val="de-DE"/>
        </w:rPr>
        <w:t>ekundärmutationen in der Kinaseaktivierungsdomäne (Exons 17/18), bei der Sunitinib in der Regel unwirksam ist, auszuschließen.</w:t>
      </w:r>
    </w:p>
    <w:p w14:paraId="246D00FF" w14:textId="77777777" w:rsidR="005E26C3" w:rsidRDefault="005E26C3" w:rsidP="002C471F">
      <w:pPr>
        <w:pStyle w:val="Textkrper-Einzug2"/>
        <w:spacing w:after="0" w:line="276" w:lineRule="auto"/>
        <w:ind w:left="0"/>
        <w:jc w:val="both"/>
        <w:rPr>
          <w:rFonts w:ascii="Calibri" w:hAnsi="Calibri" w:cs="Calibri"/>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720"/>
      </w:tblGrid>
      <w:tr w:rsidR="00BD39AF" w14:paraId="7B9FCFE6" w14:textId="77777777" w:rsidTr="005E26C3">
        <w:tc>
          <w:tcPr>
            <w:tcW w:w="4769" w:type="dxa"/>
          </w:tcPr>
          <w:p w14:paraId="04CBF9B4" w14:textId="77777777" w:rsidR="00BD39AF" w:rsidRDefault="00BD39AF" w:rsidP="002C471F">
            <w:pPr>
              <w:pStyle w:val="Textkrper-Einzug2"/>
              <w:spacing w:after="0" w:line="276" w:lineRule="auto"/>
              <w:ind w:left="0"/>
              <w:jc w:val="both"/>
              <w:rPr>
                <w:rFonts w:ascii="Calibri" w:hAnsi="Calibri" w:cs="Calibri"/>
                <w:szCs w:val="22"/>
              </w:rPr>
            </w:pPr>
            <w:r>
              <w:rPr>
                <w:rFonts w:ascii="Calibri" w:hAnsi="Calibri" w:cs="Calibri"/>
                <w:noProof/>
                <w:szCs w:val="22"/>
                <w:lang w:eastAsia="de-AT"/>
              </w:rPr>
              <w:lastRenderedPageBreak/>
              <w:drawing>
                <wp:inline distT="0" distB="0" distL="0" distR="0" wp14:anchorId="0E8FA39A" wp14:editId="37840AC9">
                  <wp:extent cx="2914650" cy="1977163"/>
                  <wp:effectExtent l="0" t="0" r="0" b="444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l="2" r="729"/>
                          <a:stretch/>
                        </pic:blipFill>
                        <pic:spPr bwMode="auto">
                          <a:xfrm>
                            <a:off x="0" y="0"/>
                            <a:ext cx="2921623" cy="19818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9" w:type="dxa"/>
          </w:tcPr>
          <w:p w14:paraId="2037114F" w14:textId="77777777" w:rsidR="00BD39AF" w:rsidRDefault="00BD39AF" w:rsidP="002C471F">
            <w:pPr>
              <w:pStyle w:val="Textkrper-Einzug2"/>
              <w:spacing w:after="0" w:line="276" w:lineRule="auto"/>
              <w:ind w:left="0"/>
              <w:jc w:val="both"/>
              <w:rPr>
                <w:rFonts w:ascii="Calibri" w:hAnsi="Calibri" w:cs="Calibri"/>
                <w:szCs w:val="22"/>
              </w:rPr>
            </w:pPr>
            <w:r>
              <w:rPr>
                <w:rFonts w:ascii="Calibri" w:hAnsi="Calibri" w:cs="Calibri"/>
                <w:noProof/>
                <w:szCs w:val="22"/>
                <w:lang w:eastAsia="de-AT"/>
              </w:rPr>
              <w:drawing>
                <wp:inline distT="0" distB="0" distL="0" distR="0" wp14:anchorId="5F9E9191" wp14:editId="61434BA1">
                  <wp:extent cx="2947693" cy="1983636"/>
                  <wp:effectExtent l="0" t="0" r="508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a:extLst>
                              <a:ext uri="{28A0092B-C50C-407E-A947-70E740481C1C}">
                                <a14:useLocalDpi xmlns:a14="http://schemas.microsoft.com/office/drawing/2010/main" val="0"/>
                              </a:ext>
                            </a:extLst>
                          </a:blip>
                          <a:srcRect l="2153" t="2650" r="1159" b="2650"/>
                          <a:stretch/>
                        </pic:blipFill>
                        <pic:spPr bwMode="auto">
                          <a:xfrm>
                            <a:off x="0" y="0"/>
                            <a:ext cx="2947693" cy="19836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F7A058" w14:textId="77777777" w:rsidR="002C471F" w:rsidRDefault="002C471F" w:rsidP="002C471F">
      <w:pPr>
        <w:pStyle w:val="Textkrper-Einzug2"/>
        <w:spacing w:after="0" w:line="276" w:lineRule="auto"/>
        <w:ind w:left="0"/>
        <w:jc w:val="both"/>
        <w:rPr>
          <w:rFonts w:ascii="Calibri" w:hAnsi="Calibri" w:cs="Calibri"/>
          <w:sz w:val="18"/>
          <w:szCs w:val="18"/>
        </w:rPr>
      </w:pPr>
      <w:r w:rsidRPr="00BD39AF">
        <w:rPr>
          <w:rFonts w:ascii="Calibri" w:hAnsi="Calibri" w:cs="Calibri"/>
          <w:sz w:val="18"/>
          <w:szCs w:val="18"/>
        </w:rPr>
        <w:t>Progressionsfreies Überleben links, Gesamtüberleben rechts.</w:t>
      </w:r>
    </w:p>
    <w:p w14:paraId="02CF1821" w14:textId="77777777" w:rsidR="00DF0655" w:rsidRDefault="00DF0655" w:rsidP="002C471F">
      <w:pPr>
        <w:pStyle w:val="Textkrper-Einzug2"/>
        <w:spacing w:after="0" w:line="276" w:lineRule="auto"/>
        <w:ind w:left="0"/>
        <w:jc w:val="both"/>
        <w:rPr>
          <w:rFonts w:ascii="Calibri" w:hAnsi="Calibri" w:cs="Calibri"/>
          <w:sz w:val="18"/>
          <w:szCs w:val="18"/>
        </w:rPr>
      </w:pPr>
    </w:p>
    <w:p w14:paraId="5DDD5A64" w14:textId="77777777" w:rsidR="00BD39AF" w:rsidRDefault="00BD39AF" w:rsidP="002C471F">
      <w:pPr>
        <w:pStyle w:val="Textkrper-Einzug2"/>
        <w:spacing w:after="0" w:line="276" w:lineRule="auto"/>
        <w:ind w:left="0"/>
        <w:jc w:val="both"/>
        <w:rPr>
          <w:rFonts w:ascii="Calibri" w:hAnsi="Calibri" w:cs="Calibri"/>
          <w:szCs w:val="22"/>
        </w:rPr>
      </w:pPr>
      <w:r>
        <w:rPr>
          <w:rFonts w:ascii="Calibri" w:hAnsi="Calibri" w:cs="Calibri"/>
          <w:noProof/>
          <w:szCs w:val="22"/>
          <w:lang w:eastAsia="de-AT"/>
        </w:rPr>
        <mc:AlternateContent>
          <mc:Choice Requires="wps">
            <w:drawing>
              <wp:anchor distT="0" distB="0" distL="114300" distR="114300" simplePos="0" relativeHeight="251683840" behindDoc="0" locked="0" layoutInCell="1" allowOverlap="1" wp14:anchorId="6DB9452A" wp14:editId="779F48C0">
                <wp:simplePos x="0" y="0"/>
                <wp:positionH relativeFrom="column">
                  <wp:posOffset>2992120</wp:posOffset>
                </wp:positionH>
                <wp:positionV relativeFrom="paragraph">
                  <wp:posOffset>1058545</wp:posOffset>
                </wp:positionV>
                <wp:extent cx="1936750" cy="1054100"/>
                <wp:effectExtent l="0" t="0" r="6350" b="0"/>
                <wp:wrapNone/>
                <wp:docPr id="51" name="Textfeld 51"/>
                <wp:cNvGraphicFramePr/>
                <a:graphic xmlns:a="http://schemas.openxmlformats.org/drawingml/2006/main">
                  <a:graphicData uri="http://schemas.microsoft.com/office/word/2010/wordprocessingShape">
                    <wps:wsp>
                      <wps:cNvSpPr txBox="1"/>
                      <wps:spPr>
                        <a:xfrm>
                          <a:off x="0" y="0"/>
                          <a:ext cx="1936750" cy="105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3A6E9" w14:textId="77777777" w:rsidR="00EC608E" w:rsidRDefault="00EC608E" w:rsidP="00BD39AF">
                            <w:pPr>
                              <w:pStyle w:val="Textkrper-Einzug2"/>
                              <w:spacing w:after="0" w:line="276" w:lineRule="auto"/>
                              <w:ind w:left="0"/>
                              <w:jc w:val="left"/>
                              <w:rPr>
                                <w:rFonts w:ascii="Calibri" w:hAnsi="Calibri" w:cs="Calibri"/>
                                <w:szCs w:val="22"/>
                              </w:rPr>
                            </w:pPr>
                            <w:r>
                              <w:rPr>
                                <w:rFonts w:ascii="Calibri" w:hAnsi="Calibri" w:cs="Calibri"/>
                                <w:szCs w:val="22"/>
                              </w:rPr>
                              <w:t>Ü</w:t>
                            </w:r>
                            <w:r w:rsidRPr="002C471F">
                              <w:rPr>
                                <w:rFonts w:ascii="Calibri" w:hAnsi="Calibri" w:cs="Calibri"/>
                                <w:szCs w:val="22"/>
                              </w:rPr>
                              <w:t>berblick</w:t>
                            </w:r>
                            <w:r>
                              <w:rPr>
                                <w:rFonts w:ascii="Calibri" w:hAnsi="Calibri" w:cs="Calibri"/>
                                <w:szCs w:val="22"/>
                              </w:rPr>
                              <w:t xml:space="preserve"> über</w:t>
                            </w:r>
                            <w:r w:rsidRPr="002C471F">
                              <w:rPr>
                                <w:rFonts w:ascii="Calibri" w:hAnsi="Calibri" w:cs="Calibri"/>
                                <w:szCs w:val="22"/>
                              </w:rPr>
                              <w:t xml:space="preserve"> das Wirkungsspektrum </w:t>
                            </w:r>
                          </w:p>
                          <w:p w14:paraId="13B6FC28" w14:textId="77777777" w:rsidR="00EC608E" w:rsidRDefault="00EC608E" w:rsidP="00BD39AF">
                            <w:pPr>
                              <w:pStyle w:val="Textkrper-Einzug2"/>
                              <w:spacing w:after="0" w:line="276" w:lineRule="auto"/>
                              <w:ind w:left="0"/>
                              <w:jc w:val="left"/>
                              <w:rPr>
                                <w:rFonts w:ascii="Calibri" w:hAnsi="Calibri" w:cs="Calibri"/>
                                <w:szCs w:val="22"/>
                              </w:rPr>
                            </w:pPr>
                            <w:r w:rsidRPr="002C471F">
                              <w:rPr>
                                <w:rFonts w:ascii="Calibri" w:hAnsi="Calibri" w:cs="Calibri"/>
                                <w:szCs w:val="22"/>
                              </w:rPr>
                              <w:t xml:space="preserve">von Sunitinib bei </w:t>
                            </w:r>
                          </w:p>
                          <w:p w14:paraId="6DF45741" w14:textId="77777777" w:rsidR="00EC608E" w:rsidRPr="002C471F" w:rsidRDefault="00EC608E" w:rsidP="00BD39AF">
                            <w:pPr>
                              <w:pStyle w:val="Textkrper-Einzug2"/>
                              <w:spacing w:after="0" w:line="276" w:lineRule="auto"/>
                              <w:ind w:left="0"/>
                              <w:jc w:val="left"/>
                              <w:rPr>
                                <w:rFonts w:ascii="Calibri" w:hAnsi="Calibri" w:cs="Calibri"/>
                                <w:szCs w:val="22"/>
                              </w:rPr>
                            </w:pPr>
                            <w:r w:rsidRPr="002C471F">
                              <w:rPr>
                                <w:rFonts w:ascii="Calibri" w:hAnsi="Calibri" w:cs="Calibri"/>
                                <w:szCs w:val="22"/>
                              </w:rPr>
                              <w:t xml:space="preserve">primären und sekundären KIT/PDGFRA Mutationen </w:t>
                            </w:r>
                            <w:r>
                              <w:rPr>
                                <w:rFonts w:ascii="Calibri" w:hAnsi="Calibri" w:cs="Calibri"/>
                                <w:szCs w:val="22"/>
                              </w:rPr>
                              <w:t xml:space="preserve"> </w:t>
                            </w:r>
                            <w:r w:rsidRPr="002C471F">
                              <w:rPr>
                                <w:rFonts w:ascii="Calibri" w:hAnsi="Calibri" w:cs="Calibri"/>
                                <w:szCs w:val="22"/>
                              </w:rPr>
                              <w:t xml:space="preserve">(65). </w:t>
                            </w:r>
                          </w:p>
                          <w:p w14:paraId="51C458D1" w14:textId="77777777" w:rsidR="00EC608E" w:rsidRDefault="00EC60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9452A" id="Textfeld 51" o:spid="_x0000_s1030" type="#_x0000_t202" style="position:absolute;left:0;text-align:left;margin-left:235.6pt;margin-top:83.35pt;width:152.5pt;height: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" fillcolor="white [3201]" stroked="f" strokeweight=".5pt">
                <v:textbox>
                  <w:txbxContent>
                    <w:p w14:paraId="35D3A6E9" w14:textId="77777777" w:rsidR="00EC608E" w:rsidRDefault="00EC608E" w:rsidP="00BD39AF">
                      <w:pPr>
                        <w:pStyle w:val="Textkrper-Einzug2"/>
                        <w:spacing w:after="0" w:line="276" w:lineRule="auto"/>
                        <w:ind w:left="0"/>
                        <w:jc w:val="left"/>
                        <w:rPr>
                          <w:rFonts w:ascii="Calibri" w:hAnsi="Calibri" w:cs="Calibri"/>
                          <w:szCs w:val="22"/>
                        </w:rPr>
                      </w:pPr>
                      <w:r>
                        <w:rPr>
                          <w:rFonts w:ascii="Calibri" w:hAnsi="Calibri" w:cs="Calibri"/>
                          <w:szCs w:val="22"/>
                        </w:rPr>
                        <w:t>Ü</w:t>
                      </w:r>
                      <w:r w:rsidRPr="002C471F">
                        <w:rPr>
                          <w:rFonts w:ascii="Calibri" w:hAnsi="Calibri" w:cs="Calibri"/>
                          <w:szCs w:val="22"/>
                        </w:rPr>
                        <w:t>berblick</w:t>
                      </w:r>
                      <w:r>
                        <w:rPr>
                          <w:rFonts w:ascii="Calibri" w:hAnsi="Calibri" w:cs="Calibri"/>
                          <w:szCs w:val="22"/>
                        </w:rPr>
                        <w:t xml:space="preserve"> über</w:t>
                      </w:r>
                      <w:r w:rsidRPr="002C471F">
                        <w:rPr>
                          <w:rFonts w:ascii="Calibri" w:hAnsi="Calibri" w:cs="Calibri"/>
                          <w:szCs w:val="22"/>
                        </w:rPr>
                        <w:t xml:space="preserve"> das Wirkungsspektrum </w:t>
                      </w:r>
                    </w:p>
                    <w:p w14:paraId="13B6FC28" w14:textId="77777777" w:rsidR="00EC608E" w:rsidRDefault="00EC608E" w:rsidP="00BD39AF">
                      <w:pPr>
                        <w:pStyle w:val="Textkrper-Einzug2"/>
                        <w:spacing w:after="0" w:line="276" w:lineRule="auto"/>
                        <w:ind w:left="0"/>
                        <w:jc w:val="left"/>
                        <w:rPr>
                          <w:rFonts w:ascii="Calibri" w:hAnsi="Calibri" w:cs="Calibri"/>
                          <w:szCs w:val="22"/>
                        </w:rPr>
                      </w:pPr>
                      <w:r w:rsidRPr="002C471F">
                        <w:rPr>
                          <w:rFonts w:ascii="Calibri" w:hAnsi="Calibri" w:cs="Calibri"/>
                          <w:szCs w:val="22"/>
                        </w:rPr>
                        <w:t xml:space="preserve">von Sunitinib bei </w:t>
                      </w:r>
                    </w:p>
                    <w:p w14:paraId="6DF45741" w14:textId="77777777" w:rsidR="00EC608E" w:rsidRPr="002C471F" w:rsidRDefault="00EC608E" w:rsidP="00BD39AF">
                      <w:pPr>
                        <w:pStyle w:val="Textkrper-Einzug2"/>
                        <w:spacing w:after="0" w:line="276" w:lineRule="auto"/>
                        <w:ind w:left="0"/>
                        <w:jc w:val="left"/>
                        <w:rPr>
                          <w:rFonts w:ascii="Calibri" w:hAnsi="Calibri" w:cs="Calibri"/>
                          <w:szCs w:val="22"/>
                        </w:rPr>
                      </w:pPr>
                      <w:r w:rsidRPr="002C471F">
                        <w:rPr>
                          <w:rFonts w:ascii="Calibri" w:hAnsi="Calibri" w:cs="Calibri"/>
                          <w:szCs w:val="22"/>
                        </w:rPr>
                        <w:t xml:space="preserve">primären und sekundären KIT/PDGFRA Mutationen </w:t>
                      </w:r>
                      <w:r>
                        <w:rPr>
                          <w:rFonts w:ascii="Calibri" w:hAnsi="Calibri" w:cs="Calibri"/>
                          <w:szCs w:val="22"/>
                        </w:rPr>
                        <w:t xml:space="preserve"> </w:t>
                      </w:r>
                      <w:r w:rsidRPr="002C471F">
                        <w:rPr>
                          <w:rFonts w:ascii="Calibri" w:hAnsi="Calibri" w:cs="Calibri"/>
                          <w:szCs w:val="22"/>
                        </w:rPr>
                        <w:t xml:space="preserve">(65). </w:t>
                      </w:r>
                    </w:p>
                    <w:p w14:paraId="51C458D1" w14:textId="77777777" w:rsidR="00EC608E" w:rsidRDefault="00EC608E"/>
                  </w:txbxContent>
                </v:textbox>
              </v:shape>
            </w:pict>
          </mc:Fallback>
        </mc:AlternateContent>
      </w:r>
      <w:r>
        <w:rPr>
          <w:rFonts w:ascii="Calibri" w:hAnsi="Calibri" w:cs="Calibri"/>
          <w:noProof/>
          <w:szCs w:val="22"/>
          <w:lang w:eastAsia="de-AT"/>
        </w:rPr>
        <w:drawing>
          <wp:inline distT="0" distB="0" distL="0" distR="0" wp14:anchorId="34B6EE8E" wp14:editId="68EA7A5A">
            <wp:extent cx="2743200" cy="320421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a:extLst>
                        <a:ext uri="{28A0092B-C50C-407E-A947-70E740481C1C}">
                          <a14:useLocalDpi xmlns:a14="http://schemas.microsoft.com/office/drawing/2010/main" val="0"/>
                        </a:ext>
                      </a:extLst>
                    </a:blip>
                    <a:srcRect r="1139"/>
                    <a:stretch/>
                  </pic:blipFill>
                  <pic:spPr bwMode="auto">
                    <a:xfrm>
                      <a:off x="0" y="0"/>
                      <a:ext cx="2743674" cy="3204764"/>
                    </a:xfrm>
                    <a:prstGeom prst="rect">
                      <a:avLst/>
                    </a:prstGeom>
                    <a:noFill/>
                    <a:ln>
                      <a:noFill/>
                    </a:ln>
                    <a:extLst>
                      <a:ext uri="{53640926-AAD7-44D8-BBD7-CCE9431645EC}">
                        <a14:shadowObscured xmlns:a14="http://schemas.microsoft.com/office/drawing/2010/main"/>
                      </a:ext>
                    </a:extLst>
                  </pic:spPr>
                </pic:pic>
              </a:graphicData>
            </a:graphic>
          </wp:inline>
        </w:drawing>
      </w:r>
    </w:p>
    <w:p w14:paraId="74901BAB" w14:textId="77777777" w:rsidR="005E26C3" w:rsidRDefault="005E26C3" w:rsidP="002C471F">
      <w:pPr>
        <w:pStyle w:val="Textkrper-Einzug2"/>
        <w:spacing w:after="0" w:line="276" w:lineRule="auto"/>
        <w:ind w:left="0"/>
        <w:jc w:val="both"/>
        <w:rPr>
          <w:rFonts w:ascii="Calibri" w:hAnsi="Calibri" w:cs="Calibri"/>
          <w:szCs w:val="22"/>
        </w:rPr>
      </w:pPr>
    </w:p>
    <w:p w14:paraId="578275D7" w14:textId="77777777" w:rsidR="005E26C3" w:rsidRPr="005E26C3" w:rsidRDefault="005E26C3" w:rsidP="002C471F">
      <w:pPr>
        <w:pStyle w:val="Textkrper-Einzug2"/>
        <w:spacing w:after="0" w:line="276" w:lineRule="auto"/>
        <w:ind w:left="0"/>
        <w:jc w:val="both"/>
        <w:rPr>
          <w:rFonts w:ascii="Calibri" w:hAnsi="Calibri" w:cs="Calibri"/>
          <w:sz w:val="8"/>
          <w:szCs w:val="8"/>
        </w:rPr>
      </w:pPr>
    </w:p>
    <w:p w14:paraId="42EFA9B9" w14:textId="3BD0639B" w:rsidR="002C471F" w:rsidRDefault="002C471F" w:rsidP="002C471F">
      <w:pPr>
        <w:pStyle w:val="Textkrper-Einzug2"/>
        <w:spacing w:after="0" w:line="276" w:lineRule="auto"/>
        <w:ind w:left="0"/>
        <w:jc w:val="both"/>
        <w:rPr>
          <w:rFonts w:ascii="Calibri" w:hAnsi="Calibri" w:cs="Calibri"/>
          <w:szCs w:val="22"/>
        </w:rPr>
      </w:pPr>
      <w:r w:rsidRPr="002C471F">
        <w:rPr>
          <w:rFonts w:ascii="Calibri" w:hAnsi="Calibri" w:cs="Calibri"/>
          <w:szCs w:val="22"/>
        </w:rPr>
        <w:t xml:space="preserve">Sollte der Patient auch unter Sunitinib progredient sein, kommt als dritte Linie Regorafenib (Stivarga®) in Frage. Eine Phase III Studie verglich Regorafenib vs. Placebo in 240 Patienten nach Imatinib und Sunitinib </w:t>
      </w:r>
      <w:r w:rsidRPr="00D62E15">
        <w:rPr>
          <w:rFonts w:ascii="Calibri" w:hAnsi="Calibri" w:cs="Calibri"/>
          <w:szCs w:val="22"/>
        </w:rPr>
        <w:t>Versagen (</w:t>
      </w:r>
      <w:r w:rsidR="00420DFD" w:rsidRPr="00D62E15">
        <w:rPr>
          <w:rFonts w:ascii="Calibri" w:hAnsi="Calibri" w:cs="Calibri"/>
          <w:szCs w:val="22"/>
        </w:rPr>
        <w:t>72</w:t>
      </w:r>
      <w:r w:rsidRPr="002C471F">
        <w:rPr>
          <w:rFonts w:ascii="Calibri" w:hAnsi="Calibri" w:cs="Calibri"/>
          <w:szCs w:val="22"/>
        </w:rPr>
        <w:t xml:space="preserve">). 76,9 % der Patienten erlebten unter Regorafenib ein Ansprechen (PR + SD) im Gegensatz zu 34,8 % der Placebogruppe. Während unter 160 mg Regorafenib das mediane progressionsfreie Überleben bei 4,8 Monaten lag, erzielte die Placebo Vergleichsgruppe nur 0,9 Monate (Abbildung, Panel A). Bei mehr als der Hälfte der Regorafenib Patienten kann eine Krankheitsstabilisierung für mehr als 12 Wochen erreicht werden. Allerdings bietet Regorafenib für das Gesamtüberleben keinen Vorteil </w:t>
      </w:r>
      <w:r w:rsidR="00BD39AF">
        <w:rPr>
          <w:rFonts w:ascii="Calibri" w:hAnsi="Calibri" w:cs="Calibri"/>
          <w:szCs w:val="22"/>
        </w:rPr>
        <w:t xml:space="preserve">(Abbildung, </w:t>
      </w:r>
      <w:r w:rsidRPr="002C471F">
        <w:rPr>
          <w:rFonts w:ascii="Calibri" w:hAnsi="Calibri" w:cs="Calibri"/>
          <w:szCs w:val="22"/>
        </w:rPr>
        <w:t>Panel B) und die Neb</w:t>
      </w:r>
      <w:r w:rsidR="00BD39AF">
        <w:rPr>
          <w:rFonts w:ascii="Calibri" w:hAnsi="Calibri" w:cs="Calibri"/>
          <w:szCs w:val="22"/>
        </w:rPr>
        <w:t>enwirkungsrate liegt bei 98,5 %</w:t>
      </w:r>
      <w:r w:rsidRPr="002C471F">
        <w:rPr>
          <w:rFonts w:ascii="Calibri" w:hAnsi="Calibri" w:cs="Calibri"/>
          <w:szCs w:val="22"/>
        </w:rPr>
        <w:t>!</w:t>
      </w:r>
    </w:p>
    <w:p w14:paraId="7F4EF844" w14:textId="77777777" w:rsidR="005E26C3" w:rsidRPr="002C471F" w:rsidRDefault="005E26C3" w:rsidP="002C471F">
      <w:pPr>
        <w:pStyle w:val="Textkrper-Einzug2"/>
        <w:spacing w:after="0" w:line="276" w:lineRule="auto"/>
        <w:ind w:left="0"/>
        <w:jc w:val="both"/>
        <w:rPr>
          <w:rFonts w:ascii="Calibri" w:hAnsi="Calibri" w:cs="Calibri"/>
          <w:szCs w:val="22"/>
        </w:rPr>
      </w:pPr>
    </w:p>
    <w:p w14:paraId="139755A5" w14:textId="77777777" w:rsidR="00BD39AF" w:rsidRPr="002C471F" w:rsidRDefault="00BD39AF" w:rsidP="002C471F">
      <w:pPr>
        <w:pStyle w:val="Textkrper-Einzug2"/>
        <w:spacing w:after="0" w:line="276" w:lineRule="auto"/>
        <w:ind w:left="0"/>
        <w:jc w:val="both"/>
        <w:rPr>
          <w:rFonts w:ascii="Calibri" w:hAnsi="Calibri" w:cs="Calibri"/>
          <w:szCs w:val="22"/>
        </w:rPr>
      </w:pPr>
      <w:r>
        <w:rPr>
          <w:rFonts w:ascii="Calibri" w:hAnsi="Calibri" w:cs="Calibri"/>
          <w:noProof/>
          <w:szCs w:val="22"/>
          <w:lang w:eastAsia="de-AT"/>
        </w:rPr>
        <w:lastRenderedPageBreak/>
        <w:drawing>
          <wp:inline distT="0" distB="0" distL="0" distR="0" wp14:anchorId="0664B474" wp14:editId="606B6CE0">
            <wp:extent cx="4356100" cy="1464032"/>
            <wp:effectExtent l="0" t="0" r="6350" b="317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a:extLst>
                        <a:ext uri="{28A0092B-C50C-407E-A947-70E740481C1C}">
                          <a14:useLocalDpi xmlns:a14="http://schemas.microsoft.com/office/drawing/2010/main" val="0"/>
                        </a:ext>
                      </a:extLst>
                    </a:blip>
                    <a:srcRect l="2241"/>
                    <a:stretch/>
                  </pic:blipFill>
                  <pic:spPr bwMode="auto">
                    <a:xfrm>
                      <a:off x="0" y="0"/>
                      <a:ext cx="4365191" cy="1467087"/>
                    </a:xfrm>
                    <a:prstGeom prst="rect">
                      <a:avLst/>
                    </a:prstGeom>
                    <a:noFill/>
                    <a:ln>
                      <a:noFill/>
                    </a:ln>
                    <a:extLst>
                      <a:ext uri="{53640926-AAD7-44D8-BBD7-CCE9431645EC}">
                        <a14:shadowObscured xmlns:a14="http://schemas.microsoft.com/office/drawing/2010/main"/>
                      </a:ext>
                    </a:extLst>
                  </pic:spPr>
                </pic:pic>
              </a:graphicData>
            </a:graphic>
          </wp:inline>
        </w:drawing>
      </w:r>
    </w:p>
    <w:p w14:paraId="2FBD680B" w14:textId="77777777" w:rsidR="002C471F" w:rsidRPr="00BD39AF" w:rsidRDefault="002C471F" w:rsidP="002C471F">
      <w:pPr>
        <w:pStyle w:val="Textkrper-Einzug2"/>
        <w:spacing w:after="0" w:line="276" w:lineRule="auto"/>
        <w:ind w:left="0"/>
        <w:jc w:val="both"/>
        <w:rPr>
          <w:rFonts w:ascii="Calibri" w:hAnsi="Calibri" w:cs="Calibri"/>
          <w:sz w:val="18"/>
          <w:szCs w:val="18"/>
        </w:rPr>
      </w:pPr>
      <w:r w:rsidRPr="00BD39AF">
        <w:rPr>
          <w:rFonts w:ascii="Calibri" w:hAnsi="Calibri" w:cs="Calibri"/>
          <w:sz w:val="18"/>
          <w:szCs w:val="18"/>
        </w:rPr>
        <w:t>Progressionsfreies (A) und Gesamtüberleben (B) unter Regorafenib, nach (66).</w:t>
      </w:r>
    </w:p>
    <w:p w14:paraId="104D4451" w14:textId="77777777" w:rsidR="002C471F" w:rsidRPr="002C471F" w:rsidRDefault="002C471F" w:rsidP="002C471F">
      <w:pPr>
        <w:pStyle w:val="Textkrper-Einzug2"/>
        <w:spacing w:after="0" w:line="276" w:lineRule="auto"/>
        <w:ind w:left="0"/>
        <w:jc w:val="both"/>
        <w:rPr>
          <w:rFonts w:ascii="Calibri" w:hAnsi="Calibri" w:cs="Calibri"/>
          <w:szCs w:val="22"/>
        </w:rPr>
      </w:pPr>
    </w:p>
    <w:p w14:paraId="7F42947D" w14:textId="77777777" w:rsidR="002C471F" w:rsidRPr="002C471F" w:rsidRDefault="002C471F" w:rsidP="002C471F">
      <w:pPr>
        <w:pStyle w:val="Textkrper-Einzug2"/>
        <w:spacing w:after="0" w:line="276" w:lineRule="auto"/>
        <w:ind w:left="0"/>
        <w:jc w:val="both"/>
        <w:rPr>
          <w:rFonts w:ascii="Calibri" w:hAnsi="Calibri" w:cs="Calibri"/>
          <w:szCs w:val="22"/>
        </w:rPr>
      </w:pPr>
      <w:r w:rsidRPr="002C471F">
        <w:rPr>
          <w:rFonts w:ascii="Calibri" w:hAnsi="Calibri" w:cs="Calibri"/>
          <w:szCs w:val="22"/>
        </w:rPr>
        <w:t>Sollte nach der Therapiesequenz Imatinib - Sunitinib - Regorafenib noch eine weitere Therapieindikation bzw. Therapiewunsch bestehen, können folgende Modalitä</w:t>
      </w:r>
      <w:r w:rsidR="00BD39AF">
        <w:rPr>
          <w:rFonts w:ascii="Calibri" w:hAnsi="Calibri" w:cs="Calibri"/>
          <w:szCs w:val="22"/>
        </w:rPr>
        <w:t>ten versucht werden:</w:t>
      </w:r>
    </w:p>
    <w:p w14:paraId="38478109" w14:textId="1C6E9023" w:rsidR="002C471F" w:rsidRPr="00D62E15" w:rsidRDefault="002C471F" w:rsidP="00BD39AF">
      <w:pPr>
        <w:pStyle w:val="Textkrper-Einzug2"/>
        <w:numPr>
          <w:ilvl w:val="0"/>
          <w:numId w:val="31"/>
        </w:numPr>
        <w:spacing w:after="0" w:line="276" w:lineRule="auto"/>
        <w:ind w:left="426"/>
        <w:jc w:val="both"/>
        <w:rPr>
          <w:rFonts w:ascii="Calibri" w:hAnsi="Calibri" w:cs="Calibri"/>
          <w:szCs w:val="22"/>
        </w:rPr>
      </w:pPr>
      <w:r w:rsidRPr="00D62E15">
        <w:rPr>
          <w:rFonts w:ascii="Calibri" w:hAnsi="Calibri" w:cs="Calibri"/>
          <w:szCs w:val="22"/>
        </w:rPr>
        <w:t>Imatinib re-challange (</w:t>
      </w:r>
      <w:r w:rsidR="00420DFD" w:rsidRPr="00D62E15">
        <w:rPr>
          <w:rFonts w:ascii="Calibri" w:hAnsi="Calibri" w:cs="Calibri"/>
          <w:szCs w:val="22"/>
        </w:rPr>
        <w:t>73,74</w:t>
      </w:r>
      <w:r w:rsidRPr="00D62E15">
        <w:rPr>
          <w:rFonts w:ascii="Calibri" w:hAnsi="Calibri" w:cs="Calibri"/>
          <w:szCs w:val="22"/>
        </w:rPr>
        <w:t>)</w:t>
      </w:r>
    </w:p>
    <w:p w14:paraId="2A2E1967" w14:textId="171AF6AE" w:rsidR="002C471F" w:rsidRPr="00D62E15" w:rsidRDefault="002C471F" w:rsidP="00BD39AF">
      <w:pPr>
        <w:pStyle w:val="Textkrper-Einzug2"/>
        <w:numPr>
          <w:ilvl w:val="0"/>
          <w:numId w:val="31"/>
        </w:numPr>
        <w:spacing w:after="0" w:line="276" w:lineRule="auto"/>
        <w:ind w:left="426"/>
        <w:jc w:val="both"/>
        <w:rPr>
          <w:rFonts w:ascii="Calibri" w:hAnsi="Calibri" w:cs="Calibri"/>
          <w:szCs w:val="22"/>
        </w:rPr>
      </w:pPr>
      <w:r w:rsidRPr="00D62E15">
        <w:rPr>
          <w:rFonts w:ascii="Calibri" w:hAnsi="Calibri" w:cs="Calibri"/>
          <w:szCs w:val="22"/>
        </w:rPr>
        <w:t xml:space="preserve">Nilotinib </w:t>
      </w:r>
      <w:r w:rsidR="00420DFD" w:rsidRPr="00D62E15">
        <w:rPr>
          <w:rFonts w:ascii="Calibri" w:hAnsi="Calibri" w:cs="Calibri"/>
          <w:szCs w:val="22"/>
        </w:rPr>
        <w:t>(75-77)</w:t>
      </w:r>
    </w:p>
    <w:p w14:paraId="459143CF" w14:textId="53056F64" w:rsidR="002C471F" w:rsidRPr="00D62E15" w:rsidRDefault="002C471F" w:rsidP="00BD39AF">
      <w:pPr>
        <w:pStyle w:val="Textkrper-Einzug2"/>
        <w:numPr>
          <w:ilvl w:val="0"/>
          <w:numId w:val="31"/>
        </w:numPr>
        <w:spacing w:after="0" w:line="276" w:lineRule="auto"/>
        <w:ind w:left="426"/>
        <w:jc w:val="both"/>
        <w:rPr>
          <w:rFonts w:ascii="Calibri" w:hAnsi="Calibri" w:cs="Calibri"/>
          <w:szCs w:val="22"/>
        </w:rPr>
      </w:pPr>
      <w:r w:rsidRPr="00D62E15">
        <w:rPr>
          <w:rFonts w:ascii="Calibri" w:hAnsi="Calibri" w:cs="Calibri"/>
          <w:szCs w:val="22"/>
        </w:rPr>
        <w:t xml:space="preserve">Sorafenib </w:t>
      </w:r>
      <w:r w:rsidR="00420DFD" w:rsidRPr="00D62E15">
        <w:rPr>
          <w:rFonts w:ascii="Calibri" w:hAnsi="Calibri" w:cs="Calibri"/>
          <w:szCs w:val="22"/>
        </w:rPr>
        <w:t>(78,79)</w:t>
      </w:r>
    </w:p>
    <w:p w14:paraId="70E3294C" w14:textId="18D3EE02" w:rsidR="000342CC" w:rsidRPr="00D62E15" w:rsidRDefault="000342CC" w:rsidP="00BD39AF">
      <w:pPr>
        <w:pStyle w:val="Textkrper-Einzug2"/>
        <w:numPr>
          <w:ilvl w:val="0"/>
          <w:numId w:val="31"/>
        </w:numPr>
        <w:spacing w:after="0" w:line="276" w:lineRule="auto"/>
        <w:ind w:left="426"/>
        <w:jc w:val="both"/>
        <w:rPr>
          <w:rFonts w:ascii="Calibri" w:hAnsi="Calibri" w:cs="Calibri"/>
          <w:szCs w:val="22"/>
        </w:rPr>
      </w:pPr>
      <w:r w:rsidRPr="00D62E15">
        <w:rPr>
          <w:rFonts w:ascii="Calibri" w:hAnsi="Calibri" w:cs="Calibri"/>
          <w:szCs w:val="22"/>
        </w:rPr>
        <w:t>Pazopanib</w:t>
      </w:r>
      <w:r w:rsidR="00420DFD" w:rsidRPr="00D62E15">
        <w:rPr>
          <w:rFonts w:ascii="Calibri" w:hAnsi="Calibri" w:cs="Calibri"/>
          <w:szCs w:val="22"/>
        </w:rPr>
        <w:t xml:space="preserve"> (80)</w:t>
      </w:r>
    </w:p>
    <w:p w14:paraId="55B4454A" w14:textId="5245C4C8" w:rsidR="000342CC" w:rsidRPr="00D62E15" w:rsidRDefault="002C471F" w:rsidP="000342CC">
      <w:pPr>
        <w:pStyle w:val="Textkrper-Einzug2"/>
        <w:numPr>
          <w:ilvl w:val="0"/>
          <w:numId w:val="31"/>
        </w:numPr>
        <w:spacing w:after="0" w:line="276" w:lineRule="auto"/>
        <w:ind w:left="426"/>
        <w:jc w:val="both"/>
        <w:rPr>
          <w:rFonts w:ascii="Calibri" w:hAnsi="Calibri" w:cs="Calibri"/>
          <w:szCs w:val="22"/>
        </w:rPr>
      </w:pPr>
      <w:r w:rsidRPr="00D62E15">
        <w:rPr>
          <w:rFonts w:ascii="Calibri" w:hAnsi="Calibri" w:cs="Calibri"/>
          <w:szCs w:val="22"/>
        </w:rPr>
        <w:t xml:space="preserve">Strahlentherapie </w:t>
      </w:r>
      <w:r w:rsidR="00420DFD" w:rsidRPr="00D62E15">
        <w:rPr>
          <w:rFonts w:ascii="Calibri" w:hAnsi="Calibri" w:cs="Calibri"/>
          <w:szCs w:val="22"/>
        </w:rPr>
        <w:t>(81)</w:t>
      </w:r>
    </w:p>
    <w:p w14:paraId="7FD30B4F" w14:textId="77777777" w:rsidR="002C471F" w:rsidRPr="00D62E15" w:rsidRDefault="002C471F" w:rsidP="002C471F">
      <w:pPr>
        <w:pStyle w:val="Textkrper-Einzug2"/>
        <w:spacing w:after="0" w:line="276" w:lineRule="auto"/>
        <w:ind w:left="0"/>
        <w:jc w:val="both"/>
        <w:rPr>
          <w:rFonts w:ascii="Calibri" w:hAnsi="Calibri" w:cs="Calibri"/>
          <w:szCs w:val="22"/>
        </w:rPr>
      </w:pPr>
      <w:r w:rsidRPr="00D62E15">
        <w:rPr>
          <w:rFonts w:ascii="Calibri" w:hAnsi="Calibri" w:cs="Calibri"/>
          <w:szCs w:val="22"/>
        </w:rPr>
        <w:t>Eine Liste einiger dzt. in Studien untersuchten Medikamente</w:t>
      </w:r>
      <w:r w:rsidR="00BD39AF" w:rsidRPr="00D62E15">
        <w:rPr>
          <w:rFonts w:ascii="Calibri" w:hAnsi="Calibri" w:cs="Calibri"/>
          <w:szCs w:val="22"/>
        </w:rPr>
        <w:t xml:space="preserve"> bei GIST findet sich im Anhang. </w:t>
      </w:r>
      <w:r w:rsidRPr="00D62E15">
        <w:rPr>
          <w:rFonts w:ascii="Calibri" w:hAnsi="Calibri" w:cs="Calibri"/>
          <w:szCs w:val="22"/>
        </w:rPr>
        <w:t>Eine GIST Studie ist dzt. im Tumorzentrum nicht verfügbar.</w:t>
      </w:r>
    </w:p>
    <w:p w14:paraId="5E65D753" w14:textId="77777777" w:rsidR="002C471F" w:rsidRPr="00D62E15" w:rsidRDefault="002C471F" w:rsidP="00D00A54">
      <w:pPr>
        <w:pStyle w:val="Textkrper-Einzug2"/>
        <w:spacing w:after="0" w:line="276" w:lineRule="auto"/>
        <w:ind w:left="0"/>
        <w:jc w:val="both"/>
        <w:rPr>
          <w:rFonts w:ascii="Calibri" w:hAnsi="Calibri" w:cs="Calibri"/>
          <w:szCs w:val="22"/>
        </w:rPr>
      </w:pPr>
    </w:p>
    <w:p w14:paraId="04026E49" w14:textId="77777777" w:rsidR="00BD39AF" w:rsidRPr="00D62E15" w:rsidRDefault="00BD39AF" w:rsidP="00BD39AF">
      <w:pPr>
        <w:pStyle w:val="berschrift2"/>
      </w:pPr>
      <w:bookmarkStart w:id="19" w:name="_Toc41307606"/>
      <w:r w:rsidRPr="00D62E15">
        <w:t>3.8</w:t>
      </w:r>
      <w:r w:rsidRPr="00D62E15">
        <w:tab/>
        <w:t>Ansprechen</w:t>
      </w:r>
      <w:bookmarkEnd w:id="19"/>
    </w:p>
    <w:p w14:paraId="6C4DA5E8" w14:textId="623D8920" w:rsidR="00BD39AF" w:rsidRDefault="00BD39AF" w:rsidP="00BD39AF">
      <w:pPr>
        <w:pStyle w:val="Textkrper-Einzug2"/>
        <w:spacing w:after="0" w:line="276" w:lineRule="auto"/>
        <w:ind w:left="0"/>
        <w:jc w:val="both"/>
        <w:rPr>
          <w:rFonts w:ascii="Calibri" w:hAnsi="Calibri" w:cs="Calibri"/>
          <w:szCs w:val="22"/>
        </w:rPr>
      </w:pPr>
      <w:r w:rsidRPr="00D62E15">
        <w:rPr>
          <w:rFonts w:ascii="Calibri" w:hAnsi="Calibri" w:cs="Calibri"/>
          <w:szCs w:val="22"/>
        </w:rPr>
        <w:t>Das radiologische Ansprechen wird nicht nach RECIST sondern nach Choi et al. (</w:t>
      </w:r>
      <w:r w:rsidR="00420DFD" w:rsidRPr="00D62E15">
        <w:rPr>
          <w:rFonts w:ascii="Calibri" w:hAnsi="Calibri" w:cs="Calibri"/>
          <w:szCs w:val="22"/>
        </w:rPr>
        <w:t>82</w:t>
      </w:r>
      <w:r w:rsidRPr="00D62E15">
        <w:rPr>
          <w:rFonts w:ascii="Calibri" w:hAnsi="Calibri" w:cs="Calibri"/>
          <w:szCs w:val="22"/>
        </w:rPr>
        <w:t>)</w:t>
      </w:r>
      <w:r w:rsidRPr="00BD39AF">
        <w:rPr>
          <w:rFonts w:ascii="Calibri" w:hAnsi="Calibri" w:cs="Calibri"/>
          <w:szCs w:val="22"/>
        </w:rPr>
        <w:t xml:space="preserve"> befundet (Tabelle 7). Die RECIST Kriterien, die nur auf anatomischen Kriterien (Tumorgröße) beruhen, sind nicht akkurat in der Beurteilung von Imatinib Effekten. Deshalb wurden PET-Responder mit CT-Responder verglichen und es zeigte sich, daß eine Abnahme der Tumorgröße im CT um mehr als 10 % oder eine Abnahme der CT-Tumordichte um mehr als 15 % mit einer Sensitivität von 97 % und einer Spezifität von 100 % mit einem Ansprechen im PET korreliert. Ein gutes Ansprechen im CT nach 2 Monaten ist mit einem signifikant längerem progressionsfreien Überleben assoziiert.</w:t>
      </w:r>
    </w:p>
    <w:p w14:paraId="79E2A8BE" w14:textId="77777777" w:rsidR="005E26C3" w:rsidRPr="005E26C3" w:rsidRDefault="005E26C3" w:rsidP="005E26C3">
      <w:pPr>
        <w:pStyle w:val="Textkrper-Einzug2"/>
        <w:spacing w:after="0" w:line="276" w:lineRule="auto"/>
        <w:ind w:left="567"/>
        <w:jc w:val="both"/>
        <w:rPr>
          <w:rFonts w:ascii="Calibri" w:hAnsi="Calibri" w:cs="Calibri"/>
          <w:sz w:val="8"/>
          <w:szCs w:val="8"/>
        </w:rPr>
      </w:pPr>
    </w:p>
    <w:tbl>
      <w:tblPr>
        <w:tblStyle w:val="Tabellenraster"/>
        <w:tblW w:w="7230" w:type="dxa"/>
        <w:tblInd w:w="675" w:type="dxa"/>
        <w:tblLook w:val="04A0" w:firstRow="1" w:lastRow="0" w:firstColumn="1" w:lastColumn="0" w:noHBand="0" w:noVBand="1"/>
      </w:tblPr>
      <w:tblGrid>
        <w:gridCol w:w="7230"/>
      </w:tblGrid>
      <w:tr w:rsidR="005E26C3" w14:paraId="71B3124B" w14:textId="77777777" w:rsidTr="005E26C3">
        <w:tc>
          <w:tcPr>
            <w:tcW w:w="7230" w:type="dxa"/>
          </w:tcPr>
          <w:p w14:paraId="07707DC8" w14:textId="77777777" w:rsidR="005E26C3" w:rsidRPr="005E26C3" w:rsidRDefault="00DF0655" w:rsidP="00DF0655">
            <w:pPr>
              <w:pStyle w:val="Textkrper-Einzug2"/>
              <w:spacing w:after="0" w:line="276" w:lineRule="auto"/>
              <w:ind w:left="0"/>
              <w:jc w:val="both"/>
              <w:rPr>
                <w:rFonts w:ascii="Calibri" w:hAnsi="Calibri" w:cs="Calibri"/>
                <w:b/>
                <w:sz w:val="24"/>
                <w:szCs w:val="24"/>
                <w:lang w:val="en-US"/>
              </w:rPr>
            </w:pPr>
            <w:r w:rsidRPr="006602F1">
              <w:rPr>
                <w:rFonts w:ascii="Calibri" w:hAnsi="Calibri" w:cs="Calibri"/>
                <w:b/>
                <w:sz w:val="24"/>
                <w:szCs w:val="24"/>
              </w:rPr>
              <w:t xml:space="preserve">                            </w:t>
            </w:r>
            <w:r w:rsidR="005E26C3" w:rsidRPr="005E26C3">
              <w:rPr>
                <w:rFonts w:ascii="Calibri" w:hAnsi="Calibri" w:cs="Calibri"/>
                <w:b/>
                <w:sz w:val="24"/>
                <w:szCs w:val="24"/>
                <w:lang w:val="en-US"/>
              </w:rPr>
              <w:t>Modified CT Response Evaluation Criteria</w:t>
            </w:r>
          </w:p>
          <w:p w14:paraId="019625C5" w14:textId="77777777" w:rsidR="005E26C3" w:rsidRPr="005E26C3" w:rsidRDefault="005E26C3" w:rsidP="005E26C3">
            <w:pPr>
              <w:pStyle w:val="Textkrper-Einzug2"/>
              <w:spacing w:after="0" w:line="276" w:lineRule="auto"/>
              <w:ind w:left="1416" w:firstLine="708"/>
              <w:jc w:val="both"/>
              <w:rPr>
                <w:rFonts w:ascii="Calibri" w:hAnsi="Calibri" w:cs="Calibri"/>
                <w:b/>
                <w:sz w:val="8"/>
                <w:szCs w:val="8"/>
                <w:lang w:val="en-US"/>
              </w:rPr>
            </w:pPr>
          </w:p>
          <w:p w14:paraId="7833AE4F" w14:textId="77777777" w:rsidR="005E26C3" w:rsidRDefault="005E26C3" w:rsidP="00DF0655">
            <w:pPr>
              <w:pStyle w:val="Textkrper-Einzug2"/>
              <w:spacing w:after="0" w:line="276" w:lineRule="auto"/>
              <w:ind w:left="708"/>
              <w:jc w:val="both"/>
              <w:rPr>
                <w:rFonts w:ascii="Calibri" w:hAnsi="Calibri" w:cs="Calibri"/>
                <w:szCs w:val="22"/>
              </w:rPr>
            </w:pPr>
            <w:r>
              <w:rPr>
                <w:rFonts w:ascii="Calibri" w:hAnsi="Calibri" w:cs="Calibri"/>
                <w:noProof/>
                <w:szCs w:val="22"/>
                <w:lang w:eastAsia="de-AT"/>
              </w:rPr>
              <w:drawing>
                <wp:inline distT="0" distB="0" distL="0" distR="0" wp14:anchorId="143CCA0F" wp14:editId="7B205E83">
                  <wp:extent cx="3638550" cy="280201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1470" cy="2811960"/>
                          </a:xfrm>
                          <a:prstGeom prst="rect">
                            <a:avLst/>
                          </a:prstGeom>
                          <a:noFill/>
                          <a:ln>
                            <a:noFill/>
                          </a:ln>
                        </pic:spPr>
                      </pic:pic>
                    </a:graphicData>
                  </a:graphic>
                </wp:inline>
              </w:drawing>
            </w:r>
          </w:p>
        </w:tc>
      </w:tr>
    </w:tbl>
    <w:p w14:paraId="7DD1CDE4" w14:textId="77777777" w:rsidR="006D4DAC" w:rsidRPr="00E344D4" w:rsidRDefault="006D4DAC" w:rsidP="007F3064">
      <w:pPr>
        <w:pStyle w:val="berschrift1"/>
      </w:pPr>
      <w:bookmarkStart w:id="20" w:name="_Toc367183618"/>
      <w:bookmarkStart w:id="21" w:name="_Toc367183856"/>
      <w:bookmarkStart w:id="22" w:name="_Toc41307607"/>
      <w:r w:rsidRPr="00E344D4">
        <w:lastRenderedPageBreak/>
        <w:t>4</w:t>
      </w:r>
      <w:r w:rsidRPr="00E344D4">
        <w:tab/>
      </w:r>
      <w:bookmarkEnd w:id="20"/>
      <w:bookmarkEnd w:id="21"/>
      <w:r w:rsidR="0049768A">
        <w:t>Besondere klinische Situationen</w:t>
      </w:r>
      <w:bookmarkEnd w:id="22"/>
      <w:r w:rsidRPr="00E344D4">
        <w:t xml:space="preserve"> </w:t>
      </w:r>
    </w:p>
    <w:p w14:paraId="74D48D66" w14:textId="77777777" w:rsidR="00ED24ED" w:rsidRPr="0049768A" w:rsidRDefault="00FB2605" w:rsidP="007F3064">
      <w:pPr>
        <w:pStyle w:val="Textkrper-Einzug2"/>
        <w:spacing w:line="276" w:lineRule="auto"/>
        <w:ind w:left="0"/>
        <w:jc w:val="both"/>
        <w:rPr>
          <w:rFonts w:asciiTheme="minorHAnsi" w:hAnsiTheme="minorHAnsi" w:cstheme="minorHAnsi"/>
          <w:i/>
          <w:szCs w:val="22"/>
        </w:rPr>
      </w:pPr>
      <w:r>
        <w:rPr>
          <w:rFonts w:asciiTheme="minorHAnsi" w:hAnsiTheme="minorHAnsi" w:cstheme="minorHAnsi"/>
          <w:i/>
          <w:szCs w:val="22"/>
        </w:rPr>
        <w:t>---</w:t>
      </w:r>
    </w:p>
    <w:p w14:paraId="19417FB6" w14:textId="77777777" w:rsidR="006D4DAC" w:rsidRPr="00E344D4" w:rsidRDefault="006D4DAC" w:rsidP="007F3064">
      <w:pPr>
        <w:pStyle w:val="berschrift1"/>
      </w:pPr>
      <w:bookmarkStart w:id="23" w:name="_Toc367183619"/>
      <w:bookmarkStart w:id="24" w:name="_Toc367183857"/>
      <w:bookmarkStart w:id="25" w:name="_Toc41307608"/>
      <w:r w:rsidRPr="00E344D4">
        <w:t>5</w:t>
      </w:r>
      <w:r w:rsidRPr="00E344D4">
        <w:tab/>
      </w:r>
      <w:r w:rsidR="0049768A">
        <w:t xml:space="preserve">Verlaufskontrolle und </w:t>
      </w:r>
      <w:r w:rsidRPr="00E344D4">
        <w:t>Nachsorge</w:t>
      </w:r>
      <w:bookmarkEnd w:id="23"/>
      <w:bookmarkEnd w:id="24"/>
      <w:bookmarkEnd w:id="25"/>
    </w:p>
    <w:p w14:paraId="00CD3420" w14:textId="77777777" w:rsidR="005E26C3" w:rsidRDefault="005E26C3" w:rsidP="005E26C3">
      <w:pPr>
        <w:pStyle w:val="Textkrper-Einzug2"/>
        <w:spacing w:after="0" w:line="276" w:lineRule="auto"/>
        <w:ind w:left="0"/>
        <w:jc w:val="both"/>
        <w:rPr>
          <w:rFonts w:ascii="Calibri" w:hAnsi="Calibri" w:cs="Calibri"/>
          <w:szCs w:val="22"/>
        </w:rPr>
      </w:pPr>
    </w:p>
    <w:p w14:paraId="5B555C48" w14:textId="77777777" w:rsidR="005E26C3" w:rsidRPr="005E26C3" w:rsidRDefault="005E26C3" w:rsidP="005E26C3">
      <w:pPr>
        <w:pStyle w:val="Textkrper-Einzug2"/>
        <w:spacing w:after="0" w:line="276" w:lineRule="auto"/>
        <w:ind w:left="0"/>
        <w:jc w:val="both"/>
        <w:rPr>
          <w:rFonts w:ascii="Calibri" w:hAnsi="Calibri" w:cs="Calibri"/>
          <w:szCs w:val="22"/>
          <w:lang w:val="en-US"/>
        </w:rPr>
      </w:pPr>
      <w:r w:rsidRPr="005E26C3">
        <w:rPr>
          <w:rFonts w:ascii="Calibri" w:hAnsi="Calibri" w:cs="Calibri"/>
          <w:b/>
          <w:szCs w:val="22"/>
          <w:lang w:val="en-US"/>
        </w:rPr>
        <w:t>Very low risk:</w:t>
      </w:r>
      <w:r w:rsidRPr="005E26C3">
        <w:rPr>
          <w:rFonts w:ascii="Calibri" w:hAnsi="Calibri" w:cs="Calibri"/>
          <w:szCs w:val="22"/>
          <w:lang w:val="en-US"/>
        </w:rPr>
        <w:tab/>
      </w:r>
      <w:r w:rsidRPr="005E26C3">
        <w:rPr>
          <w:rFonts w:ascii="Calibri" w:hAnsi="Calibri" w:cs="Calibri"/>
          <w:szCs w:val="22"/>
          <w:lang w:val="en-US"/>
        </w:rPr>
        <w:tab/>
        <w:t>keine Standards, individuell vereinbaren</w:t>
      </w:r>
    </w:p>
    <w:p w14:paraId="74C219E2" w14:textId="77777777" w:rsidR="005E26C3" w:rsidRPr="005E26C3" w:rsidRDefault="005E26C3" w:rsidP="005E26C3">
      <w:pPr>
        <w:pStyle w:val="Textkrper-Einzug2"/>
        <w:spacing w:after="0" w:line="276" w:lineRule="auto"/>
        <w:ind w:left="0"/>
        <w:jc w:val="both"/>
        <w:rPr>
          <w:rFonts w:ascii="Calibri" w:hAnsi="Calibri" w:cs="Calibri"/>
          <w:szCs w:val="22"/>
          <w:lang w:val="en-US"/>
        </w:rPr>
      </w:pPr>
    </w:p>
    <w:p w14:paraId="5567F5B3" w14:textId="77777777" w:rsidR="005E26C3" w:rsidRDefault="005E26C3" w:rsidP="005E26C3">
      <w:pPr>
        <w:pStyle w:val="Textkrper-Einzug2"/>
        <w:spacing w:after="0" w:line="276" w:lineRule="auto"/>
        <w:ind w:left="0"/>
        <w:jc w:val="both"/>
        <w:rPr>
          <w:rFonts w:ascii="Calibri" w:hAnsi="Calibri" w:cs="Calibri"/>
          <w:szCs w:val="22"/>
        </w:rPr>
      </w:pPr>
      <w:r w:rsidRPr="00D62E15">
        <w:rPr>
          <w:rFonts w:ascii="Calibri" w:hAnsi="Calibri" w:cs="Calibri"/>
          <w:b/>
          <w:szCs w:val="22"/>
          <w:lang w:val="en-GB"/>
        </w:rPr>
        <w:t>Low risk:</w:t>
      </w:r>
      <w:r w:rsidRPr="00D62E15">
        <w:rPr>
          <w:rFonts w:ascii="Calibri" w:hAnsi="Calibri" w:cs="Calibri"/>
          <w:szCs w:val="22"/>
          <w:lang w:val="en-GB"/>
        </w:rPr>
        <w:tab/>
      </w:r>
      <w:r w:rsidRPr="00D62E15">
        <w:rPr>
          <w:rFonts w:ascii="Calibri" w:hAnsi="Calibri" w:cs="Calibri"/>
          <w:szCs w:val="22"/>
          <w:lang w:val="en-GB"/>
        </w:rPr>
        <w:tab/>
        <w:t xml:space="preserve">im 1. - 5. </w:t>
      </w:r>
      <w:r w:rsidRPr="005E26C3">
        <w:rPr>
          <w:rFonts w:ascii="Calibri" w:hAnsi="Calibri" w:cs="Calibri"/>
          <w:szCs w:val="22"/>
        </w:rPr>
        <w:t>Jahr  CT oder MRT alle 12 Monate</w:t>
      </w:r>
    </w:p>
    <w:p w14:paraId="1049C4F3" w14:textId="77777777" w:rsidR="005E26C3" w:rsidRPr="005E26C3" w:rsidRDefault="005E26C3" w:rsidP="005E26C3">
      <w:pPr>
        <w:pStyle w:val="Textkrper-Einzug2"/>
        <w:spacing w:after="0" w:line="276" w:lineRule="auto"/>
        <w:ind w:left="0"/>
        <w:jc w:val="both"/>
        <w:rPr>
          <w:rFonts w:ascii="Calibri" w:hAnsi="Calibri" w:cs="Calibri"/>
          <w:szCs w:val="22"/>
        </w:rPr>
      </w:pPr>
    </w:p>
    <w:p w14:paraId="7915477C" w14:textId="77777777" w:rsidR="005E26C3" w:rsidRDefault="005E26C3" w:rsidP="005E26C3">
      <w:pPr>
        <w:pStyle w:val="Textkrper-Einzug2"/>
        <w:spacing w:after="0" w:line="276" w:lineRule="auto"/>
        <w:ind w:left="0"/>
        <w:jc w:val="both"/>
        <w:rPr>
          <w:rFonts w:ascii="Calibri" w:hAnsi="Calibri" w:cs="Calibri"/>
          <w:szCs w:val="22"/>
        </w:rPr>
      </w:pPr>
      <w:r w:rsidRPr="005E26C3">
        <w:rPr>
          <w:rFonts w:ascii="Calibri" w:hAnsi="Calibri" w:cs="Calibri"/>
          <w:b/>
          <w:szCs w:val="22"/>
        </w:rPr>
        <w:t>Intermediate risk:</w:t>
      </w:r>
      <w:r>
        <w:rPr>
          <w:rFonts w:ascii="Calibri" w:hAnsi="Calibri" w:cs="Calibri"/>
          <w:szCs w:val="22"/>
        </w:rPr>
        <w:tab/>
      </w:r>
      <w:r w:rsidRPr="005E26C3">
        <w:rPr>
          <w:rFonts w:ascii="Calibri" w:hAnsi="Calibri" w:cs="Calibri"/>
          <w:szCs w:val="22"/>
        </w:rPr>
        <w:t>im 1. - 5. Jahr  CT oder MRT alle 6 Monate</w:t>
      </w:r>
    </w:p>
    <w:p w14:paraId="40645C81" w14:textId="77777777" w:rsidR="005E26C3" w:rsidRPr="005E26C3" w:rsidRDefault="005E26C3" w:rsidP="005E26C3">
      <w:pPr>
        <w:pStyle w:val="Textkrper-Einzug2"/>
        <w:spacing w:after="0" w:line="276" w:lineRule="auto"/>
        <w:ind w:left="0"/>
        <w:jc w:val="both"/>
        <w:rPr>
          <w:rFonts w:ascii="Calibri" w:hAnsi="Calibri" w:cs="Calibri"/>
          <w:szCs w:val="22"/>
        </w:rPr>
      </w:pPr>
    </w:p>
    <w:p w14:paraId="653D8F76" w14:textId="77777777" w:rsidR="005E26C3" w:rsidRPr="00D62E15" w:rsidRDefault="005E26C3" w:rsidP="005E26C3">
      <w:pPr>
        <w:pStyle w:val="Textkrper-Einzug2"/>
        <w:spacing w:line="276" w:lineRule="auto"/>
        <w:ind w:left="2124" w:hanging="2124"/>
        <w:jc w:val="both"/>
        <w:rPr>
          <w:rFonts w:ascii="Calibri" w:hAnsi="Calibri" w:cs="Calibri"/>
          <w:szCs w:val="22"/>
        </w:rPr>
      </w:pPr>
      <w:r w:rsidRPr="005E26C3">
        <w:rPr>
          <w:rFonts w:ascii="Calibri" w:hAnsi="Calibri" w:cs="Calibri"/>
          <w:b/>
          <w:szCs w:val="22"/>
        </w:rPr>
        <w:t>High risk:</w:t>
      </w:r>
      <w:r>
        <w:rPr>
          <w:rFonts w:ascii="Calibri" w:hAnsi="Calibri" w:cs="Calibri"/>
          <w:szCs w:val="22"/>
        </w:rPr>
        <w:tab/>
      </w:r>
      <w:r w:rsidRPr="00D62E15">
        <w:rPr>
          <w:rFonts w:ascii="Calibri" w:hAnsi="Calibri" w:cs="Calibri"/>
          <w:szCs w:val="22"/>
        </w:rPr>
        <w:t>im 1. - 3. Jahr CT o</w:t>
      </w:r>
      <w:r w:rsidR="0085347A" w:rsidRPr="00D62E15">
        <w:rPr>
          <w:rFonts w:ascii="Calibri" w:hAnsi="Calibri" w:cs="Calibri"/>
          <w:szCs w:val="22"/>
        </w:rPr>
        <w:t>der MRT alle 6</w:t>
      </w:r>
      <w:r w:rsidRPr="00D62E15">
        <w:rPr>
          <w:rFonts w:ascii="Calibri" w:hAnsi="Calibri" w:cs="Calibri"/>
          <w:szCs w:val="22"/>
        </w:rPr>
        <w:t xml:space="preserve"> Monate, unabhängig davon ob eine adjuvante Imatinib Therapie durchgeführt wi</w:t>
      </w:r>
      <w:r w:rsidR="0085347A" w:rsidRPr="00D62E15">
        <w:rPr>
          <w:rFonts w:ascii="Calibri" w:hAnsi="Calibri" w:cs="Calibri"/>
          <w:szCs w:val="22"/>
        </w:rPr>
        <w:t>rd oder nicht; ergänzende Sonographie alle 3 Monate</w:t>
      </w:r>
      <w:r w:rsidRPr="00D62E15">
        <w:rPr>
          <w:rFonts w:ascii="Calibri" w:hAnsi="Calibri" w:cs="Calibri"/>
          <w:szCs w:val="22"/>
        </w:rPr>
        <w:tab/>
      </w:r>
      <w:r w:rsidRPr="00D62E15">
        <w:rPr>
          <w:rFonts w:ascii="Calibri" w:hAnsi="Calibri" w:cs="Calibri"/>
          <w:szCs w:val="22"/>
        </w:rPr>
        <w:tab/>
      </w:r>
      <w:r w:rsidRPr="00D62E15">
        <w:rPr>
          <w:rFonts w:ascii="Calibri" w:hAnsi="Calibri" w:cs="Calibri"/>
          <w:szCs w:val="22"/>
        </w:rPr>
        <w:tab/>
      </w:r>
    </w:p>
    <w:p w14:paraId="05B59077" w14:textId="77777777" w:rsidR="005E26C3" w:rsidRPr="00D62E15" w:rsidRDefault="005E26C3" w:rsidP="005E26C3">
      <w:pPr>
        <w:pStyle w:val="Textkrper-Einzug2"/>
        <w:spacing w:line="276" w:lineRule="auto"/>
        <w:ind w:left="1416" w:firstLine="708"/>
        <w:jc w:val="both"/>
        <w:rPr>
          <w:rFonts w:ascii="Calibri" w:hAnsi="Calibri" w:cs="Calibri"/>
          <w:szCs w:val="22"/>
        </w:rPr>
      </w:pPr>
      <w:r w:rsidRPr="00D62E15">
        <w:rPr>
          <w:rFonts w:ascii="Calibri" w:hAnsi="Calibri" w:cs="Calibri"/>
          <w:szCs w:val="22"/>
        </w:rPr>
        <w:t>im 4. und 5. Jahr (auch nach adjuvanter Therapie) CT oder MRT alle 6 Monate</w:t>
      </w:r>
      <w:r w:rsidRPr="00D62E15">
        <w:rPr>
          <w:rFonts w:ascii="Calibri" w:hAnsi="Calibri" w:cs="Calibri"/>
          <w:szCs w:val="22"/>
        </w:rPr>
        <w:tab/>
      </w:r>
    </w:p>
    <w:p w14:paraId="2173DC9B" w14:textId="77777777" w:rsidR="00DF0655" w:rsidRDefault="005E26C3" w:rsidP="005E26C3">
      <w:pPr>
        <w:pStyle w:val="Textkrper-Einzug2"/>
        <w:spacing w:line="276" w:lineRule="auto"/>
        <w:ind w:left="1416" w:firstLine="708"/>
        <w:jc w:val="both"/>
        <w:rPr>
          <w:rFonts w:ascii="Calibri" w:hAnsi="Calibri" w:cs="Calibri"/>
          <w:szCs w:val="22"/>
        </w:rPr>
      </w:pPr>
      <w:r w:rsidRPr="00D62E15">
        <w:rPr>
          <w:rFonts w:ascii="Calibri" w:hAnsi="Calibri" w:cs="Calibri"/>
          <w:szCs w:val="22"/>
        </w:rPr>
        <w:t>vom 6. - 10. Jahr (auch nach adjuvanter Therapie) CT oder MRT alle 12 Monate</w:t>
      </w:r>
      <w:r w:rsidRPr="00BD0AEF">
        <w:rPr>
          <w:rFonts w:ascii="Calibri" w:hAnsi="Calibri" w:cs="Calibri"/>
          <w:szCs w:val="22"/>
        </w:rPr>
        <w:t xml:space="preserve"> </w:t>
      </w:r>
    </w:p>
    <w:p w14:paraId="74E2E2B3" w14:textId="77777777" w:rsidR="005E26C3" w:rsidRDefault="005E26C3" w:rsidP="005E26C3">
      <w:pPr>
        <w:pStyle w:val="Textkrper-Einzug2"/>
        <w:spacing w:line="276" w:lineRule="auto"/>
        <w:ind w:left="1416" w:firstLine="708"/>
        <w:jc w:val="both"/>
        <w:rPr>
          <w:rFonts w:ascii="Helvetica" w:eastAsia="Arial Unicode MS" w:hAnsi="Helvetica" w:cs="Arial Unicode MS"/>
          <w:szCs w:val="22"/>
        </w:rPr>
      </w:pPr>
    </w:p>
    <w:p w14:paraId="3F1FD64D" w14:textId="77777777" w:rsidR="006D4DAC" w:rsidRPr="00E344D4" w:rsidRDefault="006D4DAC" w:rsidP="007F3064">
      <w:pPr>
        <w:pStyle w:val="berschrift1"/>
      </w:pPr>
      <w:bookmarkStart w:id="26" w:name="_Toc367183620"/>
      <w:bookmarkStart w:id="27" w:name="_Toc367183858"/>
      <w:bookmarkStart w:id="28" w:name="_Toc41307609"/>
      <w:r w:rsidRPr="00E344D4">
        <w:t>6</w:t>
      </w:r>
      <w:r w:rsidRPr="00E344D4">
        <w:tab/>
        <w:t>Dokumentation und Qualitätsparameter</w:t>
      </w:r>
      <w:bookmarkEnd w:id="26"/>
      <w:bookmarkEnd w:id="27"/>
      <w:bookmarkEnd w:id="28"/>
    </w:p>
    <w:p w14:paraId="436D29C1" w14:textId="77777777" w:rsidR="00ED24ED" w:rsidRDefault="00121266"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Dokumentation in celsius37</w:t>
      </w:r>
    </w:p>
    <w:p w14:paraId="4DE7AC86" w14:textId="77777777" w:rsidR="00121266" w:rsidRDefault="00121266"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Indikatoren: R0-Resektion, PFS, OS</w:t>
      </w:r>
    </w:p>
    <w:p w14:paraId="4BD28199" w14:textId="77777777" w:rsidR="00E85FD9" w:rsidRDefault="00E85FD9" w:rsidP="007F3064">
      <w:pPr>
        <w:pStyle w:val="Textkrper-Einzug2"/>
        <w:spacing w:line="276" w:lineRule="auto"/>
        <w:ind w:left="0"/>
        <w:jc w:val="both"/>
        <w:rPr>
          <w:rFonts w:asciiTheme="minorHAnsi" w:hAnsiTheme="minorHAnsi" w:cstheme="minorHAnsi"/>
          <w:szCs w:val="22"/>
        </w:rPr>
      </w:pPr>
    </w:p>
    <w:p w14:paraId="65C29A27" w14:textId="77777777" w:rsidR="00DF0655" w:rsidRDefault="00DF0655" w:rsidP="007F3064">
      <w:pPr>
        <w:pStyle w:val="Textkrper-Einzug2"/>
        <w:spacing w:line="276" w:lineRule="auto"/>
        <w:ind w:left="0"/>
        <w:jc w:val="both"/>
        <w:rPr>
          <w:rFonts w:asciiTheme="minorHAnsi" w:hAnsiTheme="minorHAnsi" w:cstheme="minorHAnsi"/>
          <w:szCs w:val="22"/>
        </w:rPr>
      </w:pPr>
    </w:p>
    <w:p w14:paraId="75A0C69F" w14:textId="77777777" w:rsidR="00DF0655" w:rsidRDefault="00DF0655" w:rsidP="007F3064">
      <w:pPr>
        <w:pStyle w:val="Textkrper-Einzug2"/>
        <w:spacing w:line="276" w:lineRule="auto"/>
        <w:ind w:left="0"/>
        <w:jc w:val="both"/>
        <w:rPr>
          <w:rFonts w:asciiTheme="minorHAnsi" w:hAnsiTheme="minorHAnsi" w:cstheme="minorHAnsi"/>
          <w:szCs w:val="22"/>
        </w:rPr>
      </w:pPr>
    </w:p>
    <w:p w14:paraId="33F0B6A7" w14:textId="77777777" w:rsidR="00DF0655" w:rsidRDefault="00DF0655" w:rsidP="007F3064">
      <w:pPr>
        <w:pStyle w:val="Textkrper-Einzug2"/>
        <w:spacing w:line="276" w:lineRule="auto"/>
        <w:ind w:left="0"/>
        <w:jc w:val="both"/>
        <w:rPr>
          <w:rFonts w:asciiTheme="minorHAnsi" w:hAnsiTheme="minorHAnsi" w:cstheme="minorHAnsi"/>
          <w:szCs w:val="22"/>
        </w:rPr>
      </w:pPr>
    </w:p>
    <w:p w14:paraId="349BE5EE" w14:textId="77777777" w:rsidR="00DF0655" w:rsidRDefault="00DF0655" w:rsidP="007F3064">
      <w:pPr>
        <w:pStyle w:val="Textkrper-Einzug2"/>
        <w:spacing w:line="276" w:lineRule="auto"/>
        <w:ind w:left="0"/>
        <w:jc w:val="both"/>
        <w:rPr>
          <w:rFonts w:asciiTheme="minorHAnsi" w:hAnsiTheme="minorHAnsi" w:cstheme="minorHAnsi"/>
          <w:szCs w:val="22"/>
        </w:rPr>
      </w:pPr>
    </w:p>
    <w:p w14:paraId="5BD0BD51" w14:textId="77777777" w:rsidR="00DF0655" w:rsidRDefault="00DF0655" w:rsidP="007F3064">
      <w:pPr>
        <w:pStyle w:val="Textkrper-Einzug2"/>
        <w:spacing w:line="276" w:lineRule="auto"/>
        <w:ind w:left="0"/>
        <w:jc w:val="both"/>
        <w:rPr>
          <w:rFonts w:asciiTheme="minorHAnsi" w:hAnsiTheme="minorHAnsi" w:cstheme="minorHAnsi"/>
          <w:szCs w:val="22"/>
        </w:rPr>
      </w:pPr>
    </w:p>
    <w:p w14:paraId="71FBAECE" w14:textId="77777777" w:rsidR="00DF0655" w:rsidRDefault="00DF0655" w:rsidP="007F3064">
      <w:pPr>
        <w:pStyle w:val="Textkrper-Einzug2"/>
        <w:spacing w:line="276" w:lineRule="auto"/>
        <w:ind w:left="0"/>
        <w:jc w:val="both"/>
        <w:rPr>
          <w:rFonts w:asciiTheme="minorHAnsi" w:hAnsiTheme="minorHAnsi" w:cstheme="minorHAnsi"/>
          <w:szCs w:val="22"/>
        </w:rPr>
      </w:pPr>
    </w:p>
    <w:p w14:paraId="5F6E01A1" w14:textId="77777777" w:rsidR="00DF0655" w:rsidRDefault="00DF0655" w:rsidP="007F3064">
      <w:pPr>
        <w:pStyle w:val="Textkrper-Einzug2"/>
        <w:spacing w:line="276" w:lineRule="auto"/>
        <w:ind w:left="0"/>
        <w:jc w:val="both"/>
        <w:rPr>
          <w:rFonts w:asciiTheme="minorHAnsi" w:hAnsiTheme="minorHAnsi" w:cstheme="minorHAnsi"/>
          <w:szCs w:val="22"/>
        </w:rPr>
      </w:pPr>
    </w:p>
    <w:p w14:paraId="1A4173CD" w14:textId="77777777" w:rsidR="00DF0655" w:rsidRDefault="00DF0655" w:rsidP="007F3064">
      <w:pPr>
        <w:pStyle w:val="Textkrper-Einzug2"/>
        <w:spacing w:line="276" w:lineRule="auto"/>
        <w:ind w:left="0"/>
        <w:jc w:val="both"/>
        <w:rPr>
          <w:rFonts w:asciiTheme="minorHAnsi" w:hAnsiTheme="minorHAnsi" w:cstheme="minorHAnsi"/>
          <w:szCs w:val="22"/>
        </w:rPr>
      </w:pPr>
    </w:p>
    <w:p w14:paraId="5C04520B" w14:textId="77777777" w:rsidR="00DF0655" w:rsidRDefault="00DF0655" w:rsidP="007F3064">
      <w:pPr>
        <w:pStyle w:val="Textkrper-Einzug2"/>
        <w:spacing w:line="276" w:lineRule="auto"/>
        <w:ind w:left="0"/>
        <w:jc w:val="both"/>
        <w:rPr>
          <w:rFonts w:asciiTheme="minorHAnsi" w:hAnsiTheme="minorHAnsi" w:cstheme="minorHAnsi"/>
          <w:szCs w:val="22"/>
        </w:rPr>
      </w:pPr>
    </w:p>
    <w:p w14:paraId="2CCC5048" w14:textId="77777777" w:rsidR="00DF0655" w:rsidRDefault="00DF0655" w:rsidP="007F3064">
      <w:pPr>
        <w:pStyle w:val="Textkrper-Einzug2"/>
        <w:spacing w:line="276" w:lineRule="auto"/>
        <w:ind w:left="0"/>
        <w:jc w:val="both"/>
        <w:rPr>
          <w:rFonts w:asciiTheme="minorHAnsi" w:hAnsiTheme="minorHAnsi" w:cstheme="minorHAnsi"/>
          <w:szCs w:val="22"/>
        </w:rPr>
      </w:pPr>
    </w:p>
    <w:p w14:paraId="35309D4B" w14:textId="77777777" w:rsidR="00DF0655" w:rsidRDefault="00DF0655" w:rsidP="007F3064">
      <w:pPr>
        <w:pStyle w:val="Textkrper-Einzug2"/>
        <w:spacing w:line="276" w:lineRule="auto"/>
        <w:ind w:left="0"/>
        <w:jc w:val="both"/>
        <w:rPr>
          <w:rFonts w:asciiTheme="minorHAnsi" w:hAnsiTheme="minorHAnsi" w:cstheme="minorHAnsi"/>
          <w:szCs w:val="22"/>
        </w:rPr>
      </w:pPr>
    </w:p>
    <w:p w14:paraId="250F167F" w14:textId="77777777" w:rsidR="00DF0655" w:rsidRDefault="00DF0655" w:rsidP="007F3064">
      <w:pPr>
        <w:pStyle w:val="Textkrper-Einzug2"/>
        <w:spacing w:line="276" w:lineRule="auto"/>
        <w:ind w:left="0"/>
        <w:jc w:val="both"/>
        <w:rPr>
          <w:rFonts w:asciiTheme="minorHAnsi" w:hAnsiTheme="minorHAnsi" w:cstheme="minorHAnsi"/>
          <w:szCs w:val="22"/>
        </w:rPr>
      </w:pPr>
    </w:p>
    <w:p w14:paraId="4EDECE38" w14:textId="77777777" w:rsidR="00DF0655" w:rsidRDefault="00DF0655" w:rsidP="007F3064">
      <w:pPr>
        <w:pStyle w:val="Textkrper-Einzug2"/>
        <w:spacing w:line="276" w:lineRule="auto"/>
        <w:ind w:left="0"/>
        <w:jc w:val="both"/>
        <w:rPr>
          <w:rFonts w:asciiTheme="minorHAnsi" w:hAnsiTheme="minorHAnsi" w:cstheme="minorHAnsi"/>
          <w:szCs w:val="22"/>
        </w:rPr>
      </w:pPr>
    </w:p>
    <w:p w14:paraId="549A0A24" w14:textId="77777777" w:rsidR="00DF0655" w:rsidRDefault="00DF0655" w:rsidP="007F3064">
      <w:pPr>
        <w:pStyle w:val="Textkrper-Einzug2"/>
        <w:spacing w:line="276" w:lineRule="auto"/>
        <w:ind w:left="0"/>
        <w:jc w:val="both"/>
        <w:rPr>
          <w:rFonts w:asciiTheme="minorHAnsi" w:hAnsiTheme="minorHAnsi" w:cstheme="minorHAnsi"/>
          <w:szCs w:val="22"/>
        </w:rPr>
      </w:pPr>
    </w:p>
    <w:p w14:paraId="3483F214" w14:textId="77777777" w:rsidR="00DF0655" w:rsidRDefault="00DF0655" w:rsidP="007F3064">
      <w:pPr>
        <w:pStyle w:val="Textkrper-Einzug2"/>
        <w:spacing w:line="276" w:lineRule="auto"/>
        <w:ind w:left="0"/>
        <w:jc w:val="both"/>
        <w:rPr>
          <w:rFonts w:asciiTheme="minorHAnsi" w:hAnsiTheme="minorHAnsi" w:cstheme="minorHAnsi"/>
          <w:szCs w:val="22"/>
        </w:rPr>
      </w:pPr>
    </w:p>
    <w:p w14:paraId="44EAAB6D" w14:textId="77777777" w:rsidR="00DF0655" w:rsidRPr="007F3064" w:rsidRDefault="00DF0655" w:rsidP="007F3064">
      <w:pPr>
        <w:pStyle w:val="Textkrper-Einzug2"/>
        <w:spacing w:line="276" w:lineRule="auto"/>
        <w:ind w:left="0"/>
        <w:jc w:val="both"/>
        <w:rPr>
          <w:rFonts w:asciiTheme="minorHAnsi" w:hAnsiTheme="minorHAnsi" w:cstheme="minorHAnsi"/>
          <w:szCs w:val="22"/>
        </w:rPr>
      </w:pPr>
    </w:p>
    <w:p w14:paraId="79BF5D58" w14:textId="77777777" w:rsidR="006D4DAC" w:rsidRPr="00E344D4" w:rsidRDefault="006D4DAC" w:rsidP="007F3064">
      <w:pPr>
        <w:pStyle w:val="berschrift1"/>
      </w:pPr>
      <w:bookmarkStart w:id="29" w:name="_Toc367183621"/>
      <w:bookmarkStart w:id="30" w:name="_Toc367183859"/>
      <w:bookmarkStart w:id="31" w:name="_Toc41307610"/>
      <w:r w:rsidRPr="00E344D4">
        <w:lastRenderedPageBreak/>
        <w:t>Literatur/Quellenangaben</w:t>
      </w:r>
      <w:bookmarkEnd w:id="29"/>
      <w:bookmarkEnd w:id="30"/>
      <w:bookmarkEnd w:id="31"/>
    </w:p>
    <w:p w14:paraId="3D6CF6A0"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1.</w:t>
      </w:r>
      <w:r w:rsidRPr="00E85FD9">
        <w:rPr>
          <w:rFonts w:asciiTheme="minorHAnsi" w:hAnsiTheme="minorHAnsi"/>
          <w:sz w:val="20"/>
          <w:lang w:val="en-US"/>
        </w:rPr>
        <w:tab/>
        <w:t>Joensuu</w:t>
      </w:r>
      <w:r w:rsidRPr="00F250FE">
        <w:rPr>
          <w:rFonts w:asciiTheme="minorHAnsi" w:hAnsiTheme="minorHAnsi"/>
          <w:sz w:val="20"/>
          <w:lang w:val="en-US"/>
        </w:rPr>
        <w:t xml:space="preserve"> H, DeMatteo RP. </w:t>
      </w:r>
      <w:r w:rsidRPr="00E85FD9">
        <w:rPr>
          <w:rFonts w:asciiTheme="minorHAnsi" w:hAnsiTheme="minorHAnsi"/>
          <w:sz w:val="20"/>
          <w:lang w:val="en-US"/>
        </w:rPr>
        <w:t>The management of gastrointestinal stromal tumors: a model for targeted and multidisciplinary therapy of malignancy. Annu Rev Med. 2012;63:247-58.</w:t>
      </w:r>
    </w:p>
    <w:p w14:paraId="183E2322"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2.</w:t>
      </w:r>
      <w:r w:rsidRPr="00E85FD9">
        <w:rPr>
          <w:rFonts w:asciiTheme="minorHAnsi" w:hAnsiTheme="minorHAnsi"/>
          <w:sz w:val="20"/>
          <w:lang w:val="en-US"/>
        </w:rPr>
        <w:tab/>
        <w:t>Corless CL, Barnett CM, Heinrich MC. Gastrointestinal stromal tumours: origin and molecular oncology. Nat Rev Cancer. 2011;11:865-78.</w:t>
      </w:r>
    </w:p>
    <w:p w14:paraId="22D67C03"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3.</w:t>
      </w:r>
      <w:r w:rsidRPr="00E85FD9">
        <w:rPr>
          <w:rFonts w:asciiTheme="minorHAnsi" w:hAnsiTheme="minorHAnsi"/>
          <w:sz w:val="20"/>
          <w:lang w:val="en-US"/>
        </w:rPr>
        <w:tab/>
        <w:t>Joensuu H, Hohenberger P, Corless CL. Gastrointestinal stromal tumour. Lancet. 2013;382:973-83.</w:t>
      </w:r>
    </w:p>
    <w:p w14:paraId="19603C75"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4.</w:t>
      </w:r>
      <w:r w:rsidRPr="00E85FD9">
        <w:rPr>
          <w:rFonts w:asciiTheme="minorHAnsi" w:hAnsiTheme="minorHAnsi"/>
          <w:sz w:val="20"/>
          <w:lang w:val="en-US"/>
        </w:rPr>
        <w:tab/>
        <w:t>Woodall CE, Brock GN, Fan J et al. An evaluation of 2537 gastrointestinal stromal tumors for a proposed clinical staging system. Arch Surg. 2009;144:670-8.</w:t>
      </w:r>
    </w:p>
    <w:p w14:paraId="1BFC2547"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5.</w:t>
      </w:r>
      <w:r w:rsidRPr="00E85FD9">
        <w:rPr>
          <w:rFonts w:asciiTheme="minorHAnsi" w:hAnsiTheme="minorHAnsi"/>
          <w:sz w:val="20"/>
          <w:lang w:val="en-US"/>
        </w:rPr>
        <w:tab/>
        <w:t>DeMatteo RP, Lewis JJ, Leung D, Mudan SS, Woodruff JM, Brennan MF. Two hundred gastrointestinal stromal tumors: recurrence patterns and prognostic factors for survival. Ann Surg. 2000;231:51-8.</w:t>
      </w:r>
    </w:p>
    <w:p w14:paraId="332EE74A"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6.</w:t>
      </w:r>
      <w:r w:rsidRPr="00E85FD9">
        <w:rPr>
          <w:rFonts w:asciiTheme="minorHAnsi" w:hAnsiTheme="minorHAnsi"/>
          <w:sz w:val="20"/>
          <w:lang w:val="en-US"/>
        </w:rPr>
        <w:tab/>
        <w:t>Mikami T, Terada T, Nakamura K, Okayasu I. The gastric hypercellular microleiomyoma as a precursor lesion for clinical gastrointestinal stromal tumors. Hum Pathol. 1997;28:1355-60.</w:t>
      </w:r>
    </w:p>
    <w:p w14:paraId="296BDB33"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7.</w:t>
      </w:r>
      <w:r w:rsidRPr="00E85FD9">
        <w:rPr>
          <w:rFonts w:asciiTheme="minorHAnsi" w:hAnsiTheme="minorHAnsi"/>
          <w:sz w:val="20"/>
          <w:lang w:val="en-US"/>
        </w:rPr>
        <w:tab/>
        <w:t>Joensuu H, Vehtari A, Riihimäki J et al. Risk of recurrence of gastrointestinal stromal tumour after surgery: an analysis of pooled population-based cohorts. Lancet Oncol. 2012;13:265-74.</w:t>
      </w:r>
    </w:p>
    <w:p w14:paraId="29C4FAC9" w14:textId="77777777" w:rsidR="00E85FD9" w:rsidRPr="00E85FD9" w:rsidRDefault="00E85FD9" w:rsidP="00E85FD9">
      <w:pPr>
        <w:spacing w:after="60" w:line="240" w:lineRule="auto"/>
        <w:ind w:left="284" w:hanging="284"/>
        <w:jc w:val="both"/>
        <w:rPr>
          <w:rFonts w:asciiTheme="minorHAnsi" w:hAnsiTheme="minorHAnsi"/>
          <w:sz w:val="20"/>
        </w:rPr>
      </w:pPr>
      <w:r w:rsidRPr="00E85FD9">
        <w:rPr>
          <w:rFonts w:asciiTheme="minorHAnsi" w:hAnsiTheme="minorHAnsi"/>
          <w:sz w:val="20"/>
          <w:lang w:val="fr-FR"/>
        </w:rPr>
        <w:t>8.</w:t>
      </w:r>
      <w:r w:rsidRPr="00E85FD9">
        <w:rPr>
          <w:rFonts w:asciiTheme="minorHAnsi" w:hAnsiTheme="minorHAnsi"/>
          <w:sz w:val="20"/>
          <w:lang w:val="fr-FR"/>
        </w:rPr>
        <w:tab/>
        <w:t>Ducimetiè</w:t>
      </w:r>
      <w:r w:rsidRPr="00E85FD9">
        <w:rPr>
          <w:rFonts w:asciiTheme="minorHAnsi" w:hAnsiTheme="minorHAnsi"/>
          <w:sz w:val="20"/>
          <w:lang w:val="nl-NL"/>
        </w:rPr>
        <w:t>re F, Lurkin A, Ranch</w:t>
      </w:r>
      <w:r w:rsidRPr="00E85FD9">
        <w:rPr>
          <w:rFonts w:asciiTheme="minorHAnsi" w:hAnsiTheme="minorHAnsi"/>
          <w:sz w:val="20"/>
          <w:lang w:val="fr-FR"/>
        </w:rPr>
        <w:t>è</w:t>
      </w:r>
      <w:r w:rsidRPr="00E85FD9">
        <w:rPr>
          <w:rFonts w:asciiTheme="minorHAnsi" w:hAnsiTheme="minorHAnsi"/>
          <w:sz w:val="20"/>
          <w:lang w:val="en-US"/>
        </w:rPr>
        <w:t xml:space="preserve">re-Vince D et al. Incidence of sarcoma histotypes and molecular subtypes in a prospective epidemiological study with central pathology review and molecular testing. </w:t>
      </w:r>
      <w:r w:rsidRPr="00E85FD9">
        <w:rPr>
          <w:rFonts w:asciiTheme="minorHAnsi" w:hAnsiTheme="minorHAnsi"/>
          <w:sz w:val="20"/>
          <w:lang w:val="de-DE"/>
        </w:rPr>
        <w:t>PLoS One. 2011;6:e20294.</w:t>
      </w:r>
    </w:p>
    <w:p w14:paraId="04D5C0E6"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de-DE"/>
        </w:rPr>
        <w:t>9.</w:t>
      </w:r>
      <w:r w:rsidRPr="00E85FD9">
        <w:rPr>
          <w:rFonts w:asciiTheme="minorHAnsi" w:hAnsiTheme="minorHAnsi"/>
          <w:sz w:val="20"/>
          <w:lang w:val="de-DE"/>
        </w:rPr>
        <w:tab/>
        <w:t xml:space="preserve">Murphy JD, Ma GL, Baumgartner JM et al. </w:t>
      </w:r>
      <w:r w:rsidRPr="00E85FD9">
        <w:rPr>
          <w:rFonts w:asciiTheme="minorHAnsi" w:hAnsiTheme="minorHAnsi"/>
          <w:sz w:val="20"/>
          <w:lang w:val="en-US"/>
        </w:rPr>
        <w:t>Increased risk of additional cancers among patients with gastrointestinal stromal tumors: A population-based study. Cancer. 2015;121:2960-7.</w:t>
      </w:r>
    </w:p>
    <w:p w14:paraId="1755DCCC"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10.</w:t>
      </w:r>
      <w:r w:rsidRPr="00E85FD9">
        <w:rPr>
          <w:rFonts w:asciiTheme="minorHAnsi" w:hAnsiTheme="minorHAnsi"/>
          <w:sz w:val="20"/>
          <w:lang w:val="en-US"/>
        </w:rPr>
        <w:tab/>
        <w:t>Hirota S, Isozaki K, Moriyama Y et al. Gain-of-function mutations of c-kit in human gastrointestinal stromal tumors. Science. 1998;279:577-80.</w:t>
      </w:r>
    </w:p>
    <w:p w14:paraId="54043C26"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11.</w:t>
      </w:r>
      <w:r w:rsidRPr="00E85FD9">
        <w:rPr>
          <w:rFonts w:asciiTheme="minorHAnsi" w:hAnsiTheme="minorHAnsi"/>
          <w:sz w:val="20"/>
          <w:lang w:val="en-US"/>
        </w:rPr>
        <w:tab/>
        <w:t>Heinrich MC, Corless CL, Duensing A et al. PDGFRA activating mutations in gastrointestinal stromal tumors. Science. 2003;299:708-10.</w:t>
      </w:r>
    </w:p>
    <w:p w14:paraId="418466EE"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12.</w:t>
      </w:r>
      <w:r w:rsidRPr="00E85FD9">
        <w:rPr>
          <w:rFonts w:asciiTheme="minorHAnsi" w:hAnsiTheme="minorHAnsi"/>
          <w:sz w:val="20"/>
          <w:lang w:val="en-US"/>
        </w:rPr>
        <w:tab/>
        <w:t>Boikos SA, Stratakis CA. The genetic landscape of gastrointestinal stromal tumor lacking KIT and PDGFRA mutations. Endocrine. 2014;47:401-8.</w:t>
      </w:r>
    </w:p>
    <w:p w14:paraId="0F6D8C3C"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13.</w:t>
      </w:r>
      <w:r w:rsidRPr="00E85FD9">
        <w:rPr>
          <w:rFonts w:asciiTheme="minorHAnsi" w:hAnsiTheme="minorHAnsi"/>
          <w:sz w:val="20"/>
          <w:lang w:val="en-US"/>
        </w:rPr>
        <w:tab/>
        <w:t>Stratakis CA, Carney JA. The triad of paragangliomas, gastric stromal tumours and pulmonary chondromas (Carney triad), and the dyad of paragangliomas and gastric stromal sarcomas (Carney-Stratakis syndrome): molecular genetics and clinical implications. J Intern Med. 2009;266:43-52.</w:t>
      </w:r>
    </w:p>
    <w:p w14:paraId="78A9901E"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14.</w:t>
      </w:r>
      <w:r w:rsidRPr="00E85FD9">
        <w:rPr>
          <w:rFonts w:asciiTheme="minorHAnsi" w:hAnsiTheme="minorHAnsi"/>
          <w:sz w:val="20"/>
          <w:lang w:val="en-US"/>
        </w:rPr>
        <w:tab/>
        <w:t>Wang YM, Gu ML, Ji F. Succinate dehydrogenase-deficient gastrointestinal stromal tumors. World J Gastroenterol. 2015;21:2303-14.</w:t>
      </w:r>
    </w:p>
    <w:p w14:paraId="1C0AC331"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15.</w:t>
      </w:r>
      <w:r w:rsidRPr="00E85FD9">
        <w:rPr>
          <w:rFonts w:asciiTheme="minorHAnsi" w:hAnsiTheme="minorHAnsi"/>
          <w:sz w:val="20"/>
          <w:lang w:val="en-US"/>
        </w:rPr>
        <w:tab/>
        <w:t>Ricci R. Syndromic gastrointestinal stromal tumors. Hered Cancer Clin Pract. 2016;14:15.</w:t>
      </w:r>
    </w:p>
    <w:p w14:paraId="63EEDEAE" w14:textId="77777777" w:rsidR="00E85FD9" w:rsidRPr="00E85FD9" w:rsidRDefault="00E85FD9" w:rsidP="00E85FD9">
      <w:pPr>
        <w:spacing w:after="60" w:line="240" w:lineRule="auto"/>
        <w:ind w:left="284" w:hanging="284"/>
        <w:jc w:val="both"/>
        <w:rPr>
          <w:rFonts w:asciiTheme="minorHAnsi" w:hAnsiTheme="minorHAnsi"/>
          <w:sz w:val="20"/>
        </w:rPr>
      </w:pPr>
      <w:r w:rsidRPr="00E85FD9">
        <w:rPr>
          <w:rFonts w:asciiTheme="minorHAnsi" w:hAnsiTheme="minorHAnsi"/>
          <w:sz w:val="20"/>
          <w:lang w:val="en-US"/>
        </w:rPr>
        <w:t>16.</w:t>
      </w:r>
      <w:r w:rsidRPr="00E85FD9">
        <w:rPr>
          <w:rFonts w:asciiTheme="minorHAnsi" w:hAnsiTheme="minorHAnsi"/>
          <w:sz w:val="20"/>
          <w:lang w:val="en-US"/>
        </w:rPr>
        <w:tab/>
        <w:t>Z</w:t>
      </w:r>
      <w:r w:rsidRPr="00E85FD9">
        <w:rPr>
          <w:rFonts w:asciiTheme="minorHAnsi" w:hAnsiTheme="minorHAnsi"/>
          <w:sz w:val="20"/>
          <w:lang w:val="sv-SE"/>
        </w:rPr>
        <w:t>ö</w:t>
      </w:r>
      <w:r w:rsidRPr="00E85FD9">
        <w:rPr>
          <w:rFonts w:asciiTheme="minorHAnsi" w:hAnsiTheme="minorHAnsi"/>
          <w:sz w:val="20"/>
          <w:lang w:val="da-DK"/>
        </w:rPr>
        <w:t>ller ME, Rembeck B, Od</w:t>
      </w:r>
      <w:r w:rsidRPr="00E85FD9">
        <w:rPr>
          <w:rFonts w:asciiTheme="minorHAnsi" w:hAnsiTheme="minorHAnsi"/>
          <w:sz w:val="20"/>
          <w:lang w:val="fr-FR"/>
        </w:rPr>
        <w:t>é</w:t>
      </w:r>
      <w:r w:rsidRPr="00E85FD9">
        <w:rPr>
          <w:rFonts w:asciiTheme="minorHAnsi" w:hAnsiTheme="minorHAnsi"/>
          <w:sz w:val="20"/>
          <w:lang w:val="en-US"/>
        </w:rPr>
        <w:t xml:space="preserve">n A, Samuelsson M, Angervall L. Malignant and benign tumors in patients with neurofibromatosis type 1 in a defined Swedish population. </w:t>
      </w:r>
      <w:r w:rsidRPr="00E85FD9">
        <w:rPr>
          <w:rFonts w:asciiTheme="minorHAnsi" w:hAnsiTheme="minorHAnsi"/>
          <w:sz w:val="20"/>
          <w:lang w:val="de-DE"/>
        </w:rPr>
        <w:t>Cancer. 1997;79:2125-31.</w:t>
      </w:r>
    </w:p>
    <w:p w14:paraId="5DE195AC"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de-DE"/>
        </w:rPr>
        <w:t>17.</w:t>
      </w:r>
      <w:r w:rsidRPr="00E85FD9">
        <w:rPr>
          <w:rFonts w:asciiTheme="minorHAnsi" w:hAnsiTheme="minorHAnsi"/>
          <w:sz w:val="20"/>
          <w:lang w:val="de-DE"/>
        </w:rPr>
        <w:tab/>
        <w:t xml:space="preserve">Demetri GD, von Mehren M, Antonescu CR et al. </w:t>
      </w:r>
      <w:r w:rsidRPr="00E85FD9">
        <w:rPr>
          <w:rFonts w:asciiTheme="minorHAnsi" w:hAnsiTheme="minorHAnsi"/>
          <w:sz w:val="20"/>
          <w:lang w:val="en-US"/>
        </w:rPr>
        <w:t>NCCN Task Force report: update on the management of patients with gastrointestinal stromal tumors. J Natl Compr Canc Netw. 2010;8 Suppl 2:S1-41; quiz S42.</w:t>
      </w:r>
    </w:p>
    <w:p w14:paraId="3237C6DF"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18.</w:t>
      </w:r>
      <w:r w:rsidRPr="00E85FD9">
        <w:rPr>
          <w:rFonts w:asciiTheme="minorHAnsi" w:hAnsiTheme="minorHAnsi"/>
          <w:sz w:val="20"/>
          <w:lang w:val="en-US"/>
        </w:rPr>
        <w:tab/>
        <w:t>West RB, Corless CL, Chen X et al. The novel marker, DOG1, is expressed ubiquitously in gastrointestinal stromal tumors irrespective of KIT or PDGFRA mutation status. Am J Pathol. 2004;165:107-13.</w:t>
      </w:r>
    </w:p>
    <w:p w14:paraId="20D51542"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19.</w:t>
      </w:r>
      <w:r w:rsidRPr="00E85FD9">
        <w:rPr>
          <w:rFonts w:asciiTheme="minorHAnsi" w:hAnsiTheme="minorHAnsi"/>
          <w:sz w:val="20"/>
          <w:lang w:val="en-US"/>
        </w:rPr>
        <w:tab/>
        <w:t>Novelli M, Rossi S, Rodriguez-Justo M et al. DOG1 and CD117 are the antibodies of choice in the diagnosis of gastrointestinal stromal tumours. Histopathology. 2010;57:259-70.</w:t>
      </w:r>
    </w:p>
    <w:p w14:paraId="299D39F4" w14:textId="77777777" w:rsidR="00E85FD9" w:rsidRPr="00E85FD9" w:rsidRDefault="00E85FD9" w:rsidP="00E85FD9">
      <w:pPr>
        <w:spacing w:after="60" w:line="240" w:lineRule="auto"/>
        <w:ind w:left="284" w:hanging="284"/>
        <w:jc w:val="both"/>
        <w:rPr>
          <w:rFonts w:asciiTheme="minorHAnsi" w:hAnsiTheme="minorHAnsi"/>
          <w:sz w:val="20"/>
        </w:rPr>
      </w:pPr>
      <w:r w:rsidRPr="00E85FD9">
        <w:rPr>
          <w:rFonts w:asciiTheme="minorHAnsi" w:hAnsiTheme="minorHAnsi"/>
          <w:sz w:val="20"/>
          <w:lang w:val="en-US"/>
        </w:rPr>
        <w:t>20.</w:t>
      </w:r>
      <w:r w:rsidRPr="00E85FD9">
        <w:rPr>
          <w:rFonts w:asciiTheme="minorHAnsi" w:hAnsiTheme="minorHAnsi"/>
          <w:sz w:val="20"/>
          <w:lang w:val="en-US"/>
        </w:rPr>
        <w:tab/>
        <w:t xml:space="preserve">Medeiros F, Corless CL, Duensing A et al. KIT-negative gastrointestinal stromal tumors: proof of concept and therapeutic implications. </w:t>
      </w:r>
      <w:r w:rsidRPr="00E85FD9">
        <w:rPr>
          <w:rFonts w:asciiTheme="minorHAnsi" w:hAnsiTheme="minorHAnsi"/>
          <w:sz w:val="20"/>
          <w:lang w:val="de-DE"/>
        </w:rPr>
        <w:t>Am J Surg Pathol. 2004;28:889-94.</w:t>
      </w:r>
    </w:p>
    <w:p w14:paraId="0FC5093B"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de-DE"/>
        </w:rPr>
        <w:t>21.</w:t>
      </w:r>
      <w:r w:rsidRPr="00E85FD9">
        <w:rPr>
          <w:rFonts w:asciiTheme="minorHAnsi" w:hAnsiTheme="minorHAnsi"/>
          <w:sz w:val="20"/>
          <w:lang w:val="de-DE"/>
        </w:rPr>
        <w:tab/>
        <w:t xml:space="preserve">Koo DH, Ryu MH, Kim KM et al. </w:t>
      </w:r>
      <w:r w:rsidRPr="00E85FD9">
        <w:rPr>
          <w:rFonts w:asciiTheme="minorHAnsi" w:hAnsiTheme="minorHAnsi"/>
          <w:sz w:val="20"/>
          <w:lang w:val="en-US"/>
        </w:rPr>
        <w:t>Asian Consensus Guidelines for the Diagnosis and Management of Gastrointestinal Stromal Tumor. Cancer Res Treat. 2016;48:1155-66.</w:t>
      </w:r>
    </w:p>
    <w:p w14:paraId="14FFC9C5"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22.</w:t>
      </w:r>
      <w:r w:rsidRPr="00E85FD9">
        <w:rPr>
          <w:rFonts w:asciiTheme="minorHAnsi" w:hAnsiTheme="minorHAnsi"/>
          <w:sz w:val="20"/>
          <w:lang w:val="en-US"/>
        </w:rPr>
        <w:tab/>
        <w:t>Kalkmann J, Zeile M, Antoch G et al. Consensus report on the radiological management of patients with gastrointestinal stromal tumours (GIST): recommendations of the German GIST Imaging Working Group. Cancer Imaging. 2012;12:126-35.</w:t>
      </w:r>
    </w:p>
    <w:p w14:paraId="33EC39EC"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23.</w:t>
      </w:r>
      <w:r w:rsidRPr="00E85FD9">
        <w:rPr>
          <w:rFonts w:asciiTheme="minorHAnsi" w:hAnsiTheme="minorHAnsi"/>
          <w:sz w:val="20"/>
          <w:lang w:val="en-US"/>
        </w:rPr>
        <w:tab/>
        <w:t>Agaimy A. Gastrointestinal stromal tumors (GIST) from risk stratification systems to the new TNM proposal: more questions than answers? A review emphasizing the need for a standardized GIST reporting. Int J Clin Exp Pathol. 2010;3:461-71.</w:t>
      </w:r>
    </w:p>
    <w:p w14:paraId="0876E4C9"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24.</w:t>
      </w:r>
      <w:r w:rsidRPr="00E85FD9">
        <w:rPr>
          <w:rFonts w:asciiTheme="minorHAnsi" w:hAnsiTheme="minorHAnsi"/>
          <w:sz w:val="20"/>
          <w:lang w:val="en-US"/>
        </w:rPr>
        <w:tab/>
        <w:t>Joensuu H. Risk stratification of patients diagnosed with gastrointestinal stromal tumor. Hum Pathol. 2008;39:1411-9.</w:t>
      </w:r>
    </w:p>
    <w:p w14:paraId="5433A286"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lastRenderedPageBreak/>
        <w:t>25.</w:t>
      </w:r>
      <w:r w:rsidRPr="00E85FD9">
        <w:rPr>
          <w:rFonts w:asciiTheme="minorHAnsi" w:hAnsiTheme="minorHAnsi"/>
          <w:sz w:val="20"/>
          <w:lang w:val="en-US"/>
        </w:rPr>
        <w:tab/>
        <w:t>Miettinen M, Sobin LH, Lasota J. Gastrointestinal stromal tumors of the stomach: a clinicopathologic, immunohistochemical, and molecular genetic study of 1765 cases with long-term follow-up. Am J Surg Pathol. 2005;29:52-68.</w:t>
      </w:r>
    </w:p>
    <w:p w14:paraId="5BEECEA9"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26.</w:t>
      </w:r>
      <w:r w:rsidRPr="00E85FD9">
        <w:rPr>
          <w:rFonts w:asciiTheme="minorHAnsi" w:hAnsiTheme="minorHAnsi"/>
          <w:sz w:val="20"/>
          <w:lang w:val="en-US"/>
        </w:rPr>
        <w:tab/>
        <w:t>Miettinen M, Makhlouf H, Sobin LH, Lasota J. Gastrointestinal stromal tumors of the jejunum and ileum: a clinicopathologic, immunohistochemical, and molecular genetic study of 906 cases before imatinib with long-term follow-up. Am J Surg Pathol. 2006;30:477-89.</w:t>
      </w:r>
    </w:p>
    <w:p w14:paraId="737B1D61"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27.</w:t>
      </w:r>
      <w:r w:rsidRPr="00E85FD9">
        <w:rPr>
          <w:rFonts w:asciiTheme="minorHAnsi" w:hAnsiTheme="minorHAnsi"/>
          <w:sz w:val="20"/>
          <w:lang w:val="en-US"/>
        </w:rPr>
        <w:tab/>
        <w:t>Gold JS, G</w:t>
      </w:r>
      <w:r w:rsidRPr="00E85FD9">
        <w:rPr>
          <w:rFonts w:asciiTheme="minorHAnsi" w:hAnsiTheme="minorHAnsi"/>
          <w:sz w:val="20"/>
          <w:lang w:val="sv-SE"/>
        </w:rPr>
        <w:t>ö</w:t>
      </w:r>
      <w:r w:rsidRPr="00E85FD9">
        <w:rPr>
          <w:rFonts w:asciiTheme="minorHAnsi" w:hAnsiTheme="minorHAnsi"/>
          <w:sz w:val="20"/>
          <w:lang w:val="en-US"/>
        </w:rPr>
        <w:t>nen M, Guti</w:t>
      </w:r>
      <w:r w:rsidRPr="00E85FD9">
        <w:rPr>
          <w:rFonts w:asciiTheme="minorHAnsi" w:hAnsiTheme="minorHAnsi"/>
          <w:sz w:val="20"/>
          <w:lang w:val="fr-FR"/>
        </w:rPr>
        <w:t>é</w:t>
      </w:r>
      <w:r w:rsidRPr="00E85FD9">
        <w:rPr>
          <w:rFonts w:asciiTheme="minorHAnsi" w:hAnsiTheme="minorHAnsi"/>
          <w:sz w:val="20"/>
          <w:lang w:val="en-US"/>
        </w:rPr>
        <w:t>rrez A et al. Development and validation of a prognostic nomogram for recurrence-free survival after complete surgical resection of localised primary gastrointestinal stromal tumour: a retrospective analysis. Lancet Oncol. 2009;10:1045-52.</w:t>
      </w:r>
    </w:p>
    <w:p w14:paraId="55231955" w14:textId="77777777" w:rsidR="00E85FD9" w:rsidRPr="00E85FD9" w:rsidRDefault="00E85FD9" w:rsidP="00E85FD9">
      <w:pPr>
        <w:spacing w:after="60" w:line="240" w:lineRule="auto"/>
        <w:ind w:left="284" w:hanging="284"/>
        <w:jc w:val="both"/>
        <w:rPr>
          <w:rFonts w:asciiTheme="minorHAnsi" w:hAnsiTheme="minorHAnsi"/>
          <w:sz w:val="20"/>
          <w:lang w:val="en-US"/>
        </w:rPr>
      </w:pPr>
      <w:r w:rsidRPr="00E85FD9">
        <w:rPr>
          <w:rFonts w:asciiTheme="minorHAnsi" w:hAnsiTheme="minorHAnsi"/>
          <w:sz w:val="20"/>
          <w:lang w:val="en-US"/>
        </w:rPr>
        <w:t>28.</w:t>
      </w:r>
      <w:r w:rsidRPr="00E85FD9">
        <w:rPr>
          <w:rFonts w:asciiTheme="minorHAnsi" w:hAnsiTheme="minorHAnsi"/>
          <w:sz w:val="20"/>
          <w:lang w:val="en-US"/>
        </w:rPr>
        <w:tab/>
        <w:t>Blay JY, von Mehren M, Blackstein ME. Perspective on updated treatment guidelines for patients with gastrointestinal stromal tumors. Cancer. 2010;116:5126-37.</w:t>
      </w:r>
    </w:p>
    <w:p w14:paraId="3E8FBEE6" w14:textId="77777777" w:rsidR="00E85FD9" w:rsidRPr="00D62E15" w:rsidRDefault="00E85FD9" w:rsidP="00E85FD9">
      <w:pPr>
        <w:spacing w:after="60" w:line="240" w:lineRule="auto"/>
        <w:ind w:left="284" w:hanging="284"/>
        <w:jc w:val="both"/>
        <w:rPr>
          <w:rFonts w:asciiTheme="minorHAnsi" w:hAnsiTheme="minorHAnsi"/>
          <w:sz w:val="20"/>
          <w:lang w:val="en-GB"/>
        </w:rPr>
      </w:pPr>
      <w:r w:rsidRPr="00E85FD9">
        <w:rPr>
          <w:rFonts w:asciiTheme="minorHAnsi" w:hAnsiTheme="minorHAnsi"/>
          <w:sz w:val="20"/>
          <w:lang w:val="en-US"/>
        </w:rPr>
        <w:t>29.</w:t>
      </w:r>
      <w:r w:rsidRPr="00E85FD9">
        <w:rPr>
          <w:rFonts w:asciiTheme="minorHAnsi" w:hAnsiTheme="minorHAnsi"/>
          <w:sz w:val="20"/>
          <w:lang w:val="en-US"/>
        </w:rPr>
        <w:tab/>
      </w:r>
      <w:r w:rsidRPr="00D62E15">
        <w:rPr>
          <w:rFonts w:asciiTheme="minorHAnsi" w:hAnsiTheme="minorHAnsi"/>
          <w:sz w:val="20"/>
          <w:lang w:val="en-US"/>
        </w:rPr>
        <w:t xml:space="preserve">Reichardt P, Blay JY, Boukovinas I et al. Adjuvant therapy in primary GIST: state-of-the-art. </w:t>
      </w:r>
      <w:r w:rsidRPr="00D62E15">
        <w:rPr>
          <w:rFonts w:asciiTheme="minorHAnsi" w:hAnsiTheme="minorHAnsi"/>
          <w:sz w:val="20"/>
          <w:lang w:val="en-GB"/>
        </w:rPr>
        <w:t>Ann Oncol. 2012;23:2776-81.</w:t>
      </w:r>
    </w:p>
    <w:p w14:paraId="2B9B6269" w14:textId="77777777" w:rsidR="00420DFD" w:rsidRPr="00D62E15" w:rsidRDefault="00420DFD" w:rsidP="00E85FD9">
      <w:pPr>
        <w:spacing w:after="60" w:line="240" w:lineRule="auto"/>
        <w:ind w:left="284" w:hanging="284"/>
        <w:jc w:val="both"/>
        <w:rPr>
          <w:rFonts w:asciiTheme="minorHAnsi" w:hAnsiTheme="minorHAnsi"/>
          <w:sz w:val="20"/>
          <w:lang w:val="en-GB"/>
        </w:rPr>
      </w:pPr>
      <w:r w:rsidRPr="00D62E15">
        <w:rPr>
          <w:rFonts w:asciiTheme="minorHAnsi" w:hAnsiTheme="minorHAnsi" w:cs="Helvetica"/>
          <w:color w:val="C0504D" w:themeColor="accent2"/>
          <w:sz w:val="20"/>
          <w:lang w:val="en-US"/>
        </w:rPr>
        <w:t xml:space="preserve">30. </w:t>
      </w:r>
      <w:r w:rsidR="00AC02AC" w:rsidRPr="00D62E15">
        <w:rPr>
          <w:rFonts w:asciiTheme="minorHAnsi" w:hAnsiTheme="minorHAnsi" w:cs="Helvetica"/>
          <w:color w:val="C0504D" w:themeColor="accent2"/>
          <w:sz w:val="20"/>
          <w:lang w:val="en-US"/>
        </w:rPr>
        <w:t xml:space="preserve"> (76)</w:t>
      </w:r>
      <w:r w:rsidRPr="00D62E15">
        <w:rPr>
          <w:rFonts w:asciiTheme="minorHAnsi" w:hAnsiTheme="minorHAnsi" w:cs="Helvetica"/>
          <w:color w:val="C0504D" w:themeColor="accent2"/>
          <w:sz w:val="20"/>
          <w:lang w:val="en-US"/>
        </w:rPr>
        <w:t>Miettinen M, Lasota J. Gastrointestinal stroma tumors: Review am morpholpgy, molecular pathology, prognosis and differential diagnosis. Arch Pathol Lab Med. 2006 Oct;130(10):1466-78.</w:t>
      </w:r>
    </w:p>
    <w:p w14:paraId="031B1C5B" w14:textId="77777777" w:rsidR="00E85FD9" w:rsidRPr="00D62E15" w:rsidRDefault="00E85FD9"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GB"/>
        </w:rPr>
        <w:t>30.</w:t>
      </w:r>
      <w:r w:rsidRPr="00D62E15">
        <w:rPr>
          <w:rFonts w:asciiTheme="minorHAnsi" w:hAnsiTheme="minorHAnsi"/>
          <w:sz w:val="20"/>
          <w:lang w:val="en-GB"/>
        </w:rPr>
        <w:tab/>
        <w:t xml:space="preserve">Jakob J, Mussi C, Ronellenfitsch U et al. </w:t>
      </w:r>
      <w:r w:rsidRPr="00D62E15">
        <w:rPr>
          <w:rFonts w:asciiTheme="minorHAnsi" w:hAnsiTheme="minorHAnsi"/>
          <w:sz w:val="20"/>
          <w:lang w:val="en-US"/>
        </w:rPr>
        <w:t>Gastrointestinal stromal tumor of the rectum: results of surgical and multimodality therapy in the era of imatinib. Ann Surg Oncol. 2013;20:586-92.</w:t>
      </w:r>
    </w:p>
    <w:p w14:paraId="421B8A1A" w14:textId="77777777" w:rsidR="00E85FD9" w:rsidRPr="00D62E15" w:rsidRDefault="00E85FD9"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3</w:t>
      </w:r>
      <w:r w:rsidR="00AC02AC" w:rsidRPr="00D62E15">
        <w:rPr>
          <w:rFonts w:asciiTheme="minorHAnsi" w:hAnsiTheme="minorHAnsi"/>
          <w:sz w:val="20"/>
          <w:lang w:val="en-US"/>
        </w:rPr>
        <w:t>2</w:t>
      </w:r>
      <w:r w:rsidRPr="00D62E15">
        <w:rPr>
          <w:rFonts w:asciiTheme="minorHAnsi" w:hAnsiTheme="minorHAnsi"/>
          <w:sz w:val="20"/>
          <w:lang w:val="en-US"/>
        </w:rPr>
        <w:t>.</w:t>
      </w:r>
      <w:r w:rsidRPr="00D62E15">
        <w:rPr>
          <w:rFonts w:asciiTheme="minorHAnsi" w:hAnsiTheme="minorHAnsi"/>
          <w:sz w:val="20"/>
          <w:lang w:val="en-US"/>
        </w:rPr>
        <w:tab/>
        <w:t>Agaimy A, Wünsch PH. Lymph node metastasis in gastrointestinal stromal tumours (GIST) occurs preferentially in young patients &lt; or = 40 years: an overview based on our case material and the literature. Langenbecks Arch Surg. 2009;394:375-81.</w:t>
      </w:r>
    </w:p>
    <w:p w14:paraId="358DE662"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33</w:t>
      </w:r>
      <w:r w:rsidR="00E85FD9" w:rsidRPr="00D62E15">
        <w:rPr>
          <w:rFonts w:asciiTheme="minorHAnsi" w:hAnsiTheme="minorHAnsi"/>
          <w:sz w:val="20"/>
          <w:lang w:val="en-US"/>
        </w:rPr>
        <w:t>.</w:t>
      </w:r>
      <w:r w:rsidR="00E85FD9" w:rsidRPr="00D62E15">
        <w:rPr>
          <w:rFonts w:asciiTheme="minorHAnsi" w:hAnsiTheme="minorHAnsi"/>
          <w:sz w:val="20"/>
          <w:lang w:val="en-US"/>
        </w:rPr>
        <w:tab/>
        <w:t>Zhang L, Smyrk TC, Young WF, Stratakis CA, Carney JA. Gastric stromal tumors in Carney triad are different clinically, pathologically, and behaviorally from sporadic gastric gastrointestinal stromal tumors: findings in 104 cases. Am J Surg Pathol. 2010;34:53-64.</w:t>
      </w:r>
    </w:p>
    <w:p w14:paraId="1FCC0D67"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34</w:t>
      </w:r>
      <w:r w:rsidR="00E85FD9" w:rsidRPr="00D62E15">
        <w:rPr>
          <w:rFonts w:asciiTheme="minorHAnsi" w:hAnsiTheme="minorHAnsi"/>
          <w:sz w:val="20"/>
          <w:lang w:val="en-US"/>
        </w:rPr>
        <w:t>.</w:t>
      </w:r>
      <w:r w:rsidR="00E85FD9" w:rsidRPr="00D62E15">
        <w:rPr>
          <w:rFonts w:asciiTheme="minorHAnsi" w:hAnsiTheme="minorHAnsi"/>
          <w:sz w:val="20"/>
          <w:lang w:val="en-US"/>
        </w:rPr>
        <w:tab/>
        <w:t>Rege TA, Wagner AJ, Corless CL, Heinrich MC, Hornick JL. Pediatric-type” gastrointestinal stromal tumors in adults: distinctive histology predicts genotype and clinical behavior. Am J Surg Pathol. 2011;35:495-504.</w:t>
      </w:r>
    </w:p>
    <w:p w14:paraId="722AED0D" w14:textId="77777777" w:rsidR="00E85FD9" w:rsidRPr="00D62E15" w:rsidRDefault="00E85FD9"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3</w:t>
      </w:r>
      <w:r w:rsidR="00AC02AC" w:rsidRPr="00D62E15">
        <w:rPr>
          <w:rFonts w:asciiTheme="minorHAnsi" w:hAnsiTheme="minorHAnsi"/>
          <w:sz w:val="20"/>
          <w:lang w:val="en-US"/>
        </w:rPr>
        <w:t>5</w:t>
      </w:r>
      <w:r w:rsidRPr="00D62E15">
        <w:rPr>
          <w:rFonts w:asciiTheme="minorHAnsi" w:hAnsiTheme="minorHAnsi"/>
          <w:sz w:val="20"/>
          <w:lang w:val="en-US"/>
        </w:rPr>
        <w:t>.</w:t>
      </w:r>
      <w:r w:rsidRPr="00D62E15">
        <w:rPr>
          <w:rFonts w:asciiTheme="minorHAnsi" w:hAnsiTheme="minorHAnsi"/>
          <w:sz w:val="20"/>
          <w:lang w:val="en-US"/>
        </w:rPr>
        <w:tab/>
        <w:t>Nishida T, Blay JY, Hirota S, Kitagawa Y, Kang YK. The standard diagnosis, treatment, and follow-up of gastrointestinal stromal tumors based on guidelines. Gastric Cancer. 2016;19:3-14.</w:t>
      </w:r>
    </w:p>
    <w:p w14:paraId="73D4F43F" w14:textId="77777777" w:rsidR="00AC02AC" w:rsidRPr="00D62E15" w:rsidRDefault="00AC02AC" w:rsidP="00E85FD9">
      <w:pPr>
        <w:spacing w:after="60" w:line="240" w:lineRule="auto"/>
        <w:ind w:left="284" w:hanging="284"/>
        <w:jc w:val="both"/>
        <w:rPr>
          <w:rFonts w:asciiTheme="minorHAnsi" w:hAnsiTheme="minorHAnsi"/>
          <w:sz w:val="20"/>
          <w:lang w:val="en-GB"/>
        </w:rPr>
      </w:pPr>
      <w:r w:rsidRPr="00D62E15">
        <w:rPr>
          <w:rFonts w:asciiTheme="minorHAnsi" w:hAnsiTheme="minorHAnsi"/>
          <w:sz w:val="20"/>
          <w:lang w:val="en-US"/>
        </w:rPr>
        <w:t>36. (</w:t>
      </w:r>
      <w:r w:rsidRPr="00D62E15">
        <w:rPr>
          <w:rFonts w:asciiTheme="minorHAnsi" w:hAnsiTheme="minorHAnsi"/>
          <w:sz w:val="20"/>
          <w:lang w:val="en-GB"/>
        </w:rPr>
        <w:t xml:space="preserve">77)Mazzocca, Alessandro et al. “New frontiers in the medical management of gastrointestinal stromal tumours.” </w:t>
      </w:r>
      <w:r w:rsidRPr="00D62E15">
        <w:rPr>
          <w:rFonts w:asciiTheme="minorHAnsi" w:hAnsiTheme="minorHAnsi"/>
          <w:iCs/>
          <w:sz w:val="20"/>
          <w:lang w:val="en-GB"/>
        </w:rPr>
        <w:t>Therapeutic advances in medical oncology</w:t>
      </w:r>
      <w:r w:rsidRPr="00D62E15">
        <w:rPr>
          <w:rFonts w:asciiTheme="minorHAnsi" w:hAnsiTheme="minorHAnsi"/>
          <w:sz w:val="20"/>
          <w:lang w:val="en-GB"/>
        </w:rPr>
        <w:t xml:space="preserve"> vol. 11 1758835919841946. 17 May. 2019.</w:t>
      </w:r>
    </w:p>
    <w:p w14:paraId="4BAAFDB6" w14:textId="77777777" w:rsidR="00AC02AC" w:rsidRPr="00D62E15" w:rsidRDefault="00AC02AC" w:rsidP="00DF0655">
      <w:pPr>
        <w:pStyle w:val="Textkrper-Einzug2"/>
        <w:spacing w:line="276" w:lineRule="auto"/>
        <w:ind w:left="284" w:hanging="284"/>
        <w:jc w:val="both"/>
        <w:rPr>
          <w:rFonts w:asciiTheme="minorHAnsi" w:hAnsiTheme="minorHAnsi" w:cs="Arial"/>
          <w:sz w:val="20"/>
          <w:lang w:val="en"/>
        </w:rPr>
      </w:pPr>
      <w:r w:rsidRPr="00D62E15">
        <w:rPr>
          <w:rFonts w:asciiTheme="minorHAnsi" w:hAnsiTheme="minorHAnsi"/>
          <w:sz w:val="20"/>
          <w:lang w:val="en-US"/>
        </w:rPr>
        <w:t>37. (</w:t>
      </w:r>
      <w:r w:rsidRPr="00D62E15">
        <w:rPr>
          <w:rFonts w:asciiTheme="minorHAnsi" w:eastAsia="AdvOT07517017" w:hAnsiTheme="minorHAnsi" w:cs="AdvOT07517017"/>
          <w:sz w:val="20"/>
          <w:lang w:val="en-GB" w:eastAsia="de-AT"/>
        </w:rPr>
        <w:t xml:space="preserve">81) Lauretn M, Brahmi M, Dufrense a et al. </w:t>
      </w:r>
      <w:r w:rsidRPr="00D62E15">
        <w:rPr>
          <w:rFonts w:asciiTheme="minorHAnsi" w:hAnsiTheme="minorHAnsi"/>
          <w:bCs/>
          <w:sz w:val="20"/>
          <w:lang w:val="en-GB"/>
        </w:rPr>
        <w:t>Adjuvant therapy with imatinib in gastrointestinal stromal tumors   (GISTs)—review and perspectives.</w:t>
      </w:r>
      <w:r w:rsidRPr="00D62E15">
        <w:rPr>
          <w:rFonts w:asciiTheme="minorHAnsi" w:hAnsiTheme="minorHAnsi" w:cs="Arial"/>
          <w:sz w:val="20"/>
          <w:lang w:val="en"/>
        </w:rPr>
        <w:t xml:space="preserve"> </w:t>
      </w:r>
      <w:hyperlink r:id="rId37" w:tooltip="Translational gastroenterology and hepatology." w:history="1">
        <w:r w:rsidRPr="00D62E15">
          <w:rPr>
            <w:rFonts w:asciiTheme="minorHAnsi" w:hAnsiTheme="minorHAnsi" w:cs="Arial"/>
            <w:sz w:val="20"/>
            <w:lang w:val="en"/>
          </w:rPr>
          <w:t>Transl Gastroenterol Hepatol.</w:t>
        </w:r>
      </w:hyperlink>
      <w:r w:rsidRPr="00D62E15">
        <w:rPr>
          <w:rFonts w:asciiTheme="minorHAnsi" w:hAnsiTheme="minorHAnsi" w:cs="Arial"/>
          <w:sz w:val="20"/>
          <w:lang w:val="en"/>
        </w:rPr>
        <w:t xml:space="preserve"> 2019 Apr 9;4:24</w:t>
      </w:r>
    </w:p>
    <w:p w14:paraId="79D40D73" w14:textId="77777777" w:rsidR="00AC02AC" w:rsidRPr="00D62E15" w:rsidRDefault="00AC02AC" w:rsidP="00DF0655">
      <w:pPr>
        <w:pStyle w:val="Textkrper-Einzug2"/>
        <w:spacing w:line="276" w:lineRule="auto"/>
        <w:ind w:left="284" w:hanging="284"/>
        <w:jc w:val="both"/>
        <w:rPr>
          <w:rFonts w:asciiTheme="minorHAnsi" w:hAnsiTheme="minorHAnsi" w:cs="JansonText LT"/>
          <w:sz w:val="20"/>
          <w:lang w:val="en-GB"/>
        </w:rPr>
      </w:pPr>
      <w:r w:rsidRPr="00D62E15">
        <w:rPr>
          <w:rFonts w:asciiTheme="minorHAnsi" w:hAnsiTheme="minorHAnsi" w:cs="Arial"/>
          <w:sz w:val="20"/>
          <w:lang w:val="en"/>
        </w:rPr>
        <w:t xml:space="preserve">38. (82)  </w:t>
      </w:r>
      <w:r w:rsidRPr="00D62E15">
        <w:rPr>
          <w:rStyle w:val="A2"/>
          <w:rFonts w:asciiTheme="minorHAnsi" w:hAnsiTheme="minorHAnsi"/>
          <w:color w:val="auto"/>
          <w:sz w:val="20"/>
          <w:lang w:val="en-GB"/>
        </w:rPr>
        <w:t>Raut CP, Espat NJ, Maki RG, et al. Extended treatment with adjuvant imatinib (IM) for patients (pts) with   high-risk primary gastrointestinal stromal tumor (GIST): The PERSIST-5 study. J Clin Oncol 2017;35:11009</w:t>
      </w:r>
    </w:p>
    <w:p w14:paraId="5714E8EA" w14:textId="77777777" w:rsidR="00E85FD9" w:rsidRPr="00D62E15" w:rsidRDefault="00E85FD9"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3</w:t>
      </w:r>
      <w:r w:rsidR="00AC02AC" w:rsidRPr="00D62E15">
        <w:rPr>
          <w:rFonts w:asciiTheme="minorHAnsi" w:hAnsiTheme="minorHAnsi"/>
          <w:sz w:val="20"/>
          <w:lang w:val="en-US"/>
        </w:rPr>
        <w:t>9</w:t>
      </w:r>
      <w:r w:rsidRPr="00D62E15">
        <w:rPr>
          <w:rFonts w:asciiTheme="minorHAnsi" w:hAnsiTheme="minorHAnsi"/>
          <w:sz w:val="20"/>
          <w:lang w:val="en-US"/>
        </w:rPr>
        <w:t>.</w:t>
      </w:r>
      <w:r w:rsidRPr="00D62E15">
        <w:rPr>
          <w:rFonts w:asciiTheme="minorHAnsi" w:hAnsiTheme="minorHAnsi"/>
          <w:sz w:val="20"/>
          <w:lang w:val="en-US"/>
        </w:rPr>
        <w:tab/>
        <w:t>Heinrich MC, Griffith D, McKinley A et al. Crenolanib inhibits the drug-resistant PDGFRA D842V mutation associated with imatinib-resistant gastrointestinal stromal tumors. Clin Cancer Res. 2012;18:4375-84.</w:t>
      </w:r>
    </w:p>
    <w:p w14:paraId="583847D3"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40</w:t>
      </w:r>
      <w:r w:rsidR="00E85FD9" w:rsidRPr="00D62E15">
        <w:rPr>
          <w:rFonts w:asciiTheme="minorHAnsi" w:hAnsiTheme="minorHAnsi"/>
          <w:sz w:val="20"/>
          <w:lang w:val="en-US"/>
        </w:rPr>
        <w:t>.</w:t>
      </w:r>
      <w:r w:rsidR="00E85FD9" w:rsidRPr="00D62E15">
        <w:rPr>
          <w:rFonts w:asciiTheme="minorHAnsi" w:hAnsiTheme="minorHAnsi"/>
          <w:sz w:val="20"/>
          <w:lang w:val="en-US"/>
        </w:rPr>
        <w:tab/>
        <w:t>Sepe PS, Brugge WR. A guide for the diagnosis and management of gastrointestinal stromal cell tumors. Nat Rev Gastroenterol Hepatol. 2009;6:363-71.</w:t>
      </w:r>
    </w:p>
    <w:p w14:paraId="02285C4C"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41</w:t>
      </w:r>
      <w:r w:rsidR="00E85FD9" w:rsidRPr="00D62E15">
        <w:rPr>
          <w:rFonts w:asciiTheme="minorHAnsi" w:hAnsiTheme="minorHAnsi"/>
          <w:sz w:val="20"/>
          <w:lang w:val="en-US"/>
        </w:rPr>
        <w:t>.</w:t>
      </w:r>
      <w:r w:rsidR="00E85FD9" w:rsidRPr="00D62E15">
        <w:rPr>
          <w:rFonts w:asciiTheme="minorHAnsi" w:hAnsiTheme="minorHAnsi"/>
          <w:sz w:val="20"/>
          <w:lang w:val="en-US"/>
        </w:rPr>
        <w:tab/>
        <w:t>Joensuu H, Eriksson M, Sundby Hall K et al. One vs three years of adjuvant imatinib for operable gastrointestinal stromal tumor: a randomized trial. JAMA. 2012;307:1265-72.</w:t>
      </w:r>
    </w:p>
    <w:p w14:paraId="61697FA3"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42</w:t>
      </w:r>
      <w:r w:rsidR="00E85FD9" w:rsidRPr="00D62E15">
        <w:rPr>
          <w:rFonts w:asciiTheme="minorHAnsi" w:hAnsiTheme="minorHAnsi"/>
          <w:sz w:val="20"/>
          <w:lang w:val="en-US"/>
        </w:rPr>
        <w:t>.</w:t>
      </w:r>
      <w:r w:rsidR="00E85FD9" w:rsidRPr="00D62E15">
        <w:rPr>
          <w:rFonts w:asciiTheme="minorHAnsi" w:hAnsiTheme="minorHAnsi"/>
          <w:sz w:val="20"/>
          <w:lang w:val="en-US"/>
        </w:rPr>
        <w:tab/>
        <w:t>Dematteo RP, Ballman KV, Antonescu CR et al. Adjuvant imatinib mesylate after resection of localised, primary gastrointestinal stromal tumour: a randomised, double-blind, placebo-controlled trial. Lancet. 2009;373:1097-104.</w:t>
      </w:r>
    </w:p>
    <w:p w14:paraId="27527A9E" w14:textId="77777777" w:rsidR="00E85FD9" w:rsidRPr="00D62E15" w:rsidRDefault="00AC02AC" w:rsidP="00E85FD9">
      <w:pPr>
        <w:spacing w:after="60" w:line="240" w:lineRule="auto"/>
        <w:ind w:left="284" w:hanging="284"/>
        <w:jc w:val="both"/>
        <w:rPr>
          <w:rFonts w:asciiTheme="minorHAnsi" w:hAnsiTheme="minorHAnsi"/>
          <w:sz w:val="20"/>
          <w:lang w:val="en-GB"/>
        </w:rPr>
      </w:pPr>
      <w:r w:rsidRPr="00D62E15">
        <w:rPr>
          <w:rFonts w:asciiTheme="minorHAnsi" w:hAnsiTheme="minorHAnsi"/>
          <w:sz w:val="20"/>
          <w:lang w:val="en-US"/>
        </w:rPr>
        <w:t>43.</w:t>
      </w:r>
      <w:r w:rsidR="00E85FD9" w:rsidRPr="00D62E15">
        <w:rPr>
          <w:rFonts w:asciiTheme="minorHAnsi" w:hAnsiTheme="minorHAnsi"/>
          <w:sz w:val="20"/>
          <w:lang w:val="en-US"/>
        </w:rPr>
        <w:tab/>
        <w:t xml:space="preserve">Joensuu H, Eriksson M, Sundby Hall K et al. Adjuvant Imatinib for High-Risk GI Stromal Tumor: Analysis of a Randomized Trial. </w:t>
      </w:r>
      <w:r w:rsidR="00E85FD9" w:rsidRPr="00D62E15">
        <w:rPr>
          <w:rFonts w:asciiTheme="minorHAnsi" w:hAnsiTheme="minorHAnsi"/>
          <w:sz w:val="20"/>
          <w:lang w:val="en-GB"/>
        </w:rPr>
        <w:t>J Clin Oncol. 2016;34:244-50.</w:t>
      </w:r>
    </w:p>
    <w:p w14:paraId="2236C72F" w14:textId="77777777" w:rsidR="00AC02AC" w:rsidRPr="00D62E15" w:rsidRDefault="00AC02AC" w:rsidP="00DF0655">
      <w:pPr>
        <w:pStyle w:val="Textkrper-Einzug2"/>
        <w:spacing w:line="276" w:lineRule="auto"/>
        <w:ind w:left="284" w:hanging="284"/>
        <w:jc w:val="both"/>
        <w:rPr>
          <w:rFonts w:asciiTheme="minorHAnsi" w:hAnsiTheme="minorHAnsi"/>
          <w:sz w:val="20"/>
          <w:lang w:val="en-US"/>
        </w:rPr>
      </w:pPr>
      <w:r w:rsidRPr="00D62E15">
        <w:rPr>
          <w:rFonts w:asciiTheme="minorHAnsi" w:hAnsiTheme="minorHAnsi" w:cstheme="minorHAnsi"/>
          <w:sz w:val="20"/>
          <w:lang w:val="en-GB"/>
        </w:rPr>
        <w:t xml:space="preserve">44.(80) </w:t>
      </w:r>
      <w:r w:rsidRPr="00D62E15">
        <w:rPr>
          <w:rStyle w:val="highlight"/>
          <w:rFonts w:asciiTheme="minorHAnsi" w:hAnsiTheme="minorHAnsi" w:cs="Arial"/>
          <w:sz w:val="20"/>
          <w:lang w:val="en"/>
        </w:rPr>
        <w:t xml:space="preserve">Gastointesinal stromal tumors: ESMO-EURACAN Clinical Practice Guidelines for diagnosis, treatment and      follow-up. </w:t>
      </w:r>
      <w:r w:rsidRPr="00D62E15">
        <w:rPr>
          <w:rFonts w:asciiTheme="minorHAnsi" w:hAnsiTheme="minorHAnsi" w:cs="AdvOT0d9ab1db.I"/>
          <w:sz w:val="20"/>
          <w:lang w:val="en-GB" w:eastAsia="de-AT"/>
        </w:rPr>
        <w:t xml:space="preserve">Annals of Oncology </w:t>
      </w:r>
      <w:r w:rsidRPr="00D62E15">
        <w:rPr>
          <w:rFonts w:asciiTheme="minorHAnsi" w:eastAsia="AdvOT07517017" w:hAnsiTheme="minorHAnsi" w:cs="AdvOT07517017"/>
          <w:sz w:val="20"/>
          <w:lang w:val="en-GB" w:eastAsia="de-AT"/>
        </w:rPr>
        <w:t>29 (Supplement 4): iv68–iv78, 2018</w:t>
      </w:r>
    </w:p>
    <w:p w14:paraId="2A840A00"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GB"/>
        </w:rPr>
        <w:t>45</w:t>
      </w:r>
      <w:r w:rsidR="00E85FD9" w:rsidRPr="00D62E15">
        <w:rPr>
          <w:rFonts w:asciiTheme="minorHAnsi" w:hAnsiTheme="minorHAnsi"/>
          <w:sz w:val="20"/>
          <w:lang w:val="en-GB"/>
        </w:rPr>
        <w:t>.</w:t>
      </w:r>
      <w:r w:rsidR="00E85FD9" w:rsidRPr="00D62E15">
        <w:rPr>
          <w:rFonts w:asciiTheme="minorHAnsi" w:hAnsiTheme="minorHAnsi"/>
          <w:sz w:val="20"/>
          <w:lang w:val="en-GB"/>
        </w:rPr>
        <w:tab/>
        <w:t xml:space="preserve">Eisenberg BL, Harris J, Blanke CD et al. </w:t>
      </w:r>
      <w:r w:rsidR="00E85FD9" w:rsidRPr="00D62E15">
        <w:rPr>
          <w:rFonts w:asciiTheme="minorHAnsi" w:hAnsiTheme="minorHAnsi"/>
          <w:sz w:val="20"/>
          <w:lang w:val="en-US"/>
        </w:rPr>
        <w:t>Phase II trial of neoadjuvant/adjuvant imatinib mesylate (IM) for advanced primary and metastatic/recurrent operable gastrointestinal stromal tumor (GIST): early results of RTOG 0132/ACRIN 6665. J Surg Oncol. 2009;99:42-7.</w:t>
      </w:r>
    </w:p>
    <w:p w14:paraId="2680771F"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46</w:t>
      </w:r>
      <w:r w:rsidR="00E85FD9" w:rsidRPr="00D62E15">
        <w:rPr>
          <w:rFonts w:asciiTheme="minorHAnsi" w:hAnsiTheme="minorHAnsi"/>
          <w:sz w:val="20"/>
          <w:lang w:val="en-US"/>
        </w:rPr>
        <w:t>.</w:t>
      </w:r>
      <w:r w:rsidR="00E85FD9" w:rsidRPr="00D62E15">
        <w:rPr>
          <w:rFonts w:asciiTheme="minorHAnsi" w:hAnsiTheme="minorHAnsi"/>
          <w:sz w:val="20"/>
          <w:lang w:val="en-US"/>
        </w:rPr>
        <w:tab/>
        <w:t>Goh BK, Chow PK, Chuah KL, Yap WM, Wong WK. Pathologic, radiologic and PET scan response of gastrointestinal stromal tumors after neoadjuvant treatment with imatinib mesylate. Eur J Surg Oncol. 2006;32:961-3.</w:t>
      </w:r>
    </w:p>
    <w:p w14:paraId="2966A0ED" w14:textId="77777777" w:rsidR="00E85FD9" w:rsidRPr="00D62E15" w:rsidRDefault="00E85FD9"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lastRenderedPageBreak/>
        <w:t>4</w:t>
      </w:r>
      <w:r w:rsidR="00AC02AC" w:rsidRPr="00D62E15">
        <w:rPr>
          <w:rFonts w:asciiTheme="minorHAnsi" w:hAnsiTheme="minorHAnsi"/>
          <w:sz w:val="20"/>
          <w:lang w:val="en-US"/>
        </w:rPr>
        <w:t>7</w:t>
      </w:r>
      <w:r w:rsidRPr="00D62E15">
        <w:rPr>
          <w:rFonts w:asciiTheme="minorHAnsi" w:hAnsiTheme="minorHAnsi"/>
          <w:sz w:val="20"/>
          <w:lang w:val="en-US"/>
        </w:rPr>
        <w:t>.</w:t>
      </w:r>
      <w:r w:rsidRPr="00D62E15">
        <w:rPr>
          <w:rFonts w:asciiTheme="minorHAnsi" w:hAnsiTheme="minorHAnsi"/>
          <w:sz w:val="20"/>
          <w:lang w:val="en-US"/>
        </w:rPr>
        <w:tab/>
        <w:t>Blesius A, Cassier PA, Bertucci F et al. Neoadjuvant imatinib in patients with locally advanced non metastatic GIST in the prospective BFR14 trial. BMC Cancer. 2011;11:72.</w:t>
      </w:r>
    </w:p>
    <w:p w14:paraId="61387492"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48</w:t>
      </w:r>
      <w:r w:rsidR="00E85FD9" w:rsidRPr="00D62E15">
        <w:rPr>
          <w:rFonts w:asciiTheme="minorHAnsi" w:hAnsiTheme="minorHAnsi"/>
          <w:sz w:val="20"/>
          <w:lang w:val="en-US"/>
        </w:rPr>
        <w:t>.</w:t>
      </w:r>
      <w:r w:rsidR="00E85FD9" w:rsidRPr="00D62E15">
        <w:rPr>
          <w:rFonts w:asciiTheme="minorHAnsi" w:hAnsiTheme="minorHAnsi"/>
          <w:sz w:val="20"/>
          <w:lang w:val="en-US"/>
        </w:rPr>
        <w:tab/>
        <w:t>Ramaswamy A, Jain D, Sahu A et al. Neoadjuvant imatinib: longer the better, need to modify risk stratification for adjuvant imatinib. J Gastrointest Oncol. 2016;7:624-31.</w:t>
      </w:r>
    </w:p>
    <w:p w14:paraId="4DDCE206" w14:textId="77777777" w:rsidR="00E85FD9" w:rsidRPr="00D62E15" w:rsidRDefault="00E85FD9"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4</w:t>
      </w:r>
      <w:r w:rsidR="00AC02AC" w:rsidRPr="00D62E15">
        <w:rPr>
          <w:rFonts w:asciiTheme="minorHAnsi" w:hAnsiTheme="minorHAnsi"/>
          <w:sz w:val="20"/>
          <w:lang w:val="en-US"/>
        </w:rPr>
        <w:t>9</w:t>
      </w:r>
      <w:r w:rsidRPr="00D62E15">
        <w:rPr>
          <w:rFonts w:asciiTheme="minorHAnsi" w:hAnsiTheme="minorHAnsi"/>
          <w:sz w:val="20"/>
          <w:lang w:val="en-US"/>
        </w:rPr>
        <w:t>.</w:t>
      </w:r>
      <w:r w:rsidRPr="00D62E15">
        <w:rPr>
          <w:rFonts w:asciiTheme="minorHAnsi" w:hAnsiTheme="minorHAnsi"/>
          <w:sz w:val="20"/>
          <w:lang w:val="en-US"/>
        </w:rPr>
        <w:tab/>
        <w:t>ESMO/European SNWG. Gastrointestinal stromal tumours: ESMO Clinical Practice Guidelines for diagnosis, treatment and follow-up. Ann Oncol. 2014;25 Suppl 3:iii21-6.</w:t>
      </w:r>
    </w:p>
    <w:p w14:paraId="2DD7E9FB"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50</w:t>
      </w:r>
      <w:r w:rsidR="00E85FD9" w:rsidRPr="00D62E15">
        <w:rPr>
          <w:rFonts w:asciiTheme="minorHAnsi" w:hAnsiTheme="minorHAnsi"/>
          <w:sz w:val="20"/>
          <w:lang w:val="en-US"/>
        </w:rPr>
        <w:t>.</w:t>
      </w:r>
      <w:r w:rsidR="00E85FD9" w:rsidRPr="00D62E15">
        <w:rPr>
          <w:rFonts w:asciiTheme="minorHAnsi" w:hAnsiTheme="minorHAnsi"/>
          <w:sz w:val="20"/>
          <w:lang w:val="en-US"/>
        </w:rPr>
        <w:tab/>
        <w:t>Eisenberg BL, Trent JC. Adjuvant and neoadjuvant imatinib therapy: current role in the management of gastrointestinal stromal tumors. Int J Cancer. 2011;129:2533-42.</w:t>
      </w:r>
    </w:p>
    <w:p w14:paraId="4F3807F1" w14:textId="77777777" w:rsidR="00E85FD9" w:rsidRPr="00D62E15" w:rsidRDefault="00AC02AC" w:rsidP="00E85FD9">
      <w:pPr>
        <w:spacing w:after="60" w:line="240" w:lineRule="auto"/>
        <w:ind w:left="284" w:hanging="284"/>
        <w:jc w:val="both"/>
        <w:rPr>
          <w:rFonts w:asciiTheme="minorHAnsi" w:hAnsiTheme="minorHAnsi"/>
          <w:sz w:val="20"/>
        </w:rPr>
      </w:pPr>
      <w:r w:rsidRPr="00D62E15">
        <w:rPr>
          <w:rFonts w:asciiTheme="minorHAnsi" w:hAnsiTheme="minorHAnsi"/>
          <w:sz w:val="20"/>
          <w:lang w:val="en-US"/>
        </w:rPr>
        <w:t>51</w:t>
      </w:r>
      <w:r w:rsidR="00E85FD9" w:rsidRPr="00D62E15">
        <w:rPr>
          <w:rFonts w:asciiTheme="minorHAnsi" w:hAnsiTheme="minorHAnsi"/>
          <w:sz w:val="20"/>
          <w:lang w:val="en-US"/>
        </w:rPr>
        <w:t>.</w:t>
      </w:r>
      <w:r w:rsidR="00E85FD9" w:rsidRPr="00D62E15">
        <w:rPr>
          <w:rFonts w:asciiTheme="minorHAnsi" w:hAnsiTheme="minorHAnsi"/>
          <w:sz w:val="20"/>
          <w:lang w:val="en-US"/>
        </w:rPr>
        <w:tab/>
        <w:t xml:space="preserve">Verweij J, Casali PG, Zalcberg J et al. Progression-free survival in gastrointestinal stromal tumours with high-dose imatinib: randomised trial. </w:t>
      </w:r>
      <w:r w:rsidR="00E85FD9" w:rsidRPr="00D62E15">
        <w:rPr>
          <w:rFonts w:asciiTheme="minorHAnsi" w:hAnsiTheme="minorHAnsi"/>
          <w:sz w:val="20"/>
          <w:lang w:val="de-DE"/>
        </w:rPr>
        <w:t>Lancet. 2004;364:1127-34.</w:t>
      </w:r>
    </w:p>
    <w:p w14:paraId="33958683"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de-DE"/>
        </w:rPr>
        <w:t>52</w:t>
      </w:r>
      <w:r w:rsidR="00E85FD9" w:rsidRPr="00D62E15">
        <w:rPr>
          <w:rFonts w:asciiTheme="minorHAnsi" w:hAnsiTheme="minorHAnsi"/>
          <w:sz w:val="20"/>
          <w:lang w:val="de-DE"/>
        </w:rPr>
        <w:t>.</w:t>
      </w:r>
      <w:r w:rsidR="00E85FD9" w:rsidRPr="00D62E15">
        <w:rPr>
          <w:rFonts w:asciiTheme="minorHAnsi" w:hAnsiTheme="minorHAnsi"/>
          <w:sz w:val="20"/>
          <w:lang w:val="de-DE"/>
        </w:rPr>
        <w:tab/>
        <w:t xml:space="preserve">Blanke CD, Demetri GD, von Mehren M et al. </w:t>
      </w:r>
      <w:r w:rsidR="00E85FD9" w:rsidRPr="00D62E15">
        <w:rPr>
          <w:rFonts w:asciiTheme="minorHAnsi" w:hAnsiTheme="minorHAnsi"/>
          <w:sz w:val="20"/>
          <w:lang w:val="en-US"/>
        </w:rPr>
        <w:t>Long-term results from a randomized phase II trial of standard- versus higher-dose imatinib mesylate for patients with unresectable or metastatic gastrointestinal stromal tumors expressing KIT. J Clin Oncol. 2008;26:620-5.</w:t>
      </w:r>
    </w:p>
    <w:p w14:paraId="0A5620E4"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53</w:t>
      </w:r>
      <w:r w:rsidR="00E85FD9" w:rsidRPr="00D62E15">
        <w:rPr>
          <w:rFonts w:asciiTheme="minorHAnsi" w:hAnsiTheme="minorHAnsi"/>
          <w:sz w:val="20"/>
          <w:lang w:val="en-US"/>
        </w:rPr>
        <w:t>.</w:t>
      </w:r>
      <w:r w:rsidR="00E85FD9" w:rsidRPr="00D62E15">
        <w:rPr>
          <w:rFonts w:asciiTheme="minorHAnsi" w:hAnsiTheme="minorHAnsi"/>
          <w:sz w:val="20"/>
          <w:lang w:val="en-US"/>
        </w:rPr>
        <w:tab/>
        <w:t>Blanke CD, Rankin C, Demetri GD et al. Phase III randomized, intergroup trial assessing imatinib mesylate at two dose levels in patients with unresectable or metastatic gastrointestinal stromal tumors expressing the kit receptor tyrosine kinase: S0033. J Clin Oncol. 2008;26:626-32.</w:t>
      </w:r>
    </w:p>
    <w:p w14:paraId="25388161"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54</w:t>
      </w:r>
      <w:r w:rsidR="00E85FD9" w:rsidRPr="00D62E15">
        <w:rPr>
          <w:rFonts w:asciiTheme="minorHAnsi" w:hAnsiTheme="minorHAnsi"/>
          <w:sz w:val="20"/>
          <w:lang w:val="en-US"/>
        </w:rPr>
        <w:t>.</w:t>
      </w:r>
      <w:r w:rsidR="00E85FD9" w:rsidRPr="00D62E15">
        <w:rPr>
          <w:rFonts w:asciiTheme="minorHAnsi" w:hAnsiTheme="minorHAnsi"/>
          <w:sz w:val="20"/>
          <w:lang w:val="en-US"/>
        </w:rPr>
        <w:tab/>
        <w:t>Le Cesne A, Ray-Coquard I, Bui BN et al. Discontinuation of imatinib in patients with advanced gastrointestinal stromal tumours after 3 years of treatment: an open-label multicentre randomised phase 3 trial. Lancet Oncol. 2010;11:942-9.</w:t>
      </w:r>
    </w:p>
    <w:p w14:paraId="03C822B6" w14:textId="77777777" w:rsidR="00E85FD9" w:rsidRPr="00D62E15" w:rsidRDefault="00AC02AC" w:rsidP="00E85FD9">
      <w:pPr>
        <w:spacing w:after="60" w:line="240" w:lineRule="auto"/>
        <w:ind w:left="284" w:hanging="284"/>
        <w:jc w:val="both"/>
        <w:rPr>
          <w:rFonts w:asciiTheme="minorHAnsi" w:hAnsiTheme="minorHAnsi"/>
          <w:sz w:val="20"/>
        </w:rPr>
      </w:pPr>
      <w:r w:rsidRPr="00D62E15">
        <w:rPr>
          <w:rFonts w:asciiTheme="minorHAnsi" w:hAnsiTheme="minorHAnsi"/>
          <w:sz w:val="20"/>
          <w:lang w:val="en-US"/>
        </w:rPr>
        <w:t>55</w:t>
      </w:r>
      <w:r w:rsidR="00E85FD9" w:rsidRPr="00D62E15">
        <w:rPr>
          <w:rFonts w:asciiTheme="minorHAnsi" w:hAnsiTheme="minorHAnsi"/>
          <w:sz w:val="20"/>
          <w:lang w:val="en-US"/>
        </w:rPr>
        <w:t>.</w:t>
      </w:r>
      <w:r w:rsidR="00E85FD9" w:rsidRPr="00D62E15">
        <w:rPr>
          <w:rFonts w:asciiTheme="minorHAnsi" w:hAnsiTheme="minorHAnsi"/>
          <w:sz w:val="20"/>
          <w:lang w:val="en-US"/>
        </w:rPr>
        <w:tab/>
        <w:t xml:space="preserve">Knowlton CA, Brady LW, Heintzelman RC. Radiotherapy in the treatment of gastrointestinal stromal tumor. </w:t>
      </w:r>
      <w:r w:rsidR="00E85FD9" w:rsidRPr="00D62E15">
        <w:rPr>
          <w:rFonts w:asciiTheme="minorHAnsi" w:hAnsiTheme="minorHAnsi"/>
          <w:sz w:val="20"/>
          <w:lang w:val="de-DE"/>
        </w:rPr>
        <w:t>Rare Tumors. 2011;3:e35.</w:t>
      </w:r>
    </w:p>
    <w:p w14:paraId="2FE843A2"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de-DE"/>
        </w:rPr>
        <w:t>56</w:t>
      </w:r>
      <w:r w:rsidR="00E85FD9" w:rsidRPr="00D62E15">
        <w:rPr>
          <w:rFonts w:asciiTheme="minorHAnsi" w:hAnsiTheme="minorHAnsi"/>
          <w:sz w:val="20"/>
          <w:lang w:val="de-DE"/>
        </w:rPr>
        <w:t>.</w:t>
      </w:r>
      <w:r w:rsidR="00E85FD9" w:rsidRPr="00D62E15">
        <w:rPr>
          <w:rFonts w:asciiTheme="minorHAnsi" w:hAnsiTheme="minorHAnsi"/>
          <w:sz w:val="20"/>
          <w:lang w:val="de-DE"/>
        </w:rPr>
        <w:tab/>
        <w:t xml:space="preserve">Kobayashi K, Szklaruk J, Trent JC et al. </w:t>
      </w:r>
      <w:r w:rsidR="00E85FD9" w:rsidRPr="00D62E15">
        <w:rPr>
          <w:rFonts w:asciiTheme="minorHAnsi" w:hAnsiTheme="minorHAnsi"/>
          <w:sz w:val="20"/>
          <w:lang w:val="en-US"/>
        </w:rPr>
        <w:t>Hepatic arterial embolization and chemoembolization for imatinib-resistant gastrointestinal stromal tumors. Am J Clin Oncol. 2009;32:574-81.</w:t>
      </w:r>
    </w:p>
    <w:p w14:paraId="7C777B6F"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57</w:t>
      </w:r>
      <w:r w:rsidR="00E85FD9" w:rsidRPr="00D62E15">
        <w:rPr>
          <w:rFonts w:asciiTheme="minorHAnsi" w:hAnsiTheme="minorHAnsi"/>
          <w:sz w:val="20"/>
          <w:lang w:val="en-US"/>
        </w:rPr>
        <w:t>.</w:t>
      </w:r>
      <w:r w:rsidR="00E85FD9" w:rsidRPr="00D62E15">
        <w:rPr>
          <w:rFonts w:asciiTheme="minorHAnsi" w:hAnsiTheme="minorHAnsi"/>
          <w:sz w:val="20"/>
          <w:lang w:val="en-US"/>
        </w:rPr>
        <w:tab/>
        <w:t>Jones RL, McCall J, Adam A et al. Radiofrequency ablation is a feasible therapeutic option in the multi modality management of sarcoma. Eur J Surg Oncol. 2010;36:477-82.</w:t>
      </w:r>
    </w:p>
    <w:p w14:paraId="0EC74C82" w14:textId="77777777" w:rsidR="00E85FD9" w:rsidRPr="00D62E15" w:rsidRDefault="00AC02AC" w:rsidP="00E85FD9">
      <w:pPr>
        <w:spacing w:after="60" w:line="240" w:lineRule="auto"/>
        <w:ind w:left="284" w:hanging="284"/>
        <w:jc w:val="both"/>
        <w:rPr>
          <w:rFonts w:asciiTheme="minorHAnsi" w:hAnsiTheme="minorHAnsi"/>
          <w:sz w:val="20"/>
        </w:rPr>
      </w:pPr>
      <w:r w:rsidRPr="00D62E15">
        <w:rPr>
          <w:rFonts w:asciiTheme="minorHAnsi" w:hAnsiTheme="minorHAnsi"/>
          <w:sz w:val="20"/>
          <w:lang w:val="en-US"/>
        </w:rPr>
        <w:t>58</w:t>
      </w:r>
      <w:r w:rsidR="00E85FD9" w:rsidRPr="00D62E15">
        <w:rPr>
          <w:rFonts w:asciiTheme="minorHAnsi" w:hAnsiTheme="minorHAnsi"/>
          <w:sz w:val="20"/>
          <w:lang w:val="en-US"/>
        </w:rPr>
        <w:t>.</w:t>
      </w:r>
      <w:r w:rsidR="00E85FD9" w:rsidRPr="00D62E15">
        <w:rPr>
          <w:rFonts w:asciiTheme="minorHAnsi" w:hAnsiTheme="minorHAnsi"/>
          <w:sz w:val="20"/>
          <w:lang w:val="en-US"/>
        </w:rPr>
        <w:tab/>
        <w:t xml:space="preserve">DeMatteo RP, Maki RG, Singer S, Gonen M, Brennan MF, Antonescu CR. Results of tyrosine kinase inhibitor therapy followed by surgical resection for metastatic gastrointestinal stromal tumor. </w:t>
      </w:r>
      <w:r w:rsidR="00E85FD9" w:rsidRPr="00D62E15">
        <w:rPr>
          <w:rFonts w:asciiTheme="minorHAnsi" w:hAnsiTheme="minorHAnsi"/>
          <w:sz w:val="20"/>
          <w:lang w:val="de-DE"/>
        </w:rPr>
        <w:t>Ann Surg. 2007;245:347-52.</w:t>
      </w:r>
    </w:p>
    <w:p w14:paraId="0ECEE262" w14:textId="77777777" w:rsidR="00E85FD9" w:rsidRPr="00D62E15" w:rsidRDefault="00AC02AC" w:rsidP="00E85FD9">
      <w:pPr>
        <w:spacing w:after="60" w:line="240" w:lineRule="auto"/>
        <w:ind w:left="284" w:hanging="284"/>
        <w:jc w:val="both"/>
        <w:rPr>
          <w:rFonts w:asciiTheme="minorHAnsi" w:hAnsiTheme="minorHAnsi"/>
          <w:sz w:val="20"/>
        </w:rPr>
      </w:pPr>
      <w:r w:rsidRPr="00D62E15">
        <w:rPr>
          <w:rFonts w:asciiTheme="minorHAnsi" w:hAnsiTheme="minorHAnsi"/>
          <w:sz w:val="20"/>
          <w:lang w:val="de-DE"/>
        </w:rPr>
        <w:t>59</w:t>
      </w:r>
      <w:r w:rsidR="00E85FD9" w:rsidRPr="00D62E15">
        <w:rPr>
          <w:rFonts w:asciiTheme="minorHAnsi" w:hAnsiTheme="minorHAnsi"/>
          <w:sz w:val="20"/>
          <w:lang w:val="de-DE"/>
        </w:rPr>
        <w:t>.</w:t>
      </w:r>
      <w:r w:rsidR="00E85FD9" w:rsidRPr="00D62E15">
        <w:rPr>
          <w:rFonts w:asciiTheme="minorHAnsi" w:hAnsiTheme="minorHAnsi"/>
          <w:sz w:val="20"/>
          <w:lang w:val="de-DE"/>
        </w:rPr>
        <w:tab/>
        <w:t xml:space="preserve">Mussi C, Ronellenfitsch U, Jakob J et al. </w:t>
      </w:r>
      <w:r w:rsidR="00E85FD9" w:rsidRPr="00D62E15">
        <w:rPr>
          <w:rFonts w:asciiTheme="minorHAnsi" w:hAnsiTheme="minorHAnsi"/>
          <w:sz w:val="20"/>
          <w:lang w:val="en-US"/>
        </w:rPr>
        <w:t xml:space="preserve">Post-imatinib surgery in advanced/metastatic GIST: is it worthwhile in all patients. </w:t>
      </w:r>
      <w:r w:rsidR="00E85FD9" w:rsidRPr="00D62E15">
        <w:rPr>
          <w:rFonts w:asciiTheme="minorHAnsi" w:hAnsiTheme="minorHAnsi"/>
          <w:sz w:val="20"/>
          <w:lang w:val="de-DE"/>
        </w:rPr>
        <w:t>Ann Oncol. 2010;21:403-8.</w:t>
      </w:r>
    </w:p>
    <w:p w14:paraId="31CF8432" w14:textId="77777777" w:rsidR="00E85FD9" w:rsidRPr="00D62E15" w:rsidRDefault="00AC02AC" w:rsidP="00E85FD9">
      <w:pPr>
        <w:spacing w:after="60" w:line="240" w:lineRule="auto"/>
        <w:ind w:left="284" w:hanging="284"/>
        <w:jc w:val="both"/>
        <w:rPr>
          <w:rFonts w:asciiTheme="minorHAnsi" w:hAnsiTheme="minorHAnsi"/>
          <w:sz w:val="20"/>
        </w:rPr>
      </w:pPr>
      <w:r w:rsidRPr="00D62E15">
        <w:rPr>
          <w:rFonts w:asciiTheme="minorHAnsi" w:hAnsiTheme="minorHAnsi"/>
          <w:sz w:val="20"/>
          <w:lang w:val="de-DE"/>
        </w:rPr>
        <w:t>60</w:t>
      </w:r>
      <w:r w:rsidR="00E85FD9" w:rsidRPr="00D62E15">
        <w:rPr>
          <w:rFonts w:asciiTheme="minorHAnsi" w:hAnsiTheme="minorHAnsi"/>
          <w:sz w:val="20"/>
          <w:lang w:val="de-DE"/>
        </w:rPr>
        <w:t>.</w:t>
      </w:r>
      <w:r w:rsidR="00E85FD9" w:rsidRPr="00D62E15">
        <w:rPr>
          <w:rFonts w:asciiTheme="minorHAnsi" w:hAnsiTheme="minorHAnsi"/>
          <w:sz w:val="20"/>
          <w:lang w:val="de-DE"/>
        </w:rPr>
        <w:tab/>
        <w:t xml:space="preserve">Raut CP, Posner M, Desai J et al. </w:t>
      </w:r>
      <w:r w:rsidR="00E85FD9" w:rsidRPr="00D62E15">
        <w:rPr>
          <w:rFonts w:asciiTheme="minorHAnsi" w:hAnsiTheme="minorHAnsi"/>
          <w:sz w:val="20"/>
          <w:lang w:val="en-US"/>
        </w:rPr>
        <w:t xml:space="preserve">Surgical management of advanced gastrointestinal stromal tumors after treatment with targeted systemic therapy using kinase inhibitors. </w:t>
      </w:r>
      <w:r w:rsidR="00E85FD9" w:rsidRPr="00D62E15">
        <w:rPr>
          <w:rFonts w:asciiTheme="minorHAnsi" w:hAnsiTheme="minorHAnsi"/>
          <w:sz w:val="20"/>
          <w:lang w:val="de-DE"/>
        </w:rPr>
        <w:t>J Clin Oncol. 2006;24:2325-31.</w:t>
      </w:r>
    </w:p>
    <w:p w14:paraId="010F4DA8"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de-DE"/>
        </w:rPr>
        <w:t>61</w:t>
      </w:r>
      <w:r w:rsidR="00E85FD9" w:rsidRPr="00D62E15">
        <w:rPr>
          <w:rFonts w:asciiTheme="minorHAnsi" w:hAnsiTheme="minorHAnsi"/>
          <w:sz w:val="20"/>
          <w:lang w:val="de-DE"/>
        </w:rPr>
        <w:t>.</w:t>
      </w:r>
      <w:r w:rsidR="00E85FD9" w:rsidRPr="00D62E15">
        <w:rPr>
          <w:rFonts w:asciiTheme="minorHAnsi" w:hAnsiTheme="minorHAnsi"/>
          <w:sz w:val="20"/>
          <w:lang w:val="de-DE"/>
        </w:rPr>
        <w:tab/>
        <w:t xml:space="preserve">Demetri GD, Wang Y, Wehrle E et al. </w:t>
      </w:r>
      <w:r w:rsidR="00E85FD9" w:rsidRPr="00D62E15">
        <w:rPr>
          <w:rFonts w:asciiTheme="minorHAnsi" w:hAnsiTheme="minorHAnsi"/>
          <w:sz w:val="20"/>
          <w:lang w:val="en-US"/>
        </w:rPr>
        <w:t>Imatinib plasma levels are correlated with clinical benefit in patients with unresectable/metastatic gastrointestinal stromal tumors. J Clin Oncol. 2009;27:3141-7.</w:t>
      </w:r>
    </w:p>
    <w:p w14:paraId="4322D131"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62</w:t>
      </w:r>
      <w:r w:rsidR="00E85FD9" w:rsidRPr="00D62E15">
        <w:rPr>
          <w:rFonts w:asciiTheme="minorHAnsi" w:hAnsiTheme="minorHAnsi"/>
          <w:sz w:val="20"/>
          <w:lang w:val="en-US"/>
        </w:rPr>
        <w:t>.</w:t>
      </w:r>
      <w:r w:rsidR="00E85FD9" w:rsidRPr="00D62E15">
        <w:rPr>
          <w:rFonts w:asciiTheme="minorHAnsi" w:hAnsiTheme="minorHAnsi"/>
          <w:sz w:val="20"/>
          <w:lang w:val="en-US"/>
        </w:rPr>
        <w:tab/>
        <w:t>Eechoute K, Fransson MN, Reyners AK et al. A long-term prospective population pharmacokinetic study on imatinib plasma concentrations in GIST patients. Clin Cancer Res. 2012;18:5780-7.</w:t>
      </w:r>
    </w:p>
    <w:p w14:paraId="29C01042"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63</w:t>
      </w:r>
      <w:r w:rsidR="00E85FD9" w:rsidRPr="00D62E15">
        <w:rPr>
          <w:rFonts w:asciiTheme="minorHAnsi" w:hAnsiTheme="minorHAnsi"/>
          <w:sz w:val="20"/>
          <w:lang w:val="en-US"/>
        </w:rPr>
        <w:t>.</w:t>
      </w:r>
      <w:r w:rsidR="00E85FD9" w:rsidRPr="00D62E15">
        <w:rPr>
          <w:rFonts w:asciiTheme="minorHAnsi" w:hAnsiTheme="minorHAnsi"/>
          <w:sz w:val="20"/>
          <w:lang w:val="en-US"/>
        </w:rPr>
        <w:tab/>
        <w:t>Judson I. Therapeutic drug monitoring of imatinib--new data strengthen the case. Clin Cancer Res. 2012;18:5517-9.</w:t>
      </w:r>
    </w:p>
    <w:p w14:paraId="483C6F8B"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64</w:t>
      </w:r>
      <w:r w:rsidR="00E85FD9" w:rsidRPr="00D62E15">
        <w:rPr>
          <w:rFonts w:asciiTheme="minorHAnsi" w:hAnsiTheme="minorHAnsi"/>
          <w:sz w:val="20"/>
          <w:lang w:val="en-US"/>
        </w:rPr>
        <w:t>.</w:t>
      </w:r>
      <w:r w:rsidR="00E85FD9" w:rsidRPr="00D62E15">
        <w:rPr>
          <w:rFonts w:asciiTheme="minorHAnsi" w:hAnsiTheme="minorHAnsi"/>
          <w:sz w:val="20"/>
          <w:lang w:val="en-US"/>
        </w:rPr>
        <w:tab/>
        <w:t>Chen LL, Trent JC, Wu EF et al. A missense mutation in KIT kinase domain 1 correlates with imatinib resistance in gastrointestinal stromal tumors. Cancer Res. 2004;64:5913-9.</w:t>
      </w:r>
    </w:p>
    <w:p w14:paraId="519010D8" w14:textId="77777777" w:rsidR="00E85FD9" w:rsidRPr="00D62E15" w:rsidRDefault="00E85FD9"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6</w:t>
      </w:r>
      <w:r w:rsidR="00AC02AC" w:rsidRPr="00D62E15">
        <w:rPr>
          <w:rFonts w:asciiTheme="minorHAnsi" w:hAnsiTheme="minorHAnsi"/>
          <w:sz w:val="20"/>
          <w:lang w:val="en-US"/>
        </w:rPr>
        <w:t>5</w:t>
      </w:r>
      <w:r w:rsidRPr="00D62E15">
        <w:rPr>
          <w:rFonts w:asciiTheme="minorHAnsi" w:hAnsiTheme="minorHAnsi"/>
          <w:sz w:val="20"/>
          <w:lang w:val="en-US"/>
        </w:rPr>
        <w:t>.</w:t>
      </w:r>
      <w:r w:rsidRPr="00D62E15">
        <w:rPr>
          <w:rFonts w:asciiTheme="minorHAnsi" w:hAnsiTheme="minorHAnsi"/>
          <w:sz w:val="20"/>
          <w:lang w:val="en-US"/>
        </w:rPr>
        <w:tab/>
        <w:t>Antonescu CR, Besmer P, Guo T et al. Acquired resistance to imatinib in gastrointestinal stromal tumor occurs through secondary gene mutation. Clin Cancer Res. 2005;11:4182-90.</w:t>
      </w:r>
    </w:p>
    <w:p w14:paraId="1EE31725" w14:textId="77777777" w:rsidR="00E85FD9" w:rsidRPr="00D62E15" w:rsidRDefault="00E85FD9" w:rsidP="00E85FD9">
      <w:pPr>
        <w:spacing w:after="60" w:line="240" w:lineRule="auto"/>
        <w:ind w:left="284" w:hanging="284"/>
        <w:jc w:val="both"/>
        <w:rPr>
          <w:rFonts w:asciiTheme="minorHAnsi" w:hAnsiTheme="minorHAnsi"/>
          <w:sz w:val="20"/>
        </w:rPr>
      </w:pPr>
      <w:r w:rsidRPr="00D62E15">
        <w:rPr>
          <w:rFonts w:asciiTheme="minorHAnsi" w:hAnsiTheme="minorHAnsi"/>
          <w:sz w:val="20"/>
          <w:lang w:val="en-US"/>
        </w:rPr>
        <w:t>6</w:t>
      </w:r>
      <w:r w:rsidR="00AC02AC" w:rsidRPr="00D62E15">
        <w:rPr>
          <w:rFonts w:asciiTheme="minorHAnsi" w:hAnsiTheme="minorHAnsi"/>
          <w:sz w:val="20"/>
          <w:lang w:val="en-US"/>
        </w:rPr>
        <w:t>6</w:t>
      </w:r>
      <w:r w:rsidRPr="00D62E15">
        <w:rPr>
          <w:rFonts w:asciiTheme="minorHAnsi" w:hAnsiTheme="minorHAnsi"/>
          <w:sz w:val="20"/>
          <w:lang w:val="en-US"/>
        </w:rPr>
        <w:t>.</w:t>
      </w:r>
      <w:r w:rsidRPr="00D62E15">
        <w:rPr>
          <w:rFonts w:asciiTheme="minorHAnsi" w:hAnsiTheme="minorHAnsi"/>
          <w:sz w:val="20"/>
          <w:lang w:val="en-US"/>
        </w:rPr>
        <w:tab/>
        <w:t xml:space="preserve">Heinrich MC, Corless CL, Blanke CD et al. Molecular correlates of imatinib resistance in gastrointestinal stromal tumors. </w:t>
      </w:r>
      <w:r w:rsidRPr="00D62E15">
        <w:rPr>
          <w:rFonts w:asciiTheme="minorHAnsi" w:hAnsiTheme="minorHAnsi"/>
          <w:sz w:val="20"/>
          <w:lang w:val="de-DE"/>
        </w:rPr>
        <w:t>J Clin Oncol. 2006;24:4764-74.</w:t>
      </w:r>
    </w:p>
    <w:p w14:paraId="08FBB6C5"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de-DE"/>
        </w:rPr>
        <w:t>67</w:t>
      </w:r>
      <w:r w:rsidR="00E85FD9" w:rsidRPr="00D62E15">
        <w:rPr>
          <w:rFonts w:asciiTheme="minorHAnsi" w:hAnsiTheme="minorHAnsi"/>
          <w:sz w:val="20"/>
          <w:lang w:val="de-DE"/>
        </w:rPr>
        <w:t>.</w:t>
      </w:r>
      <w:r w:rsidR="00E85FD9" w:rsidRPr="00D62E15">
        <w:rPr>
          <w:rFonts w:asciiTheme="minorHAnsi" w:hAnsiTheme="minorHAnsi"/>
          <w:sz w:val="20"/>
          <w:lang w:val="de-DE"/>
        </w:rPr>
        <w:tab/>
        <w:t xml:space="preserve">Wardelmann E, Merkelbach-Bruse S, Pauls K et al. </w:t>
      </w:r>
      <w:r w:rsidR="00E85FD9" w:rsidRPr="00D62E15">
        <w:rPr>
          <w:rFonts w:asciiTheme="minorHAnsi" w:hAnsiTheme="minorHAnsi"/>
          <w:sz w:val="20"/>
          <w:lang w:val="en-US"/>
        </w:rPr>
        <w:t>Polyclonal evolution of multiple secondary KIT mutations in gastrointestinal stromal tumors under treatment with imatinib mesylate. Clin Cancer Res. 2006;12:1743-9.</w:t>
      </w:r>
    </w:p>
    <w:p w14:paraId="3B9F4C41"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68</w:t>
      </w:r>
      <w:r w:rsidR="00E85FD9" w:rsidRPr="00D62E15">
        <w:rPr>
          <w:rFonts w:asciiTheme="minorHAnsi" w:hAnsiTheme="minorHAnsi"/>
          <w:sz w:val="20"/>
          <w:lang w:val="en-US"/>
        </w:rPr>
        <w:t>.</w:t>
      </w:r>
      <w:r w:rsidR="00E85FD9" w:rsidRPr="00D62E15">
        <w:rPr>
          <w:rFonts w:asciiTheme="minorHAnsi" w:hAnsiTheme="minorHAnsi"/>
          <w:sz w:val="20"/>
          <w:lang w:val="en-US"/>
        </w:rPr>
        <w:tab/>
        <w:t>Reichardt P, Kang YK, Rutkowski P et al. Clinical outcomes of patients with advanced gastrointestinal stromal tumors: safety and efficacy in a worldwide treatment-use trial of sunitinib. Cancer. 2015;121:1405-13.</w:t>
      </w:r>
    </w:p>
    <w:p w14:paraId="693D254A"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69</w:t>
      </w:r>
      <w:r w:rsidR="00E85FD9" w:rsidRPr="00D62E15">
        <w:rPr>
          <w:rFonts w:asciiTheme="minorHAnsi" w:hAnsiTheme="minorHAnsi"/>
          <w:sz w:val="20"/>
          <w:lang w:val="en-US"/>
        </w:rPr>
        <w:t>.</w:t>
      </w:r>
      <w:r w:rsidR="00E85FD9" w:rsidRPr="00D62E15">
        <w:rPr>
          <w:rFonts w:asciiTheme="minorHAnsi" w:hAnsiTheme="minorHAnsi"/>
          <w:sz w:val="20"/>
          <w:lang w:val="en-US"/>
        </w:rPr>
        <w:tab/>
        <w:t>Demetri GD, van Oosterom AT, Garrett CR et al. Efficacy and safety of sunitinib in patients with advanced gastrointestinal stromal tumour after failure of imatinib: a randomised controlled trial. Lancet. 2006;368:1329-38.</w:t>
      </w:r>
    </w:p>
    <w:p w14:paraId="69CC7341" w14:textId="77777777" w:rsidR="00AC02AC" w:rsidRPr="00D62E15" w:rsidRDefault="00AC02AC" w:rsidP="00AC02AC">
      <w:pPr>
        <w:spacing w:after="60" w:line="240" w:lineRule="auto"/>
        <w:ind w:left="284" w:hanging="284"/>
        <w:jc w:val="both"/>
        <w:rPr>
          <w:rFonts w:asciiTheme="minorHAnsi" w:hAnsiTheme="minorHAnsi"/>
          <w:sz w:val="20"/>
          <w:lang w:val="en-GB"/>
        </w:rPr>
      </w:pPr>
      <w:r w:rsidRPr="00D62E15">
        <w:rPr>
          <w:rFonts w:asciiTheme="minorHAnsi" w:hAnsiTheme="minorHAnsi"/>
          <w:sz w:val="20"/>
          <w:lang w:val="en-US"/>
        </w:rPr>
        <w:lastRenderedPageBreak/>
        <w:t>70</w:t>
      </w:r>
      <w:r w:rsidR="00DF0655" w:rsidRPr="00D62E15">
        <w:rPr>
          <w:rFonts w:asciiTheme="minorHAnsi" w:hAnsiTheme="minorHAnsi"/>
          <w:sz w:val="20"/>
          <w:lang w:val="en-US"/>
        </w:rPr>
        <w:t>.</w:t>
      </w:r>
      <w:r w:rsidRPr="00D62E15">
        <w:rPr>
          <w:rFonts w:asciiTheme="minorHAnsi" w:hAnsiTheme="minorHAnsi"/>
          <w:sz w:val="20"/>
          <w:lang w:val="en-US"/>
        </w:rPr>
        <w:t>(</w:t>
      </w:r>
      <w:r w:rsidRPr="00D62E15">
        <w:rPr>
          <w:rFonts w:asciiTheme="minorHAnsi" w:hAnsiTheme="minorHAnsi"/>
          <w:sz w:val="20"/>
          <w:lang w:val="en-GB"/>
        </w:rPr>
        <w:t xml:space="preserve">78) George S, Merriam P, Maki RG, et al. Multicenter phase II trial of sunitinib in the treatment of nongastrointestinal stromal tumor sarcomas. </w:t>
      </w:r>
      <w:r w:rsidRPr="00D62E15">
        <w:rPr>
          <w:rFonts w:asciiTheme="minorHAnsi" w:hAnsiTheme="minorHAnsi"/>
          <w:iCs/>
          <w:sz w:val="20"/>
          <w:lang w:val="en-GB"/>
        </w:rPr>
        <w:t>J Clin Oncol</w:t>
      </w:r>
      <w:r w:rsidRPr="00D62E15">
        <w:rPr>
          <w:rFonts w:asciiTheme="minorHAnsi" w:hAnsiTheme="minorHAnsi"/>
          <w:sz w:val="20"/>
          <w:lang w:val="en-GB"/>
        </w:rPr>
        <w:t>. 2009;27(19):3154–3160. doi:10.1200/JCO.2008.20.9890</w:t>
      </w:r>
    </w:p>
    <w:p w14:paraId="636E699D"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71</w:t>
      </w:r>
      <w:r w:rsidR="00E85FD9" w:rsidRPr="00D62E15">
        <w:rPr>
          <w:rFonts w:asciiTheme="minorHAnsi" w:hAnsiTheme="minorHAnsi"/>
          <w:sz w:val="20"/>
          <w:lang w:val="en-US"/>
        </w:rPr>
        <w:t>.</w:t>
      </w:r>
      <w:r w:rsidR="00E85FD9" w:rsidRPr="00D62E15">
        <w:rPr>
          <w:rFonts w:asciiTheme="minorHAnsi" w:hAnsiTheme="minorHAnsi"/>
          <w:sz w:val="20"/>
          <w:lang w:val="en-US"/>
        </w:rPr>
        <w:tab/>
        <w:t>Heinrich MC, Maki RG, Corless CL et al. Primary and secondary kinase genotypes correlate with the biological and clinical activity of sunitinib in imatinib-resistant gastrointestinal stromal tumor. J Clin Oncol. 2008;26:5352-9.</w:t>
      </w:r>
    </w:p>
    <w:p w14:paraId="1DD6A68C"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72</w:t>
      </w:r>
      <w:r w:rsidR="00E85FD9" w:rsidRPr="00D62E15">
        <w:rPr>
          <w:rFonts w:asciiTheme="minorHAnsi" w:hAnsiTheme="minorHAnsi"/>
          <w:sz w:val="20"/>
          <w:lang w:val="en-US"/>
        </w:rPr>
        <w:t>.</w:t>
      </w:r>
      <w:r w:rsidR="00E85FD9" w:rsidRPr="00D62E15">
        <w:rPr>
          <w:rFonts w:asciiTheme="minorHAnsi" w:hAnsiTheme="minorHAnsi"/>
          <w:sz w:val="20"/>
          <w:lang w:val="en-US"/>
        </w:rPr>
        <w:tab/>
        <w:t>Demetri GD, Reichardt P, Kang YK et al. Efficacy and safety of regorafenib for advanced gastrointestinal stromal tumours after failure of imatinib and sunitinib (GRID): an international, multicentre, randomised, placebo-controlled, phase 3 trial. Lancet. 2013;381:295-302.</w:t>
      </w:r>
    </w:p>
    <w:p w14:paraId="4EBFFBA9"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73</w:t>
      </w:r>
      <w:r w:rsidR="00E85FD9" w:rsidRPr="00D62E15">
        <w:rPr>
          <w:rFonts w:asciiTheme="minorHAnsi" w:hAnsiTheme="minorHAnsi"/>
          <w:sz w:val="20"/>
          <w:lang w:val="en-US"/>
        </w:rPr>
        <w:t>.</w:t>
      </w:r>
      <w:r w:rsidR="00E85FD9" w:rsidRPr="00D62E15">
        <w:rPr>
          <w:rFonts w:asciiTheme="minorHAnsi" w:hAnsiTheme="minorHAnsi"/>
          <w:sz w:val="20"/>
          <w:lang w:val="en-US"/>
        </w:rPr>
        <w:tab/>
        <w:t>Reid T. Reintroduction of imatinib in GIST. J Gastrointest Cancer. 2013;44:385-92.</w:t>
      </w:r>
    </w:p>
    <w:p w14:paraId="36266214"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74</w:t>
      </w:r>
      <w:r w:rsidR="00E85FD9" w:rsidRPr="00D62E15">
        <w:rPr>
          <w:rFonts w:asciiTheme="minorHAnsi" w:hAnsiTheme="minorHAnsi"/>
          <w:sz w:val="20"/>
          <w:lang w:val="en-US"/>
        </w:rPr>
        <w:t>.</w:t>
      </w:r>
      <w:r w:rsidR="00E85FD9" w:rsidRPr="00D62E15">
        <w:rPr>
          <w:rFonts w:asciiTheme="minorHAnsi" w:hAnsiTheme="minorHAnsi"/>
          <w:sz w:val="20"/>
          <w:lang w:val="en-US"/>
        </w:rPr>
        <w:tab/>
        <w:t>Sawaki A, Kanda T, Komatsu Y, Nishida T. Impact of rechallenge with imatinib in patients with advanced gastrointestinal stromal tumor after failure of imatinib and sunitinib. Gastroenterol Res Pract. 2014;2014:342986.</w:t>
      </w:r>
    </w:p>
    <w:p w14:paraId="798D7161"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75</w:t>
      </w:r>
      <w:r w:rsidR="00E85FD9" w:rsidRPr="00D62E15">
        <w:rPr>
          <w:rFonts w:asciiTheme="minorHAnsi" w:hAnsiTheme="minorHAnsi"/>
          <w:sz w:val="20"/>
          <w:lang w:val="en-US"/>
        </w:rPr>
        <w:t>.</w:t>
      </w:r>
      <w:r w:rsidR="00E85FD9" w:rsidRPr="00D62E15">
        <w:rPr>
          <w:rFonts w:asciiTheme="minorHAnsi" w:hAnsiTheme="minorHAnsi"/>
          <w:sz w:val="20"/>
          <w:lang w:val="en-US"/>
        </w:rPr>
        <w:tab/>
        <w:t>Reichardt P, Blay JY, Gelderblom H et al. Phase III study of nilotinib versus best supportive care with or without a TKI in patients with gastrointestinal stromal tumors resistant to or intolerant of imatinib and sunitinib. Ann Oncol. 2012;23:1680-7.</w:t>
      </w:r>
    </w:p>
    <w:p w14:paraId="42438775"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76</w:t>
      </w:r>
      <w:r w:rsidR="00E85FD9" w:rsidRPr="00D62E15">
        <w:rPr>
          <w:rFonts w:asciiTheme="minorHAnsi" w:hAnsiTheme="minorHAnsi"/>
          <w:sz w:val="20"/>
          <w:lang w:val="en-US"/>
        </w:rPr>
        <w:t>.</w:t>
      </w:r>
      <w:r w:rsidR="00E85FD9" w:rsidRPr="00D62E15">
        <w:rPr>
          <w:rFonts w:asciiTheme="minorHAnsi" w:hAnsiTheme="minorHAnsi"/>
          <w:sz w:val="20"/>
          <w:lang w:val="en-US"/>
        </w:rPr>
        <w:tab/>
        <w:t>Kanda T, Ishikawa T, Takahashi T, Nishida T. Nilotinib for treatment of gastrointestinal stromal tumors: out of the equation. Expert Opin Pharmacother. 2013;14:1859-67.</w:t>
      </w:r>
    </w:p>
    <w:p w14:paraId="33B058AA" w14:textId="77777777" w:rsidR="00E85FD9" w:rsidRPr="00D62E15" w:rsidRDefault="00E85FD9"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7</w:t>
      </w:r>
      <w:r w:rsidR="00AC02AC" w:rsidRPr="00D62E15">
        <w:rPr>
          <w:rFonts w:asciiTheme="minorHAnsi" w:hAnsiTheme="minorHAnsi"/>
          <w:sz w:val="20"/>
          <w:lang w:val="en-US"/>
        </w:rPr>
        <w:t>7</w:t>
      </w:r>
      <w:r w:rsidRPr="00D62E15">
        <w:rPr>
          <w:rFonts w:asciiTheme="minorHAnsi" w:hAnsiTheme="minorHAnsi"/>
          <w:sz w:val="20"/>
          <w:lang w:val="en-US"/>
        </w:rPr>
        <w:t>.</w:t>
      </w:r>
      <w:r w:rsidRPr="00D62E15">
        <w:rPr>
          <w:rFonts w:asciiTheme="minorHAnsi" w:hAnsiTheme="minorHAnsi"/>
          <w:sz w:val="20"/>
          <w:lang w:val="en-US"/>
        </w:rPr>
        <w:tab/>
        <w:t>Schlemmer M, Schinwald N, Bruns C, Berger F, Reichardt P. Response to nilotinib as a first-line treatment for metastatic gastrointestinal stromal tumors. J Gastrointest Cancer. 2012;43:385-7.</w:t>
      </w:r>
    </w:p>
    <w:p w14:paraId="0F463E56"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78</w:t>
      </w:r>
      <w:r w:rsidR="00E85FD9" w:rsidRPr="00D62E15">
        <w:rPr>
          <w:rFonts w:asciiTheme="minorHAnsi" w:hAnsiTheme="minorHAnsi"/>
          <w:sz w:val="20"/>
          <w:lang w:val="en-US"/>
        </w:rPr>
        <w:t>.</w:t>
      </w:r>
      <w:r w:rsidR="00E85FD9" w:rsidRPr="00D62E15">
        <w:rPr>
          <w:rFonts w:asciiTheme="minorHAnsi" w:hAnsiTheme="minorHAnsi"/>
          <w:sz w:val="20"/>
          <w:lang w:val="en-US"/>
        </w:rPr>
        <w:tab/>
        <w:t>Eberst L, Cropet C, Le Cesne A et al. The off-label use of targeted therapies in sarcomas: the OUTC’S program. BMC Cancer. 2014;14:870.</w:t>
      </w:r>
    </w:p>
    <w:p w14:paraId="14D23526" w14:textId="77777777" w:rsidR="00E85FD9" w:rsidRPr="00D62E15" w:rsidRDefault="00AC02AC"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79</w:t>
      </w:r>
      <w:r w:rsidR="00E85FD9" w:rsidRPr="00D62E15">
        <w:rPr>
          <w:rFonts w:asciiTheme="minorHAnsi" w:hAnsiTheme="minorHAnsi"/>
          <w:sz w:val="20"/>
          <w:lang w:val="en-US"/>
        </w:rPr>
        <w:t>.</w:t>
      </w:r>
      <w:r w:rsidR="00E85FD9" w:rsidRPr="00D62E15">
        <w:rPr>
          <w:rFonts w:asciiTheme="minorHAnsi" w:hAnsiTheme="minorHAnsi"/>
          <w:sz w:val="20"/>
          <w:lang w:val="en-US"/>
        </w:rPr>
        <w:tab/>
        <w:t>Montemurro M, Gelderblom H, Bitz U et al. Sorafenib as third- or fourth-line treatment of advanced gastrointestinal stromal tumour and pretreatment including both imatinib and sunitinib, and nilotinib: A retrospective analysis. Eur J Cancer. 2013;49:1027-31.</w:t>
      </w:r>
    </w:p>
    <w:p w14:paraId="5F4DA65B" w14:textId="77777777" w:rsidR="003241FB" w:rsidRPr="00D62E15" w:rsidRDefault="003241FB" w:rsidP="00DF0655">
      <w:pPr>
        <w:autoSpaceDE w:val="0"/>
        <w:autoSpaceDN w:val="0"/>
        <w:adjustRightInd w:val="0"/>
        <w:spacing w:line="240" w:lineRule="auto"/>
        <w:ind w:left="284" w:hanging="284"/>
        <w:jc w:val="left"/>
        <w:rPr>
          <w:rFonts w:asciiTheme="minorHAnsi" w:hAnsiTheme="minorHAnsi" w:cs="PlantinStd"/>
          <w:sz w:val="20"/>
          <w:lang w:val="en-GB" w:eastAsia="de-AT"/>
        </w:rPr>
      </w:pPr>
      <w:r w:rsidRPr="00D62E15">
        <w:rPr>
          <w:rFonts w:asciiTheme="minorHAnsi" w:hAnsiTheme="minorHAnsi"/>
          <w:sz w:val="20"/>
          <w:lang w:val="en-GB"/>
        </w:rPr>
        <w:t xml:space="preserve">80. (79) </w:t>
      </w:r>
      <w:r w:rsidRPr="00D62E15">
        <w:rPr>
          <w:rFonts w:asciiTheme="minorHAnsi" w:hAnsiTheme="minorHAnsi" w:cs="PlantinStd"/>
          <w:sz w:val="20"/>
          <w:lang w:val="en-GB" w:eastAsia="de-AT"/>
        </w:rPr>
        <w:t>Mir O, Cropet C, Toulmonde M</w:t>
      </w:r>
      <w:r w:rsidRPr="00D62E15">
        <w:rPr>
          <w:rFonts w:asciiTheme="minorHAnsi" w:hAnsiTheme="minorHAnsi" w:cs="PlantinStd-Italic"/>
          <w:iCs/>
          <w:sz w:val="20"/>
          <w:lang w:val="en-GB" w:eastAsia="de-AT"/>
        </w:rPr>
        <w:t>, et al</w:t>
      </w:r>
      <w:r w:rsidRPr="00D62E15">
        <w:rPr>
          <w:rFonts w:asciiTheme="minorHAnsi" w:hAnsiTheme="minorHAnsi" w:cs="PlantinStd"/>
          <w:sz w:val="20"/>
          <w:lang w:val="en-GB" w:eastAsia="de-AT"/>
        </w:rPr>
        <w:t xml:space="preserve">. Pazopanib plus best supportive care versus best supportive care alone in advanced gastrointestinal stromal tumours resistant to imatinib and sunitinib (PAZOGIST): a randomised, multicentre, open-label phase 2 trial. </w:t>
      </w:r>
      <w:r w:rsidRPr="00D62E15">
        <w:rPr>
          <w:rFonts w:asciiTheme="minorHAnsi" w:hAnsiTheme="minorHAnsi" w:cs="PlantinStd-Italic"/>
          <w:iCs/>
          <w:sz w:val="20"/>
          <w:lang w:val="en-GB" w:eastAsia="de-AT"/>
        </w:rPr>
        <w:t>Lancet Oncol</w:t>
      </w:r>
      <w:r w:rsidRPr="00D62E15">
        <w:rPr>
          <w:rFonts w:asciiTheme="minorHAnsi" w:hAnsiTheme="minorHAnsi" w:cs="PlantinStd"/>
          <w:sz w:val="20"/>
          <w:lang w:val="en-GB" w:eastAsia="de-AT"/>
        </w:rPr>
        <w:t xml:space="preserve"> 2016; 17: 632–641.</w:t>
      </w:r>
    </w:p>
    <w:p w14:paraId="40F3C9B3" w14:textId="77777777" w:rsidR="00E85FD9" w:rsidRPr="00D62E15" w:rsidRDefault="003241FB" w:rsidP="00E85FD9">
      <w:pPr>
        <w:spacing w:after="60" w:line="240" w:lineRule="auto"/>
        <w:ind w:left="284" w:hanging="284"/>
        <w:jc w:val="both"/>
        <w:rPr>
          <w:rFonts w:asciiTheme="minorHAnsi" w:hAnsiTheme="minorHAnsi"/>
          <w:sz w:val="20"/>
          <w:lang w:val="en-US"/>
        </w:rPr>
      </w:pPr>
      <w:r w:rsidRPr="00D62E15">
        <w:rPr>
          <w:rFonts w:asciiTheme="minorHAnsi" w:hAnsiTheme="minorHAnsi"/>
          <w:sz w:val="20"/>
          <w:lang w:val="en-US"/>
        </w:rPr>
        <w:t>81</w:t>
      </w:r>
      <w:r w:rsidR="00E85FD9" w:rsidRPr="00D62E15">
        <w:rPr>
          <w:rFonts w:asciiTheme="minorHAnsi" w:hAnsiTheme="minorHAnsi"/>
          <w:sz w:val="20"/>
          <w:lang w:val="en-US"/>
        </w:rPr>
        <w:t>.</w:t>
      </w:r>
      <w:r w:rsidR="00E85FD9" w:rsidRPr="00D62E15">
        <w:rPr>
          <w:rFonts w:asciiTheme="minorHAnsi" w:hAnsiTheme="minorHAnsi"/>
          <w:sz w:val="20"/>
          <w:lang w:val="en-US"/>
        </w:rPr>
        <w:tab/>
        <w:t>Joensuu H, Eriksson M, Collan J, Balk MH, Leyvraz S, Montemurro M. Radiotherapy for GIST progressing during or after tyrosine kinase inhibitor therapy: A prospective study. Radiother Oncol. 2015;116:233-8.</w:t>
      </w:r>
    </w:p>
    <w:p w14:paraId="638DAD4B" w14:textId="77777777" w:rsidR="00E85FD9" w:rsidRDefault="003241FB" w:rsidP="00E85FD9">
      <w:pPr>
        <w:spacing w:after="60" w:line="240" w:lineRule="auto"/>
        <w:ind w:left="284" w:hanging="284"/>
        <w:jc w:val="both"/>
        <w:rPr>
          <w:rFonts w:asciiTheme="minorHAnsi" w:hAnsiTheme="minorHAnsi"/>
          <w:sz w:val="20"/>
          <w:lang w:val="de-DE"/>
        </w:rPr>
      </w:pPr>
      <w:r w:rsidRPr="00D62E15">
        <w:rPr>
          <w:rFonts w:asciiTheme="minorHAnsi" w:hAnsiTheme="minorHAnsi"/>
          <w:sz w:val="20"/>
          <w:lang w:val="en-US"/>
        </w:rPr>
        <w:t>82</w:t>
      </w:r>
      <w:r w:rsidR="00E85FD9" w:rsidRPr="00D62E15">
        <w:rPr>
          <w:rFonts w:asciiTheme="minorHAnsi" w:hAnsiTheme="minorHAnsi"/>
          <w:sz w:val="20"/>
          <w:lang w:val="en-US"/>
        </w:rPr>
        <w:t>.</w:t>
      </w:r>
      <w:r w:rsidR="00E85FD9" w:rsidRPr="00D62E15">
        <w:rPr>
          <w:rFonts w:asciiTheme="minorHAnsi" w:hAnsiTheme="minorHAnsi"/>
          <w:sz w:val="20"/>
          <w:lang w:val="en-US"/>
        </w:rPr>
        <w:tab/>
        <w:t xml:space="preserve">Choi H, Charnsangavej C, Faria SC et al. Correlation of computed tomography and positron emission tomography in patients with metastatic gastrointestinal stromal tumor treated at a single institution with imatinib mesylate: proposal of new computed tomography response criteria. </w:t>
      </w:r>
      <w:r w:rsidR="00E85FD9" w:rsidRPr="00D62E15">
        <w:rPr>
          <w:rFonts w:asciiTheme="minorHAnsi" w:hAnsiTheme="minorHAnsi"/>
          <w:sz w:val="20"/>
          <w:lang w:val="de-DE"/>
        </w:rPr>
        <w:t>J Clin Oncol. 2007;25:1753-9.</w:t>
      </w:r>
    </w:p>
    <w:p w14:paraId="4D3E0B35" w14:textId="77777777" w:rsidR="004652A1" w:rsidRPr="00EC608E" w:rsidRDefault="004652A1" w:rsidP="00E85FD9">
      <w:pPr>
        <w:spacing w:after="60" w:line="240" w:lineRule="auto"/>
        <w:ind w:left="284" w:hanging="284"/>
        <w:jc w:val="both"/>
        <w:rPr>
          <w:rFonts w:asciiTheme="minorHAnsi" w:hAnsiTheme="minorHAnsi" w:cs="Helvetica"/>
          <w:color w:val="C0504D" w:themeColor="accent2"/>
          <w:sz w:val="20"/>
        </w:rPr>
      </w:pPr>
    </w:p>
    <w:p w14:paraId="6040DED9" w14:textId="77777777" w:rsidR="003B78E1" w:rsidRDefault="003B78E1" w:rsidP="007F3064">
      <w:pPr>
        <w:pStyle w:val="Textkrper-Einzug2"/>
        <w:spacing w:line="276" w:lineRule="auto"/>
        <w:ind w:left="0"/>
        <w:jc w:val="both"/>
        <w:rPr>
          <w:rFonts w:asciiTheme="minorHAnsi" w:hAnsiTheme="minorHAnsi" w:cstheme="minorHAnsi"/>
          <w:szCs w:val="22"/>
        </w:rPr>
      </w:pPr>
    </w:p>
    <w:p w14:paraId="33B20892" w14:textId="77777777" w:rsidR="003B78E1" w:rsidRDefault="003B78E1" w:rsidP="007F3064">
      <w:pPr>
        <w:pStyle w:val="Textkrper-Einzug2"/>
        <w:spacing w:line="276" w:lineRule="auto"/>
        <w:ind w:left="0"/>
        <w:jc w:val="both"/>
        <w:rPr>
          <w:rFonts w:asciiTheme="minorHAnsi" w:hAnsiTheme="minorHAnsi" w:cstheme="minorHAnsi"/>
          <w:szCs w:val="22"/>
        </w:rPr>
      </w:pPr>
    </w:p>
    <w:p w14:paraId="4FFF856E" w14:textId="77777777" w:rsidR="003B78E1" w:rsidRDefault="003B78E1" w:rsidP="007F3064">
      <w:pPr>
        <w:pStyle w:val="Textkrper-Einzug2"/>
        <w:spacing w:line="276" w:lineRule="auto"/>
        <w:ind w:left="0"/>
        <w:jc w:val="both"/>
        <w:rPr>
          <w:rFonts w:asciiTheme="minorHAnsi" w:hAnsiTheme="minorHAnsi" w:cstheme="minorHAnsi"/>
          <w:szCs w:val="22"/>
        </w:rPr>
      </w:pPr>
    </w:p>
    <w:p w14:paraId="18AEB63D" w14:textId="77777777" w:rsidR="003B78E1" w:rsidRDefault="003B78E1" w:rsidP="007F3064">
      <w:pPr>
        <w:pStyle w:val="Textkrper-Einzug2"/>
        <w:spacing w:line="276" w:lineRule="auto"/>
        <w:ind w:left="0"/>
        <w:jc w:val="both"/>
        <w:rPr>
          <w:rFonts w:asciiTheme="minorHAnsi" w:hAnsiTheme="minorHAnsi" w:cstheme="minorHAnsi"/>
          <w:szCs w:val="22"/>
        </w:rPr>
      </w:pPr>
    </w:p>
    <w:p w14:paraId="0191FD82" w14:textId="77777777" w:rsidR="00DF0655" w:rsidRDefault="00DF0655" w:rsidP="007F3064">
      <w:pPr>
        <w:pStyle w:val="Textkrper-Einzug2"/>
        <w:spacing w:line="276" w:lineRule="auto"/>
        <w:ind w:left="0"/>
        <w:jc w:val="both"/>
        <w:rPr>
          <w:rFonts w:asciiTheme="minorHAnsi" w:hAnsiTheme="minorHAnsi" w:cstheme="minorHAnsi"/>
          <w:szCs w:val="22"/>
        </w:rPr>
      </w:pPr>
    </w:p>
    <w:p w14:paraId="58B7124E" w14:textId="77777777" w:rsidR="00DF0655" w:rsidRDefault="00DF0655" w:rsidP="007F3064">
      <w:pPr>
        <w:pStyle w:val="Textkrper-Einzug2"/>
        <w:spacing w:line="276" w:lineRule="auto"/>
        <w:ind w:left="0"/>
        <w:jc w:val="both"/>
        <w:rPr>
          <w:rFonts w:asciiTheme="minorHAnsi" w:hAnsiTheme="minorHAnsi" w:cstheme="minorHAnsi"/>
          <w:szCs w:val="22"/>
        </w:rPr>
      </w:pPr>
    </w:p>
    <w:p w14:paraId="02462F61" w14:textId="6A3406C7" w:rsidR="00DF0655" w:rsidRDefault="00DF0655" w:rsidP="007F3064">
      <w:pPr>
        <w:pStyle w:val="Textkrper-Einzug2"/>
        <w:spacing w:line="276" w:lineRule="auto"/>
        <w:ind w:left="0"/>
        <w:jc w:val="both"/>
        <w:rPr>
          <w:rFonts w:asciiTheme="minorHAnsi" w:hAnsiTheme="minorHAnsi" w:cstheme="minorHAnsi"/>
          <w:szCs w:val="22"/>
        </w:rPr>
      </w:pPr>
    </w:p>
    <w:p w14:paraId="68F4F315" w14:textId="06DD6744" w:rsidR="00D62E15" w:rsidRDefault="00D62E15" w:rsidP="007F3064">
      <w:pPr>
        <w:pStyle w:val="Textkrper-Einzug2"/>
        <w:spacing w:line="276" w:lineRule="auto"/>
        <w:ind w:left="0"/>
        <w:jc w:val="both"/>
        <w:rPr>
          <w:rFonts w:asciiTheme="minorHAnsi" w:hAnsiTheme="minorHAnsi" w:cstheme="minorHAnsi"/>
          <w:szCs w:val="22"/>
        </w:rPr>
      </w:pPr>
    </w:p>
    <w:p w14:paraId="76CF56AB" w14:textId="77777777" w:rsidR="00D62E15" w:rsidRDefault="00D62E15" w:rsidP="007F3064">
      <w:pPr>
        <w:pStyle w:val="Textkrper-Einzug2"/>
        <w:spacing w:line="276" w:lineRule="auto"/>
        <w:ind w:left="0"/>
        <w:jc w:val="both"/>
        <w:rPr>
          <w:rFonts w:asciiTheme="minorHAnsi" w:hAnsiTheme="minorHAnsi" w:cstheme="minorHAnsi"/>
          <w:szCs w:val="22"/>
        </w:rPr>
      </w:pPr>
    </w:p>
    <w:p w14:paraId="59945089" w14:textId="77777777" w:rsidR="00DF0655" w:rsidRDefault="00DF0655" w:rsidP="007F3064">
      <w:pPr>
        <w:pStyle w:val="Textkrper-Einzug2"/>
        <w:spacing w:line="276" w:lineRule="auto"/>
        <w:ind w:left="0"/>
        <w:jc w:val="both"/>
        <w:rPr>
          <w:rFonts w:asciiTheme="minorHAnsi" w:hAnsiTheme="minorHAnsi" w:cstheme="minorHAnsi"/>
          <w:szCs w:val="22"/>
        </w:rPr>
      </w:pPr>
    </w:p>
    <w:p w14:paraId="29E28FBC" w14:textId="77777777" w:rsidR="003B78E1" w:rsidRDefault="003B78E1" w:rsidP="007F3064">
      <w:pPr>
        <w:pStyle w:val="Textkrper-Einzug2"/>
        <w:spacing w:line="276" w:lineRule="auto"/>
        <w:ind w:left="0"/>
        <w:jc w:val="both"/>
        <w:rPr>
          <w:rFonts w:asciiTheme="minorHAnsi" w:hAnsiTheme="minorHAnsi" w:cstheme="minorHAnsi"/>
          <w:szCs w:val="22"/>
        </w:rPr>
      </w:pPr>
    </w:p>
    <w:p w14:paraId="73B0E25B" w14:textId="77777777" w:rsidR="003B78E1" w:rsidRPr="003B78E1" w:rsidRDefault="003B78E1" w:rsidP="003B78E1">
      <w:pPr>
        <w:pStyle w:val="berschrift1"/>
      </w:pPr>
      <w:bookmarkStart w:id="32" w:name="_Toc41307611"/>
      <w:r w:rsidRPr="003B78E1">
        <w:lastRenderedPageBreak/>
        <w:t>Anhang: Rezidivrisiko abhängig von KIT und oder PDGFRA Mutationen</w:t>
      </w:r>
      <w:bookmarkEnd w:id="32"/>
    </w:p>
    <w:p w14:paraId="63E8ACB3" w14:textId="77777777" w:rsidR="003B78E1" w:rsidRPr="003B78E1" w:rsidRDefault="003B78E1" w:rsidP="003B78E1">
      <w:pPr>
        <w:pStyle w:val="Textkrper-Einzug2"/>
        <w:spacing w:after="0" w:line="276" w:lineRule="auto"/>
        <w:ind w:left="0"/>
        <w:jc w:val="both"/>
        <w:rPr>
          <w:rFonts w:ascii="Calibri" w:hAnsi="Calibri" w:cs="Calibri"/>
          <w:szCs w:val="22"/>
        </w:rPr>
      </w:pPr>
      <w:r w:rsidRPr="003B78E1">
        <w:rPr>
          <w:rFonts w:ascii="Calibri" w:hAnsi="Calibri" w:cs="Calibri"/>
          <w:szCs w:val="22"/>
        </w:rPr>
        <w:t>Mittlerweile gibt es auch Daten, die das Rezidivrisiko abhängig von KIT oder PDGFRA Mutationen ermessen können. Diese Daten gehen allerdings noch nicht in die allgemeinen Risikoprofile ein und fanden bis dato auch noch keinen Einzug in die internationalen Leitlinien. Abbildungen A1 und A2 geben einen grafischen Überblick, der kursorisch folgendermaßen beschrieben werden kann. Das Größerzeichen „&gt;“ bezeichnet „besser“ i. S. von längerem Überleben.</w:t>
      </w:r>
    </w:p>
    <w:p w14:paraId="703641BD" w14:textId="77777777" w:rsidR="003B78E1" w:rsidRDefault="003B78E1" w:rsidP="003B78E1">
      <w:pPr>
        <w:pStyle w:val="Textkrper-Einzug2"/>
        <w:spacing w:after="0" w:line="276" w:lineRule="auto"/>
        <w:ind w:left="0"/>
        <w:jc w:val="both"/>
        <w:rPr>
          <w:rFonts w:ascii="Calibri" w:hAnsi="Calibri" w:cs="Calibri"/>
          <w:b/>
          <w:szCs w:val="22"/>
        </w:rPr>
      </w:pPr>
    </w:p>
    <w:p w14:paraId="6C84F362" w14:textId="77777777" w:rsidR="003B78E1" w:rsidRPr="003B78E1" w:rsidRDefault="003B78E1" w:rsidP="003B78E1">
      <w:pPr>
        <w:pStyle w:val="Textkrper-Einzug2"/>
        <w:spacing w:after="0" w:line="276" w:lineRule="auto"/>
        <w:ind w:left="0"/>
        <w:jc w:val="both"/>
        <w:rPr>
          <w:rFonts w:ascii="Calibri" w:hAnsi="Calibri" w:cs="Calibri"/>
          <w:b/>
          <w:szCs w:val="22"/>
        </w:rPr>
      </w:pPr>
      <w:r>
        <w:rPr>
          <w:rFonts w:ascii="Calibri" w:hAnsi="Calibri" w:cs="Calibri"/>
          <w:b/>
          <w:szCs w:val="22"/>
        </w:rPr>
        <w:t xml:space="preserve"> </w:t>
      </w:r>
      <w:r w:rsidRPr="003B78E1">
        <w:rPr>
          <w:rFonts w:ascii="Calibri" w:hAnsi="Calibri" w:cs="Calibri"/>
          <w:b/>
          <w:szCs w:val="22"/>
        </w:rPr>
        <w:t>Abbildung A1</w:t>
      </w:r>
    </w:p>
    <w:p w14:paraId="4379DD07" w14:textId="77777777" w:rsidR="003B78E1" w:rsidRPr="003B78E1" w:rsidRDefault="003B78E1" w:rsidP="003B78E1">
      <w:pPr>
        <w:pStyle w:val="Textkrper-Einzug2"/>
        <w:spacing w:after="0" w:line="276" w:lineRule="auto"/>
        <w:ind w:left="0"/>
        <w:jc w:val="both"/>
        <w:rPr>
          <w:rFonts w:ascii="Calibri" w:hAnsi="Calibri" w:cs="Calibri"/>
          <w:szCs w:val="22"/>
        </w:rPr>
      </w:pPr>
      <w:r>
        <w:rPr>
          <w:rFonts w:ascii="Calibri" w:hAnsi="Calibri" w:cs="Calibri"/>
          <w:noProof/>
          <w:szCs w:val="22"/>
          <w:lang w:eastAsia="de-AT"/>
        </w:rPr>
        <mc:AlternateContent>
          <mc:Choice Requires="wps">
            <w:drawing>
              <wp:anchor distT="0" distB="0" distL="114300" distR="114300" simplePos="0" relativeHeight="251687936" behindDoc="0" locked="0" layoutInCell="1" allowOverlap="1" wp14:anchorId="23D6C938" wp14:editId="01F225F7">
                <wp:simplePos x="0" y="0"/>
                <wp:positionH relativeFrom="column">
                  <wp:posOffset>2973070</wp:posOffset>
                </wp:positionH>
                <wp:positionV relativeFrom="paragraph">
                  <wp:posOffset>173355</wp:posOffset>
                </wp:positionV>
                <wp:extent cx="2768600" cy="513080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2768600" cy="513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4A1C4" w14:textId="77777777" w:rsidR="00EC608E" w:rsidRPr="003B78E1" w:rsidRDefault="00EC608E" w:rsidP="003B78E1">
                            <w:pPr>
                              <w:pStyle w:val="Textkrper-Einzug2"/>
                              <w:numPr>
                                <w:ilvl w:val="0"/>
                                <w:numId w:val="33"/>
                              </w:numPr>
                              <w:spacing w:after="0" w:line="276" w:lineRule="auto"/>
                              <w:jc w:val="left"/>
                              <w:rPr>
                                <w:rFonts w:ascii="Calibri" w:hAnsi="Calibri" w:cs="Calibri"/>
                                <w:szCs w:val="22"/>
                                <w:lang w:val="en-US"/>
                              </w:rPr>
                            </w:pPr>
                            <w:r w:rsidRPr="003B78E1">
                              <w:rPr>
                                <w:rFonts w:ascii="Calibri" w:hAnsi="Calibri" w:cs="Calibri"/>
                                <w:szCs w:val="22"/>
                                <w:lang w:val="en-US"/>
                              </w:rPr>
                              <w:t>PDGFRA Mutation &gt; WT &gt; KIT Mutation (Panel A)</w:t>
                            </w:r>
                          </w:p>
                          <w:p w14:paraId="751E9825" w14:textId="77777777" w:rsidR="00EC608E" w:rsidRPr="003B78E1" w:rsidRDefault="00EC608E" w:rsidP="003B78E1">
                            <w:pPr>
                              <w:pStyle w:val="Textkrper-Einzug2"/>
                              <w:spacing w:after="0" w:line="276" w:lineRule="auto"/>
                              <w:ind w:left="0"/>
                              <w:jc w:val="left"/>
                              <w:rPr>
                                <w:rFonts w:ascii="Calibri" w:hAnsi="Calibri" w:cs="Calibri"/>
                                <w:szCs w:val="22"/>
                                <w:lang w:val="en-US"/>
                              </w:rPr>
                            </w:pPr>
                            <w:r w:rsidRPr="003B78E1">
                              <w:rPr>
                                <w:rFonts w:ascii="Calibri" w:hAnsi="Calibri" w:cs="Calibri"/>
                                <w:szCs w:val="22"/>
                                <w:lang w:val="en-US"/>
                              </w:rPr>
                              <w:tab/>
                            </w:r>
                          </w:p>
                          <w:p w14:paraId="31BFA945"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20CD9037" w14:textId="77777777" w:rsidR="00EC608E" w:rsidRDefault="00EC608E" w:rsidP="003B78E1">
                            <w:pPr>
                              <w:pStyle w:val="Textkrper-Einzug2"/>
                              <w:spacing w:after="0" w:line="276" w:lineRule="auto"/>
                              <w:ind w:left="0"/>
                              <w:jc w:val="left"/>
                              <w:rPr>
                                <w:rFonts w:ascii="Calibri" w:hAnsi="Calibri" w:cs="Calibri"/>
                                <w:szCs w:val="22"/>
                                <w:lang w:val="en-US"/>
                              </w:rPr>
                            </w:pPr>
                          </w:p>
                          <w:p w14:paraId="092240C9" w14:textId="77777777" w:rsidR="00EC608E" w:rsidRDefault="00EC608E" w:rsidP="003B78E1">
                            <w:pPr>
                              <w:pStyle w:val="Textkrper-Einzug2"/>
                              <w:spacing w:after="0" w:line="276" w:lineRule="auto"/>
                              <w:ind w:left="0"/>
                              <w:jc w:val="left"/>
                              <w:rPr>
                                <w:rFonts w:ascii="Calibri" w:hAnsi="Calibri" w:cs="Calibri"/>
                                <w:szCs w:val="22"/>
                                <w:lang w:val="en-US"/>
                              </w:rPr>
                            </w:pPr>
                          </w:p>
                          <w:p w14:paraId="021C1858" w14:textId="77777777" w:rsidR="00EC608E" w:rsidRDefault="00EC608E" w:rsidP="003B78E1">
                            <w:pPr>
                              <w:pStyle w:val="Textkrper-Einzug2"/>
                              <w:spacing w:after="0" w:line="276" w:lineRule="auto"/>
                              <w:ind w:left="0"/>
                              <w:jc w:val="left"/>
                              <w:rPr>
                                <w:rFonts w:ascii="Calibri" w:hAnsi="Calibri" w:cs="Calibri"/>
                                <w:szCs w:val="22"/>
                                <w:lang w:val="en-US"/>
                              </w:rPr>
                            </w:pPr>
                          </w:p>
                          <w:p w14:paraId="0ADE99BA"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18BC1911"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031A56E5" w14:textId="77777777" w:rsidR="00EC608E" w:rsidRDefault="00EC608E" w:rsidP="003B78E1">
                            <w:pPr>
                              <w:pStyle w:val="Textkrper-Einzug2"/>
                              <w:numPr>
                                <w:ilvl w:val="0"/>
                                <w:numId w:val="33"/>
                              </w:numPr>
                              <w:spacing w:after="0" w:line="276" w:lineRule="auto"/>
                              <w:jc w:val="left"/>
                              <w:rPr>
                                <w:rFonts w:ascii="Calibri" w:hAnsi="Calibri" w:cs="Calibri"/>
                                <w:szCs w:val="22"/>
                                <w:lang w:val="en-US"/>
                              </w:rPr>
                            </w:pPr>
                            <w:r w:rsidRPr="003B78E1">
                              <w:rPr>
                                <w:rFonts w:ascii="Calibri" w:hAnsi="Calibri" w:cs="Calibri"/>
                                <w:szCs w:val="22"/>
                                <w:lang w:val="en-US"/>
                              </w:rPr>
                              <w:t xml:space="preserve">PDGFRA Mutation Exon 18 &gt; Exon 12 </w:t>
                            </w:r>
                          </w:p>
                          <w:p w14:paraId="24843C7D" w14:textId="77777777" w:rsidR="00EC608E" w:rsidRPr="003B78E1" w:rsidRDefault="00EC608E" w:rsidP="003B78E1">
                            <w:pPr>
                              <w:pStyle w:val="Textkrper-Einzug2"/>
                              <w:spacing w:after="0" w:line="276" w:lineRule="auto"/>
                              <w:ind w:left="720"/>
                              <w:jc w:val="left"/>
                              <w:rPr>
                                <w:rFonts w:ascii="Calibri" w:hAnsi="Calibri" w:cs="Calibri"/>
                                <w:szCs w:val="22"/>
                                <w:lang w:val="en-US"/>
                              </w:rPr>
                            </w:pPr>
                            <w:r>
                              <w:rPr>
                                <w:rFonts w:ascii="Calibri" w:hAnsi="Calibri" w:cs="Calibri"/>
                                <w:szCs w:val="22"/>
                                <w:lang w:val="en-US"/>
                              </w:rPr>
                              <w:t>(Panel B)</w:t>
                            </w:r>
                          </w:p>
                          <w:p w14:paraId="00114678"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31C91B29"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0B23C083" w14:textId="77777777" w:rsidR="00EC608E" w:rsidRDefault="00EC608E" w:rsidP="003B78E1">
                            <w:pPr>
                              <w:pStyle w:val="Textkrper-Einzug2"/>
                              <w:spacing w:after="0" w:line="276" w:lineRule="auto"/>
                              <w:ind w:left="0"/>
                              <w:jc w:val="left"/>
                              <w:rPr>
                                <w:rFonts w:ascii="Calibri" w:hAnsi="Calibri" w:cs="Calibri"/>
                                <w:szCs w:val="22"/>
                                <w:lang w:val="en-US"/>
                              </w:rPr>
                            </w:pPr>
                          </w:p>
                          <w:p w14:paraId="759D2B6E" w14:textId="77777777" w:rsidR="00EC608E" w:rsidRDefault="00EC608E" w:rsidP="003B78E1">
                            <w:pPr>
                              <w:pStyle w:val="Textkrper-Einzug2"/>
                              <w:spacing w:after="0" w:line="276" w:lineRule="auto"/>
                              <w:ind w:left="0"/>
                              <w:jc w:val="left"/>
                              <w:rPr>
                                <w:rFonts w:ascii="Calibri" w:hAnsi="Calibri" w:cs="Calibri"/>
                                <w:szCs w:val="22"/>
                                <w:lang w:val="en-US"/>
                              </w:rPr>
                            </w:pPr>
                          </w:p>
                          <w:p w14:paraId="2998083F" w14:textId="77777777" w:rsidR="00EC608E" w:rsidRDefault="00EC608E" w:rsidP="003B78E1">
                            <w:pPr>
                              <w:pStyle w:val="Textkrper-Einzug2"/>
                              <w:spacing w:after="0" w:line="276" w:lineRule="auto"/>
                              <w:ind w:left="0"/>
                              <w:jc w:val="left"/>
                              <w:rPr>
                                <w:rFonts w:ascii="Calibri" w:hAnsi="Calibri" w:cs="Calibri"/>
                                <w:szCs w:val="22"/>
                                <w:lang w:val="en-US"/>
                              </w:rPr>
                            </w:pPr>
                          </w:p>
                          <w:p w14:paraId="48811CB2"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1C36C144"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7BA1170E" w14:textId="77777777" w:rsidR="00EC608E" w:rsidRDefault="00EC608E" w:rsidP="003B78E1">
                            <w:pPr>
                              <w:pStyle w:val="Textkrper-Einzug2"/>
                              <w:numPr>
                                <w:ilvl w:val="0"/>
                                <w:numId w:val="33"/>
                              </w:numPr>
                              <w:spacing w:after="0" w:line="276" w:lineRule="auto"/>
                              <w:jc w:val="left"/>
                              <w:rPr>
                                <w:rFonts w:ascii="Calibri" w:hAnsi="Calibri" w:cs="Calibri"/>
                                <w:szCs w:val="22"/>
                                <w:lang w:val="en-US"/>
                              </w:rPr>
                            </w:pPr>
                            <w:r w:rsidRPr="003B78E1">
                              <w:rPr>
                                <w:rFonts w:ascii="Calibri" w:hAnsi="Calibri" w:cs="Calibri"/>
                                <w:szCs w:val="22"/>
                                <w:lang w:val="en-US"/>
                              </w:rPr>
                              <w:t xml:space="preserve">KIT Mutation Exon 17 &gt; Exon 13 &gt; Exon 11 &gt; Exon 9 </w:t>
                            </w:r>
                          </w:p>
                          <w:p w14:paraId="6DFE6D9E" w14:textId="77777777" w:rsidR="00EC608E" w:rsidRPr="003B78E1" w:rsidRDefault="00EC608E" w:rsidP="003B78E1">
                            <w:pPr>
                              <w:pStyle w:val="Textkrper-Einzug2"/>
                              <w:spacing w:after="0" w:line="276" w:lineRule="auto"/>
                              <w:ind w:left="720"/>
                              <w:jc w:val="left"/>
                              <w:rPr>
                                <w:rFonts w:ascii="Calibri" w:hAnsi="Calibri" w:cs="Calibri"/>
                                <w:szCs w:val="22"/>
                                <w:lang w:val="en-US"/>
                              </w:rPr>
                            </w:pPr>
                            <w:r w:rsidRPr="003B78E1">
                              <w:rPr>
                                <w:rFonts w:ascii="Calibri" w:hAnsi="Calibri" w:cs="Calibri"/>
                                <w:szCs w:val="22"/>
                                <w:lang w:val="en-US"/>
                              </w:rPr>
                              <w:t>(Panel C)</w:t>
                            </w:r>
                          </w:p>
                          <w:p w14:paraId="54C03837" w14:textId="77777777" w:rsidR="00EC608E" w:rsidRPr="003B78E1" w:rsidRDefault="00EC608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6C938" id="Textfeld 58" o:spid="_x0000_s1031" type="#_x0000_t202" style="position:absolute;left:0;text-align:left;margin-left:234.1pt;margin-top:13.65pt;width:218pt;height:4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" fillcolor="white [3201]" stroked="f" strokeweight=".5pt">
                <v:textbox>
                  <w:txbxContent>
                    <w:p w14:paraId="03E4A1C4" w14:textId="77777777" w:rsidR="00EC608E" w:rsidRPr="003B78E1" w:rsidRDefault="00EC608E" w:rsidP="003B78E1">
                      <w:pPr>
                        <w:pStyle w:val="Textkrper-Einzug2"/>
                        <w:numPr>
                          <w:ilvl w:val="0"/>
                          <w:numId w:val="33"/>
                        </w:numPr>
                        <w:spacing w:after="0" w:line="276" w:lineRule="auto"/>
                        <w:jc w:val="left"/>
                        <w:rPr>
                          <w:rFonts w:ascii="Calibri" w:hAnsi="Calibri" w:cs="Calibri"/>
                          <w:szCs w:val="22"/>
                          <w:lang w:val="en-US"/>
                        </w:rPr>
                      </w:pPr>
                      <w:r w:rsidRPr="003B78E1">
                        <w:rPr>
                          <w:rFonts w:ascii="Calibri" w:hAnsi="Calibri" w:cs="Calibri"/>
                          <w:szCs w:val="22"/>
                          <w:lang w:val="en-US"/>
                        </w:rPr>
                        <w:t>PDGFRA Mutation &gt; WT &gt; KIT Mutation (Panel A)</w:t>
                      </w:r>
                    </w:p>
                    <w:p w14:paraId="751E9825" w14:textId="77777777" w:rsidR="00EC608E" w:rsidRPr="003B78E1" w:rsidRDefault="00EC608E" w:rsidP="003B78E1">
                      <w:pPr>
                        <w:pStyle w:val="Textkrper-Einzug2"/>
                        <w:spacing w:after="0" w:line="276" w:lineRule="auto"/>
                        <w:ind w:left="0"/>
                        <w:jc w:val="left"/>
                        <w:rPr>
                          <w:rFonts w:ascii="Calibri" w:hAnsi="Calibri" w:cs="Calibri"/>
                          <w:szCs w:val="22"/>
                          <w:lang w:val="en-US"/>
                        </w:rPr>
                      </w:pPr>
                      <w:r w:rsidRPr="003B78E1">
                        <w:rPr>
                          <w:rFonts w:ascii="Calibri" w:hAnsi="Calibri" w:cs="Calibri"/>
                          <w:szCs w:val="22"/>
                          <w:lang w:val="en-US"/>
                        </w:rPr>
                        <w:tab/>
                      </w:r>
                    </w:p>
                    <w:p w14:paraId="31BFA945"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20CD9037" w14:textId="77777777" w:rsidR="00EC608E" w:rsidRDefault="00EC608E" w:rsidP="003B78E1">
                      <w:pPr>
                        <w:pStyle w:val="Textkrper-Einzug2"/>
                        <w:spacing w:after="0" w:line="276" w:lineRule="auto"/>
                        <w:ind w:left="0"/>
                        <w:jc w:val="left"/>
                        <w:rPr>
                          <w:rFonts w:ascii="Calibri" w:hAnsi="Calibri" w:cs="Calibri"/>
                          <w:szCs w:val="22"/>
                          <w:lang w:val="en-US"/>
                        </w:rPr>
                      </w:pPr>
                    </w:p>
                    <w:p w14:paraId="092240C9" w14:textId="77777777" w:rsidR="00EC608E" w:rsidRDefault="00EC608E" w:rsidP="003B78E1">
                      <w:pPr>
                        <w:pStyle w:val="Textkrper-Einzug2"/>
                        <w:spacing w:after="0" w:line="276" w:lineRule="auto"/>
                        <w:ind w:left="0"/>
                        <w:jc w:val="left"/>
                        <w:rPr>
                          <w:rFonts w:ascii="Calibri" w:hAnsi="Calibri" w:cs="Calibri"/>
                          <w:szCs w:val="22"/>
                          <w:lang w:val="en-US"/>
                        </w:rPr>
                      </w:pPr>
                    </w:p>
                    <w:p w14:paraId="021C1858" w14:textId="77777777" w:rsidR="00EC608E" w:rsidRDefault="00EC608E" w:rsidP="003B78E1">
                      <w:pPr>
                        <w:pStyle w:val="Textkrper-Einzug2"/>
                        <w:spacing w:after="0" w:line="276" w:lineRule="auto"/>
                        <w:ind w:left="0"/>
                        <w:jc w:val="left"/>
                        <w:rPr>
                          <w:rFonts w:ascii="Calibri" w:hAnsi="Calibri" w:cs="Calibri"/>
                          <w:szCs w:val="22"/>
                          <w:lang w:val="en-US"/>
                        </w:rPr>
                      </w:pPr>
                    </w:p>
                    <w:p w14:paraId="0ADE99BA"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18BC1911"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031A56E5" w14:textId="77777777" w:rsidR="00EC608E" w:rsidRDefault="00EC608E" w:rsidP="003B78E1">
                      <w:pPr>
                        <w:pStyle w:val="Textkrper-Einzug2"/>
                        <w:numPr>
                          <w:ilvl w:val="0"/>
                          <w:numId w:val="33"/>
                        </w:numPr>
                        <w:spacing w:after="0" w:line="276" w:lineRule="auto"/>
                        <w:jc w:val="left"/>
                        <w:rPr>
                          <w:rFonts w:ascii="Calibri" w:hAnsi="Calibri" w:cs="Calibri"/>
                          <w:szCs w:val="22"/>
                          <w:lang w:val="en-US"/>
                        </w:rPr>
                      </w:pPr>
                      <w:r w:rsidRPr="003B78E1">
                        <w:rPr>
                          <w:rFonts w:ascii="Calibri" w:hAnsi="Calibri" w:cs="Calibri"/>
                          <w:szCs w:val="22"/>
                          <w:lang w:val="en-US"/>
                        </w:rPr>
                        <w:t xml:space="preserve">PDGFRA Mutation Exon 18 &gt; Exon 12 </w:t>
                      </w:r>
                    </w:p>
                    <w:p w14:paraId="24843C7D" w14:textId="77777777" w:rsidR="00EC608E" w:rsidRPr="003B78E1" w:rsidRDefault="00EC608E" w:rsidP="003B78E1">
                      <w:pPr>
                        <w:pStyle w:val="Textkrper-Einzug2"/>
                        <w:spacing w:after="0" w:line="276" w:lineRule="auto"/>
                        <w:ind w:left="720"/>
                        <w:jc w:val="left"/>
                        <w:rPr>
                          <w:rFonts w:ascii="Calibri" w:hAnsi="Calibri" w:cs="Calibri"/>
                          <w:szCs w:val="22"/>
                          <w:lang w:val="en-US"/>
                        </w:rPr>
                      </w:pPr>
                      <w:r>
                        <w:rPr>
                          <w:rFonts w:ascii="Calibri" w:hAnsi="Calibri" w:cs="Calibri"/>
                          <w:szCs w:val="22"/>
                          <w:lang w:val="en-US"/>
                        </w:rPr>
                        <w:t>(Panel B)</w:t>
                      </w:r>
                    </w:p>
                    <w:p w14:paraId="00114678"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31C91B29"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0B23C083" w14:textId="77777777" w:rsidR="00EC608E" w:rsidRDefault="00EC608E" w:rsidP="003B78E1">
                      <w:pPr>
                        <w:pStyle w:val="Textkrper-Einzug2"/>
                        <w:spacing w:after="0" w:line="276" w:lineRule="auto"/>
                        <w:ind w:left="0"/>
                        <w:jc w:val="left"/>
                        <w:rPr>
                          <w:rFonts w:ascii="Calibri" w:hAnsi="Calibri" w:cs="Calibri"/>
                          <w:szCs w:val="22"/>
                          <w:lang w:val="en-US"/>
                        </w:rPr>
                      </w:pPr>
                    </w:p>
                    <w:p w14:paraId="759D2B6E" w14:textId="77777777" w:rsidR="00EC608E" w:rsidRDefault="00EC608E" w:rsidP="003B78E1">
                      <w:pPr>
                        <w:pStyle w:val="Textkrper-Einzug2"/>
                        <w:spacing w:after="0" w:line="276" w:lineRule="auto"/>
                        <w:ind w:left="0"/>
                        <w:jc w:val="left"/>
                        <w:rPr>
                          <w:rFonts w:ascii="Calibri" w:hAnsi="Calibri" w:cs="Calibri"/>
                          <w:szCs w:val="22"/>
                          <w:lang w:val="en-US"/>
                        </w:rPr>
                      </w:pPr>
                    </w:p>
                    <w:p w14:paraId="2998083F" w14:textId="77777777" w:rsidR="00EC608E" w:rsidRDefault="00EC608E" w:rsidP="003B78E1">
                      <w:pPr>
                        <w:pStyle w:val="Textkrper-Einzug2"/>
                        <w:spacing w:after="0" w:line="276" w:lineRule="auto"/>
                        <w:ind w:left="0"/>
                        <w:jc w:val="left"/>
                        <w:rPr>
                          <w:rFonts w:ascii="Calibri" w:hAnsi="Calibri" w:cs="Calibri"/>
                          <w:szCs w:val="22"/>
                          <w:lang w:val="en-US"/>
                        </w:rPr>
                      </w:pPr>
                    </w:p>
                    <w:p w14:paraId="48811CB2"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1C36C144" w14:textId="77777777" w:rsidR="00EC608E" w:rsidRPr="003B78E1" w:rsidRDefault="00EC608E" w:rsidP="003B78E1">
                      <w:pPr>
                        <w:pStyle w:val="Textkrper-Einzug2"/>
                        <w:spacing w:after="0" w:line="276" w:lineRule="auto"/>
                        <w:ind w:left="0"/>
                        <w:jc w:val="left"/>
                        <w:rPr>
                          <w:rFonts w:ascii="Calibri" w:hAnsi="Calibri" w:cs="Calibri"/>
                          <w:szCs w:val="22"/>
                          <w:lang w:val="en-US"/>
                        </w:rPr>
                      </w:pPr>
                    </w:p>
                    <w:p w14:paraId="7BA1170E" w14:textId="77777777" w:rsidR="00EC608E" w:rsidRDefault="00EC608E" w:rsidP="003B78E1">
                      <w:pPr>
                        <w:pStyle w:val="Textkrper-Einzug2"/>
                        <w:numPr>
                          <w:ilvl w:val="0"/>
                          <w:numId w:val="33"/>
                        </w:numPr>
                        <w:spacing w:after="0" w:line="276" w:lineRule="auto"/>
                        <w:jc w:val="left"/>
                        <w:rPr>
                          <w:rFonts w:ascii="Calibri" w:hAnsi="Calibri" w:cs="Calibri"/>
                          <w:szCs w:val="22"/>
                          <w:lang w:val="en-US"/>
                        </w:rPr>
                      </w:pPr>
                      <w:r w:rsidRPr="003B78E1">
                        <w:rPr>
                          <w:rFonts w:ascii="Calibri" w:hAnsi="Calibri" w:cs="Calibri"/>
                          <w:szCs w:val="22"/>
                          <w:lang w:val="en-US"/>
                        </w:rPr>
                        <w:t xml:space="preserve">KIT Mutation Exon 17 &gt; Exon 13 &gt; Exon 11 &gt; Exon 9 </w:t>
                      </w:r>
                    </w:p>
                    <w:p w14:paraId="6DFE6D9E" w14:textId="77777777" w:rsidR="00EC608E" w:rsidRPr="003B78E1" w:rsidRDefault="00EC608E" w:rsidP="003B78E1">
                      <w:pPr>
                        <w:pStyle w:val="Textkrper-Einzug2"/>
                        <w:spacing w:after="0" w:line="276" w:lineRule="auto"/>
                        <w:ind w:left="720"/>
                        <w:jc w:val="left"/>
                        <w:rPr>
                          <w:rFonts w:ascii="Calibri" w:hAnsi="Calibri" w:cs="Calibri"/>
                          <w:szCs w:val="22"/>
                          <w:lang w:val="en-US"/>
                        </w:rPr>
                      </w:pPr>
                      <w:r w:rsidRPr="003B78E1">
                        <w:rPr>
                          <w:rFonts w:ascii="Calibri" w:hAnsi="Calibri" w:cs="Calibri"/>
                          <w:szCs w:val="22"/>
                          <w:lang w:val="en-US"/>
                        </w:rPr>
                        <w:t>(Panel C)</w:t>
                      </w:r>
                    </w:p>
                    <w:p w14:paraId="54C03837" w14:textId="77777777" w:rsidR="00EC608E" w:rsidRPr="003B78E1" w:rsidRDefault="00EC608E">
                      <w:pPr>
                        <w:rPr>
                          <w:lang w:val="en-US"/>
                        </w:rPr>
                      </w:pPr>
                    </w:p>
                  </w:txbxContent>
                </v:textbox>
              </v:shape>
            </w:pict>
          </mc:Fallback>
        </mc:AlternateContent>
      </w:r>
      <w:r>
        <w:rPr>
          <w:rFonts w:ascii="Calibri" w:hAnsi="Calibri" w:cs="Calibri"/>
          <w:noProof/>
          <w:szCs w:val="22"/>
          <w:lang w:eastAsia="de-AT"/>
        </w:rPr>
        <w:drawing>
          <wp:inline distT="0" distB="0" distL="0" distR="0" wp14:anchorId="41A7262F" wp14:editId="4470AE6C">
            <wp:extent cx="2616200" cy="59309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6200" cy="5930900"/>
                    </a:xfrm>
                    <a:prstGeom prst="rect">
                      <a:avLst/>
                    </a:prstGeom>
                    <a:noFill/>
                    <a:ln>
                      <a:noFill/>
                    </a:ln>
                  </pic:spPr>
                </pic:pic>
              </a:graphicData>
            </a:graphic>
          </wp:inline>
        </w:drawing>
      </w:r>
    </w:p>
    <w:p w14:paraId="6D396C85" w14:textId="77777777" w:rsidR="003B78E1" w:rsidRPr="003B78E1" w:rsidRDefault="003B78E1" w:rsidP="003B78E1">
      <w:pPr>
        <w:pStyle w:val="Textkrper-Einzug2"/>
        <w:spacing w:after="0" w:line="276" w:lineRule="auto"/>
        <w:ind w:left="0"/>
        <w:jc w:val="both"/>
        <w:rPr>
          <w:rFonts w:ascii="Calibri" w:hAnsi="Calibri" w:cs="Calibri"/>
          <w:szCs w:val="22"/>
        </w:rPr>
      </w:pPr>
      <w:r w:rsidRPr="003B78E1">
        <w:rPr>
          <w:rFonts w:ascii="Calibri" w:hAnsi="Calibri" w:cs="Calibri"/>
          <w:szCs w:val="22"/>
        </w:rPr>
        <w:tab/>
      </w:r>
    </w:p>
    <w:p w14:paraId="4F0522A7" w14:textId="77777777" w:rsidR="003B78E1" w:rsidRPr="003B78E1" w:rsidRDefault="003B78E1" w:rsidP="003B78E1">
      <w:pPr>
        <w:pStyle w:val="Textkrper-Einzug2"/>
        <w:spacing w:after="0" w:line="276" w:lineRule="auto"/>
        <w:ind w:left="0"/>
        <w:jc w:val="both"/>
        <w:rPr>
          <w:rFonts w:ascii="Calibri" w:hAnsi="Calibri" w:cs="Calibri"/>
          <w:szCs w:val="22"/>
        </w:rPr>
      </w:pPr>
      <w:r w:rsidRPr="003B78E1">
        <w:rPr>
          <w:rFonts w:ascii="Calibri" w:hAnsi="Calibri" w:cs="Calibri"/>
          <w:szCs w:val="22"/>
        </w:rPr>
        <w:tab/>
      </w:r>
    </w:p>
    <w:p w14:paraId="130F2FB8" w14:textId="77777777" w:rsidR="003B78E1" w:rsidRPr="003B78E1" w:rsidRDefault="003B78E1" w:rsidP="003B78E1">
      <w:pPr>
        <w:pStyle w:val="Textkrper-Einzug2"/>
        <w:spacing w:after="0" w:line="276" w:lineRule="auto"/>
        <w:ind w:left="0"/>
        <w:jc w:val="both"/>
        <w:rPr>
          <w:rFonts w:ascii="Calibri" w:hAnsi="Calibri" w:cs="Calibri"/>
          <w:szCs w:val="22"/>
        </w:rPr>
      </w:pPr>
    </w:p>
    <w:p w14:paraId="48A67185" w14:textId="77777777" w:rsidR="003B78E1" w:rsidRDefault="003B78E1" w:rsidP="003B78E1">
      <w:pPr>
        <w:pStyle w:val="Textkrper-Einzug2"/>
        <w:spacing w:after="0" w:line="276" w:lineRule="auto"/>
        <w:ind w:left="0"/>
        <w:jc w:val="both"/>
        <w:rPr>
          <w:rFonts w:ascii="Calibri" w:hAnsi="Calibri" w:cs="Calibri"/>
          <w:szCs w:val="22"/>
        </w:rPr>
      </w:pPr>
    </w:p>
    <w:p w14:paraId="345DE6B1" w14:textId="77777777" w:rsidR="00BD0AEF" w:rsidRPr="003B78E1" w:rsidRDefault="00BD0AEF" w:rsidP="003B78E1">
      <w:pPr>
        <w:pStyle w:val="Textkrper-Einzug2"/>
        <w:spacing w:after="0" w:line="276" w:lineRule="auto"/>
        <w:ind w:left="0"/>
        <w:jc w:val="both"/>
        <w:rPr>
          <w:rFonts w:ascii="Calibri" w:hAnsi="Calibri" w:cs="Calibri"/>
          <w:szCs w:val="22"/>
        </w:rPr>
      </w:pPr>
    </w:p>
    <w:p w14:paraId="1167D2F2" w14:textId="77777777" w:rsidR="003B78E1" w:rsidRPr="003B78E1" w:rsidRDefault="003B78E1" w:rsidP="003B78E1">
      <w:pPr>
        <w:pStyle w:val="Textkrper-Einzug2"/>
        <w:spacing w:after="0" w:line="276" w:lineRule="auto"/>
        <w:ind w:left="0"/>
        <w:jc w:val="both"/>
        <w:rPr>
          <w:rFonts w:ascii="Calibri" w:hAnsi="Calibri" w:cs="Calibri"/>
          <w:szCs w:val="22"/>
        </w:rPr>
      </w:pPr>
    </w:p>
    <w:p w14:paraId="57143BB2" w14:textId="77777777" w:rsidR="003B78E1" w:rsidRPr="003B78E1" w:rsidRDefault="003B78E1" w:rsidP="003B78E1">
      <w:pPr>
        <w:pStyle w:val="Textkrper-Einzug2"/>
        <w:spacing w:after="0" w:line="276" w:lineRule="auto"/>
        <w:ind w:left="0"/>
        <w:jc w:val="both"/>
        <w:rPr>
          <w:rFonts w:ascii="Calibri" w:hAnsi="Calibri" w:cs="Calibri"/>
          <w:szCs w:val="22"/>
        </w:rPr>
      </w:pPr>
    </w:p>
    <w:p w14:paraId="3E42F4D4" w14:textId="77777777" w:rsidR="003B78E1" w:rsidRDefault="003B78E1" w:rsidP="003B78E1">
      <w:pPr>
        <w:pStyle w:val="Textkrper-Einzug2"/>
        <w:spacing w:after="0" w:line="276" w:lineRule="auto"/>
        <w:ind w:left="0"/>
        <w:jc w:val="both"/>
        <w:rPr>
          <w:rFonts w:ascii="Calibri" w:hAnsi="Calibri" w:cs="Calibri"/>
          <w:b/>
          <w:szCs w:val="22"/>
        </w:rPr>
      </w:pPr>
      <w:r>
        <w:rPr>
          <w:rFonts w:ascii="Calibri" w:hAnsi="Calibri" w:cs="Calibri"/>
          <w:b/>
          <w:szCs w:val="22"/>
        </w:rPr>
        <w:lastRenderedPageBreak/>
        <w:t xml:space="preserve"> </w:t>
      </w:r>
      <w:r w:rsidRPr="003B78E1">
        <w:rPr>
          <w:rFonts w:ascii="Calibri" w:hAnsi="Calibri" w:cs="Calibri"/>
          <w:b/>
          <w:szCs w:val="22"/>
        </w:rPr>
        <w:t>Abbildung A2</w:t>
      </w:r>
    </w:p>
    <w:p w14:paraId="29B748B3" w14:textId="77777777" w:rsidR="003B78E1" w:rsidRPr="003B78E1" w:rsidRDefault="003B78E1" w:rsidP="003B78E1">
      <w:pPr>
        <w:pStyle w:val="Textkrper-Einzug2"/>
        <w:spacing w:after="0" w:line="276" w:lineRule="auto"/>
        <w:ind w:left="0"/>
        <w:jc w:val="both"/>
        <w:rPr>
          <w:rFonts w:ascii="Calibri" w:hAnsi="Calibri" w:cs="Calibri"/>
          <w:b/>
          <w:szCs w:val="22"/>
        </w:rPr>
      </w:pPr>
    </w:p>
    <w:p w14:paraId="776CD324" w14:textId="77777777" w:rsidR="003B78E1" w:rsidRDefault="003B78E1" w:rsidP="003B78E1">
      <w:pPr>
        <w:pStyle w:val="Textkrper-Einzug2"/>
        <w:numPr>
          <w:ilvl w:val="0"/>
          <w:numId w:val="34"/>
        </w:numPr>
        <w:spacing w:after="0" w:line="276" w:lineRule="auto"/>
        <w:jc w:val="left"/>
        <w:rPr>
          <w:rFonts w:ascii="Calibri" w:hAnsi="Calibri" w:cs="Calibri"/>
          <w:szCs w:val="22"/>
          <w:lang w:val="en-US"/>
        </w:rPr>
      </w:pPr>
      <w:r w:rsidRPr="003B78E1">
        <w:rPr>
          <w:rFonts w:ascii="Calibri" w:hAnsi="Calibri" w:cs="Calibri"/>
          <w:szCs w:val="22"/>
          <w:lang w:val="en-US"/>
        </w:rPr>
        <w:t xml:space="preserve">KIT Exon 11:  Duplikation &gt; Substitution &gt; Deletion &gt; Insertion-Deletion </w:t>
      </w:r>
    </w:p>
    <w:p w14:paraId="24ECFD4C" w14:textId="77777777" w:rsidR="003B78E1" w:rsidRPr="003B78E1" w:rsidRDefault="003B78E1" w:rsidP="003B78E1">
      <w:pPr>
        <w:pStyle w:val="Textkrper-Einzug2"/>
        <w:spacing w:after="0" w:line="276" w:lineRule="auto"/>
        <w:ind w:left="720"/>
        <w:jc w:val="left"/>
        <w:rPr>
          <w:rFonts w:ascii="Calibri" w:hAnsi="Calibri" w:cs="Calibri"/>
          <w:szCs w:val="22"/>
          <w:lang w:val="en-US"/>
        </w:rPr>
      </w:pPr>
      <w:r w:rsidRPr="003B78E1">
        <w:rPr>
          <w:rFonts w:ascii="Calibri" w:hAnsi="Calibri" w:cs="Calibri"/>
          <w:szCs w:val="22"/>
          <w:lang w:val="en-US"/>
        </w:rPr>
        <w:t>(Panel A)</w:t>
      </w:r>
    </w:p>
    <w:p w14:paraId="32BE11C5" w14:textId="77777777" w:rsidR="003B78E1" w:rsidRDefault="003B78E1" w:rsidP="003B78E1">
      <w:pPr>
        <w:pStyle w:val="Textkrper-Einzug2"/>
        <w:numPr>
          <w:ilvl w:val="0"/>
          <w:numId w:val="34"/>
        </w:numPr>
        <w:spacing w:after="0" w:line="276" w:lineRule="auto"/>
        <w:jc w:val="left"/>
        <w:rPr>
          <w:rFonts w:ascii="Calibri" w:hAnsi="Calibri" w:cs="Calibri"/>
          <w:szCs w:val="22"/>
        </w:rPr>
      </w:pPr>
      <w:r w:rsidRPr="003B78E1">
        <w:rPr>
          <w:rFonts w:ascii="Calibri" w:hAnsi="Calibri" w:cs="Calibri"/>
          <w:szCs w:val="22"/>
        </w:rPr>
        <w:t>KIT Exon 11 Deletionen:    1 codon &gt; 2 codons &gt; mehr als 2 codons &gt; Insertion-Deletion</w:t>
      </w:r>
    </w:p>
    <w:p w14:paraId="40BC7F25" w14:textId="77777777" w:rsidR="003B78E1" w:rsidRPr="003B78E1" w:rsidRDefault="003B78E1" w:rsidP="003B78E1">
      <w:pPr>
        <w:pStyle w:val="Textkrper-Einzug2"/>
        <w:spacing w:after="0" w:line="276" w:lineRule="auto"/>
        <w:ind w:left="720"/>
        <w:jc w:val="left"/>
        <w:rPr>
          <w:rFonts w:ascii="Calibri" w:hAnsi="Calibri" w:cs="Calibri"/>
          <w:szCs w:val="22"/>
        </w:rPr>
      </w:pPr>
      <w:r w:rsidRPr="003B78E1">
        <w:rPr>
          <w:rFonts w:ascii="Calibri" w:hAnsi="Calibri" w:cs="Calibri"/>
          <w:szCs w:val="22"/>
        </w:rPr>
        <w:t>(Panel B)</w:t>
      </w:r>
    </w:p>
    <w:p w14:paraId="1A667A59" w14:textId="77777777" w:rsidR="003B78E1" w:rsidRDefault="003B78E1" w:rsidP="003B78E1">
      <w:pPr>
        <w:pStyle w:val="Textkrper-Einzug2"/>
        <w:numPr>
          <w:ilvl w:val="0"/>
          <w:numId w:val="34"/>
        </w:numPr>
        <w:spacing w:after="0" w:line="276" w:lineRule="auto"/>
        <w:jc w:val="left"/>
        <w:rPr>
          <w:rFonts w:ascii="Calibri" w:hAnsi="Calibri" w:cs="Calibri"/>
          <w:szCs w:val="22"/>
        </w:rPr>
      </w:pPr>
      <w:r w:rsidRPr="003B78E1">
        <w:rPr>
          <w:rFonts w:ascii="Calibri" w:hAnsi="Calibri" w:cs="Calibri"/>
          <w:szCs w:val="22"/>
        </w:rPr>
        <w:t>KIT Exon 11: codon 557</w:t>
      </w:r>
      <w:r>
        <w:rPr>
          <w:rFonts w:ascii="Calibri" w:hAnsi="Calibri" w:cs="Calibri"/>
          <w:szCs w:val="22"/>
        </w:rPr>
        <w:t xml:space="preserve"> und/oder 558 nicht betroffen &gt; </w:t>
      </w:r>
      <w:r w:rsidRPr="003B78E1">
        <w:rPr>
          <w:rFonts w:ascii="Calibri" w:hAnsi="Calibri" w:cs="Calibri"/>
          <w:szCs w:val="22"/>
        </w:rPr>
        <w:t>betroffen</w:t>
      </w:r>
    </w:p>
    <w:p w14:paraId="68705BE1" w14:textId="77777777" w:rsidR="003B78E1" w:rsidRPr="003B78E1" w:rsidRDefault="003B78E1" w:rsidP="003B78E1">
      <w:pPr>
        <w:pStyle w:val="Textkrper-Einzug2"/>
        <w:spacing w:after="0" w:line="276" w:lineRule="auto"/>
        <w:ind w:left="720"/>
        <w:jc w:val="left"/>
        <w:rPr>
          <w:rFonts w:ascii="Calibri" w:hAnsi="Calibri" w:cs="Calibri"/>
          <w:szCs w:val="22"/>
        </w:rPr>
      </w:pPr>
      <w:r>
        <w:rPr>
          <w:rFonts w:ascii="Calibri" w:hAnsi="Calibri" w:cs="Calibri"/>
          <w:szCs w:val="22"/>
        </w:rPr>
        <w:t>(</w:t>
      </w:r>
      <w:r w:rsidRPr="003B78E1">
        <w:rPr>
          <w:rFonts w:ascii="Calibri" w:hAnsi="Calibri" w:cs="Calibri"/>
          <w:szCs w:val="22"/>
        </w:rPr>
        <w:t>Panel C)</w:t>
      </w:r>
    </w:p>
    <w:p w14:paraId="3981C5BE" w14:textId="77777777" w:rsidR="003B78E1" w:rsidRPr="003B78E1" w:rsidRDefault="003B78E1" w:rsidP="003B78E1">
      <w:pPr>
        <w:pStyle w:val="Textkrper-Einzug2"/>
        <w:numPr>
          <w:ilvl w:val="0"/>
          <w:numId w:val="34"/>
        </w:numPr>
        <w:spacing w:after="0" w:line="276" w:lineRule="auto"/>
        <w:jc w:val="left"/>
        <w:rPr>
          <w:rFonts w:ascii="Calibri" w:hAnsi="Calibri" w:cs="Calibri"/>
          <w:szCs w:val="22"/>
        </w:rPr>
      </w:pPr>
      <w:r w:rsidRPr="003B78E1">
        <w:rPr>
          <w:rFonts w:ascii="Calibri" w:hAnsi="Calibri" w:cs="Calibri"/>
          <w:szCs w:val="22"/>
        </w:rPr>
        <w:t xml:space="preserve">die 3 häufigsten KIT Mutationen:   </w:t>
      </w:r>
    </w:p>
    <w:p w14:paraId="428BDF4B" w14:textId="77777777" w:rsidR="003B78E1" w:rsidRDefault="003B78E1" w:rsidP="003B78E1">
      <w:pPr>
        <w:pStyle w:val="Textkrper-Einzug2"/>
        <w:spacing w:after="0" w:line="276" w:lineRule="auto"/>
        <w:ind w:left="720"/>
        <w:jc w:val="left"/>
        <w:rPr>
          <w:rFonts w:ascii="Calibri" w:hAnsi="Calibri" w:cs="Calibri"/>
          <w:szCs w:val="22"/>
          <w:lang w:val="en-US"/>
        </w:rPr>
      </w:pPr>
      <w:r w:rsidRPr="003B78E1">
        <w:rPr>
          <w:rFonts w:ascii="Calibri" w:hAnsi="Calibri" w:cs="Calibri"/>
          <w:szCs w:val="22"/>
          <w:lang w:val="en-US"/>
        </w:rPr>
        <w:t xml:space="preserve">p.Val559Asp (exon 11)  =  p.Trp557_Lys558del (exon 11) &gt; p.Ala502_Tyr503dup (exon 9) </w:t>
      </w:r>
    </w:p>
    <w:p w14:paraId="0B020ED9" w14:textId="77777777" w:rsidR="003B78E1" w:rsidRPr="003B78E1" w:rsidRDefault="003B78E1" w:rsidP="003B78E1">
      <w:pPr>
        <w:pStyle w:val="Textkrper-Einzug2"/>
        <w:spacing w:after="0" w:line="276" w:lineRule="auto"/>
        <w:ind w:left="720"/>
        <w:jc w:val="left"/>
        <w:rPr>
          <w:rFonts w:ascii="Calibri" w:hAnsi="Calibri" w:cs="Calibri"/>
          <w:szCs w:val="22"/>
          <w:lang w:val="en-US"/>
        </w:rPr>
      </w:pPr>
      <w:r w:rsidRPr="003B78E1">
        <w:rPr>
          <w:rFonts w:ascii="Calibri" w:hAnsi="Calibri" w:cs="Calibri"/>
          <w:szCs w:val="22"/>
          <w:lang w:val="en-US"/>
        </w:rPr>
        <w:t>(Panel D)</w:t>
      </w:r>
    </w:p>
    <w:p w14:paraId="69006310" w14:textId="77777777" w:rsidR="003B78E1" w:rsidRDefault="003B78E1" w:rsidP="003B78E1">
      <w:pPr>
        <w:pStyle w:val="Textkrper-Einzug2"/>
        <w:numPr>
          <w:ilvl w:val="0"/>
          <w:numId w:val="34"/>
        </w:numPr>
        <w:spacing w:after="0" w:line="276" w:lineRule="auto"/>
        <w:jc w:val="left"/>
        <w:rPr>
          <w:rFonts w:ascii="Calibri" w:hAnsi="Calibri" w:cs="Calibri"/>
          <w:szCs w:val="22"/>
        </w:rPr>
      </w:pPr>
      <w:r w:rsidRPr="003B78E1">
        <w:rPr>
          <w:rFonts w:ascii="Calibri" w:hAnsi="Calibri" w:cs="Calibri"/>
          <w:szCs w:val="22"/>
        </w:rPr>
        <w:t xml:space="preserve">häufige KIT Substitutionen </w:t>
      </w:r>
    </w:p>
    <w:p w14:paraId="4EE53A8C" w14:textId="77777777" w:rsidR="003B78E1" w:rsidRPr="003B78E1" w:rsidRDefault="003B78E1" w:rsidP="003B78E1">
      <w:pPr>
        <w:pStyle w:val="Textkrper-Einzug2"/>
        <w:spacing w:after="0" w:line="276" w:lineRule="auto"/>
        <w:ind w:left="720"/>
        <w:jc w:val="left"/>
        <w:rPr>
          <w:rFonts w:ascii="Calibri" w:hAnsi="Calibri" w:cs="Calibri"/>
          <w:szCs w:val="22"/>
        </w:rPr>
      </w:pPr>
      <w:r w:rsidRPr="003B78E1">
        <w:rPr>
          <w:rFonts w:ascii="Calibri" w:hAnsi="Calibri" w:cs="Calibri"/>
          <w:szCs w:val="22"/>
        </w:rPr>
        <w:t>(Panel E)</w:t>
      </w:r>
    </w:p>
    <w:p w14:paraId="4B03EF9D" w14:textId="77777777" w:rsidR="003B78E1" w:rsidRPr="003B78E1" w:rsidRDefault="003B78E1" w:rsidP="003B78E1">
      <w:pPr>
        <w:pStyle w:val="Textkrper-Einzug2"/>
        <w:numPr>
          <w:ilvl w:val="0"/>
          <w:numId w:val="34"/>
        </w:numPr>
        <w:spacing w:after="0" w:line="276" w:lineRule="auto"/>
        <w:jc w:val="left"/>
        <w:rPr>
          <w:rFonts w:ascii="Calibri" w:hAnsi="Calibri" w:cs="Calibri"/>
          <w:szCs w:val="22"/>
          <w:lang w:val="de-DE"/>
        </w:rPr>
      </w:pPr>
      <w:r w:rsidRPr="003B78E1">
        <w:rPr>
          <w:rFonts w:ascii="Calibri" w:hAnsi="Calibri" w:cs="Calibri"/>
          <w:szCs w:val="22"/>
        </w:rPr>
        <w:t xml:space="preserve">PDGFRA Mutationen:  Substitution bei asp842 = alle anderen </w:t>
      </w:r>
    </w:p>
    <w:p w14:paraId="710C434F" w14:textId="77777777" w:rsidR="003B78E1" w:rsidRDefault="003B78E1" w:rsidP="003B78E1">
      <w:pPr>
        <w:pStyle w:val="Textkrper-Einzug2"/>
        <w:spacing w:after="0" w:line="276" w:lineRule="auto"/>
        <w:ind w:left="720"/>
        <w:jc w:val="left"/>
        <w:rPr>
          <w:rFonts w:ascii="Calibri" w:hAnsi="Calibri" w:cs="Calibri"/>
          <w:szCs w:val="22"/>
        </w:rPr>
      </w:pPr>
      <w:r w:rsidRPr="003B78E1">
        <w:rPr>
          <w:rFonts w:ascii="Calibri" w:hAnsi="Calibri" w:cs="Calibri"/>
          <w:szCs w:val="22"/>
        </w:rPr>
        <w:t xml:space="preserve">(Panel F) </w:t>
      </w:r>
    </w:p>
    <w:p w14:paraId="7E7F0F67" w14:textId="77777777" w:rsidR="003B78E1" w:rsidRPr="003B78E1" w:rsidRDefault="003B78E1" w:rsidP="003B78E1">
      <w:pPr>
        <w:pStyle w:val="Textkrper-Einzug2"/>
        <w:spacing w:after="0" w:line="276" w:lineRule="auto"/>
        <w:ind w:left="720"/>
        <w:jc w:val="left"/>
        <w:rPr>
          <w:rFonts w:ascii="Calibri" w:hAnsi="Calibri" w:cs="Calibri"/>
          <w:szCs w:val="22"/>
          <w:lang w:val="de-DE"/>
        </w:rPr>
      </w:pPr>
      <w:r>
        <w:rPr>
          <w:rFonts w:ascii="Calibri" w:hAnsi="Calibri" w:cs="Calibri"/>
          <w:noProof/>
          <w:szCs w:val="22"/>
          <w:lang w:eastAsia="de-AT"/>
        </w:rPr>
        <w:drawing>
          <wp:inline distT="0" distB="0" distL="0" distR="0" wp14:anchorId="31E02B72" wp14:editId="7FEF6F74">
            <wp:extent cx="5480050" cy="5670550"/>
            <wp:effectExtent l="0" t="0" r="6350" b="635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0050" cy="5670550"/>
                    </a:xfrm>
                    <a:prstGeom prst="rect">
                      <a:avLst/>
                    </a:prstGeom>
                    <a:noFill/>
                    <a:ln>
                      <a:noFill/>
                    </a:ln>
                  </pic:spPr>
                </pic:pic>
              </a:graphicData>
            </a:graphic>
          </wp:inline>
        </w:drawing>
      </w:r>
    </w:p>
    <w:p w14:paraId="6B7EDD39" w14:textId="77777777" w:rsidR="003B78E1" w:rsidRPr="003B78E1" w:rsidRDefault="003B78E1" w:rsidP="003B78E1">
      <w:pPr>
        <w:pStyle w:val="Textkrper-Einzug2"/>
        <w:spacing w:after="0" w:line="276" w:lineRule="auto"/>
        <w:ind w:left="0"/>
        <w:jc w:val="both"/>
        <w:rPr>
          <w:rFonts w:ascii="Calibri" w:hAnsi="Calibri" w:cs="Calibri"/>
          <w:szCs w:val="22"/>
        </w:rPr>
      </w:pPr>
    </w:p>
    <w:p w14:paraId="7CF9C8D1" w14:textId="77777777" w:rsidR="00A6435E" w:rsidRPr="00E344D4" w:rsidRDefault="00A6435E" w:rsidP="007F3064">
      <w:pPr>
        <w:pStyle w:val="berschrift1"/>
      </w:pPr>
      <w:bookmarkStart w:id="33" w:name="_Toc367183622"/>
      <w:bookmarkStart w:id="34" w:name="_Toc367183860"/>
      <w:bookmarkStart w:id="35" w:name="_Toc41307612"/>
      <w:r w:rsidRPr="00E344D4">
        <w:lastRenderedPageBreak/>
        <w:t>Anhang</w:t>
      </w:r>
      <w:r w:rsidR="00B96F18" w:rsidRPr="00E344D4">
        <w:t>:</w:t>
      </w:r>
      <w:r w:rsidRPr="00E344D4">
        <w:t xml:space="preserve"> Studien</w:t>
      </w:r>
      <w:bookmarkEnd w:id="33"/>
      <w:bookmarkEnd w:id="34"/>
      <w:r w:rsidR="003B78E1">
        <w:t>medikation</w:t>
      </w:r>
      <w:bookmarkEnd w:id="35"/>
    </w:p>
    <w:p w14:paraId="1599F689" w14:textId="77777777" w:rsidR="003B78E1" w:rsidRDefault="00DF0655" w:rsidP="003B78E1">
      <w:pPr>
        <w:pStyle w:val="Textkrper-Einzug2"/>
        <w:spacing w:after="0" w:line="240" w:lineRule="auto"/>
        <w:ind w:left="0"/>
        <w:jc w:val="both"/>
        <w:rPr>
          <w:rFonts w:asciiTheme="minorHAnsi" w:hAnsiTheme="minorHAnsi" w:cstheme="minorHAnsi"/>
          <w:b/>
          <w:szCs w:val="22"/>
        </w:rPr>
      </w:pPr>
      <w:r>
        <w:rPr>
          <w:rFonts w:asciiTheme="minorHAnsi" w:hAnsiTheme="minorHAnsi" w:cstheme="minorHAnsi"/>
          <w:b/>
          <w:szCs w:val="22"/>
        </w:rPr>
        <w:t>Liste dzt. (20</w:t>
      </w:r>
      <w:r w:rsidRPr="00D62E15">
        <w:rPr>
          <w:rFonts w:asciiTheme="minorHAnsi" w:hAnsiTheme="minorHAnsi" w:cstheme="minorHAnsi"/>
          <w:b/>
          <w:szCs w:val="22"/>
        </w:rPr>
        <w:t>20</w:t>
      </w:r>
      <w:r w:rsidR="003B78E1" w:rsidRPr="003B78E1">
        <w:rPr>
          <w:rFonts w:asciiTheme="minorHAnsi" w:hAnsiTheme="minorHAnsi" w:cstheme="minorHAnsi"/>
          <w:b/>
          <w:szCs w:val="22"/>
        </w:rPr>
        <w:t>) in Verwendung befindlicher Studienmedikamente bei GIST.</w:t>
      </w:r>
    </w:p>
    <w:p w14:paraId="4E939BF1" w14:textId="77777777" w:rsidR="00C844DC" w:rsidRDefault="003B78E1" w:rsidP="008C57A9">
      <w:pPr>
        <w:pStyle w:val="Textkrper-Einzug2"/>
        <w:spacing w:line="276" w:lineRule="auto"/>
        <w:ind w:left="0"/>
        <w:jc w:val="both"/>
        <w:rPr>
          <w:rFonts w:asciiTheme="minorHAnsi" w:hAnsiTheme="minorHAnsi" w:cstheme="minorHAnsi"/>
          <w:szCs w:val="22"/>
          <w:lang w:val="en-US"/>
        </w:rPr>
      </w:pPr>
      <w:r>
        <w:rPr>
          <w:rFonts w:asciiTheme="minorHAnsi" w:hAnsiTheme="minorHAnsi" w:cstheme="minorHAnsi"/>
          <w:noProof/>
          <w:szCs w:val="22"/>
          <w:lang w:eastAsia="de-AT"/>
        </w:rPr>
        <w:drawing>
          <wp:inline distT="0" distB="0" distL="0" distR="0" wp14:anchorId="1F93BA71" wp14:editId="016439ED">
            <wp:extent cx="5957570" cy="7787709"/>
            <wp:effectExtent l="0" t="0" r="5080" b="381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7570" cy="7787709"/>
                    </a:xfrm>
                    <a:prstGeom prst="rect">
                      <a:avLst/>
                    </a:prstGeom>
                    <a:noFill/>
                    <a:ln>
                      <a:noFill/>
                    </a:ln>
                  </pic:spPr>
                </pic:pic>
              </a:graphicData>
            </a:graphic>
          </wp:inline>
        </w:drawing>
      </w:r>
    </w:p>
    <w:p w14:paraId="0FD252E8" w14:textId="77777777" w:rsidR="00DF0655" w:rsidRPr="00C844DC" w:rsidRDefault="00DF0655" w:rsidP="008C57A9">
      <w:pPr>
        <w:pStyle w:val="Textkrper-Einzug2"/>
        <w:spacing w:line="276" w:lineRule="auto"/>
        <w:ind w:left="0"/>
        <w:jc w:val="both"/>
        <w:rPr>
          <w:rFonts w:asciiTheme="minorHAnsi" w:hAnsiTheme="minorHAnsi" w:cstheme="minorHAnsi"/>
          <w:szCs w:val="22"/>
          <w:lang w:val="en-US"/>
        </w:rPr>
      </w:pPr>
    </w:p>
    <w:p w14:paraId="12C34668" w14:textId="77777777" w:rsidR="00A6435E" w:rsidRPr="00E344D4" w:rsidRDefault="00A6435E" w:rsidP="007F3064">
      <w:pPr>
        <w:pStyle w:val="berschrift1"/>
      </w:pPr>
      <w:bookmarkStart w:id="36" w:name="_Toc367183623"/>
      <w:bookmarkStart w:id="37" w:name="_Toc367183861"/>
      <w:bookmarkStart w:id="38" w:name="_Toc41307613"/>
      <w:r w:rsidRPr="00E344D4">
        <w:t>Anhang: Wirtschaftliche Analyse</w:t>
      </w:r>
      <w:r w:rsidR="00ED24ED">
        <w:t xml:space="preserve"> (optional)</w:t>
      </w:r>
      <w:bookmarkEnd w:id="36"/>
      <w:bookmarkEnd w:id="37"/>
      <w:bookmarkEnd w:id="38"/>
    </w:p>
    <w:sectPr w:rsidR="00A6435E" w:rsidRPr="00E344D4" w:rsidSect="008544D2">
      <w:headerReference w:type="even" r:id="rId41"/>
      <w:footerReference w:type="even" r:id="rId42"/>
      <w:headerReference w:type="first" r:id="rId43"/>
      <w:footerReference w:type="first" r:id="rId44"/>
      <w:pgSz w:w="11906" w:h="16838"/>
      <w:pgMar w:top="743" w:right="1106" w:bottom="1134" w:left="1418" w:header="567"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3CB4C" w14:textId="77777777" w:rsidR="00EC608E" w:rsidRDefault="00EC608E">
      <w:r>
        <w:separator/>
      </w:r>
    </w:p>
    <w:p w14:paraId="0C6AE766" w14:textId="77777777" w:rsidR="00EC608E" w:rsidRDefault="00EC608E"/>
  </w:endnote>
  <w:endnote w:type="continuationSeparator" w:id="0">
    <w:p w14:paraId="7C3BDDC9" w14:textId="77777777" w:rsidR="00EC608E" w:rsidRDefault="00EC608E">
      <w:r>
        <w:continuationSeparator/>
      </w:r>
    </w:p>
    <w:p w14:paraId="1FB86EE5" w14:textId="77777777" w:rsidR="00EC608E" w:rsidRDefault="00EC60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NeueLT Pro 75 Bd">
    <w:altName w:val="HelveticaNeueLT Pro 75 Bd"/>
    <w:panose1 w:val="00000000000000000000"/>
    <w:charset w:val="00"/>
    <w:family w:val="swiss"/>
    <w:notTrueType/>
    <w:pitch w:val="default"/>
    <w:sig w:usb0="00000003" w:usb1="00000000" w:usb2="00000000" w:usb3="00000000" w:csb0="00000001" w:csb1="00000000"/>
  </w:font>
  <w:font w:name="JansonText LT">
    <w:altName w:val="JansonText L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MT">
    <w:altName w:val="Times New Roman"/>
    <w:panose1 w:val="00000000000000000000"/>
    <w:charset w:val="A1"/>
    <w:family w:val="auto"/>
    <w:notTrueType/>
    <w:pitch w:val="default"/>
    <w:sig w:usb0="00000081" w:usb1="00000000" w:usb2="00000000" w:usb3="00000000" w:csb0="00000008" w:csb1="00000000"/>
  </w:font>
  <w:font w:name="AdvOT07517017">
    <w:altName w:val="MS Mincho"/>
    <w:panose1 w:val="00000000000000000000"/>
    <w:charset w:val="80"/>
    <w:family w:val="auto"/>
    <w:notTrueType/>
    <w:pitch w:val="default"/>
    <w:sig w:usb0="00000000" w:usb1="08070000" w:usb2="00000010" w:usb3="00000000" w:csb0="00020000" w:csb1="00000000"/>
  </w:font>
  <w:font w:name="AdvOT0d9ab1db.I">
    <w:panose1 w:val="00000000000000000000"/>
    <w:charset w:val="00"/>
    <w:family w:val="auto"/>
    <w:notTrueType/>
    <w:pitch w:val="default"/>
    <w:sig w:usb0="00000003" w:usb1="00000000" w:usb2="00000000" w:usb3="00000000" w:csb0="00000001" w:csb1="00000000"/>
  </w:font>
  <w:font w:name="PlantinStd">
    <w:panose1 w:val="00000000000000000000"/>
    <w:charset w:val="00"/>
    <w:family w:val="roman"/>
    <w:notTrueType/>
    <w:pitch w:val="default"/>
    <w:sig w:usb0="00000003" w:usb1="00000000" w:usb2="00000000" w:usb3="00000000" w:csb0="00000001" w:csb1="00000000"/>
  </w:font>
  <w:font w:name="PlantinSt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E6673" w14:textId="0C8E83A8" w:rsidR="00EC608E" w:rsidRDefault="00EC608E" w:rsidP="00951BE2">
    <w:pPr>
      <w:pStyle w:val="Fuzeile"/>
      <w:pBdr>
        <w:top w:val="single" w:sz="4" w:space="1" w:color="000000"/>
      </w:pBdr>
      <w:tabs>
        <w:tab w:val="clear" w:pos="9072"/>
        <w:tab w:val="right" w:pos="9356"/>
      </w:tabs>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D62E15">
      <w:rPr>
        <w:noProof/>
        <w:sz w:val="18"/>
        <w:szCs w:val="18"/>
      </w:rPr>
      <w:t>2</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D62E15">
      <w:rPr>
        <w:noProof/>
        <w:sz w:val="18"/>
        <w:szCs w:val="18"/>
      </w:rPr>
      <w:t>26</w:t>
    </w:r>
    <w:r>
      <w:rPr>
        <w:sz w:val="18"/>
        <w:szCs w:val="18"/>
      </w:rPr>
      <w:fldChar w:fldCharType="end"/>
    </w:r>
  </w:p>
  <w:p w14:paraId="07BCFC5C" w14:textId="77777777" w:rsidR="00EC608E" w:rsidRPr="00B6342E" w:rsidRDefault="00EC608E"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CFF49" w14:textId="77777777" w:rsidR="00EC608E" w:rsidRDefault="00EC608E">
    <w:pPr>
      <w:pStyle w:val="Fuzeile"/>
      <w:jc w:val="left"/>
    </w:pPr>
    <w:r>
      <w:rPr>
        <w:snapToGrid w:val="0"/>
        <w:sz w:val="18"/>
      </w:rPr>
      <w:t xml:space="preserve">Abgelegt in: </w:t>
    </w:r>
    <w:r>
      <w:rPr>
        <w:snapToGrid w:val="0"/>
        <w:sz w:val="18"/>
      </w:rPr>
      <w:fldChar w:fldCharType="begin"/>
    </w:r>
    <w:r>
      <w:rPr>
        <w:snapToGrid w:val="0"/>
        <w:sz w:val="18"/>
      </w:rPr>
      <w:instrText xml:space="preserve"> FILENAME \p </w:instrText>
    </w:r>
    <w:r>
      <w:rPr>
        <w:snapToGrid w:val="0"/>
        <w:sz w:val="18"/>
      </w:rPr>
      <w:fldChar w:fldCharType="separate"/>
    </w:r>
    <w:r>
      <w:rPr>
        <w:noProof/>
        <w:snapToGrid w:val="0"/>
        <w:sz w:val="18"/>
      </w:rPr>
      <w:t>http://gespag.info/dokumente/Lists/KH_Tumorzentrum_Extern/Leitlinie GIST.docx</w:t>
    </w:r>
    <w:r>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634F5" w14:textId="77777777" w:rsidR="00EC608E" w:rsidRDefault="00EC608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476E6" w14:textId="77777777" w:rsidR="00EC608E" w:rsidRDefault="00EC60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225E1" w14:textId="77777777" w:rsidR="00EC608E" w:rsidRDefault="00EC608E">
      <w:r>
        <w:separator/>
      </w:r>
    </w:p>
    <w:p w14:paraId="1DC3F7CA" w14:textId="77777777" w:rsidR="00EC608E" w:rsidRDefault="00EC608E"/>
  </w:footnote>
  <w:footnote w:type="continuationSeparator" w:id="0">
    <w:p w14:paraId="0205CC11" w14:textId="77777777" w:rsidR="00EC608E" w:rsidRDefault="00EC608E">
      <w:r>
        <w:continuationSeparator/>
      </w:r>
    </w:p>
    <w:p w14:paraId="337246D3" w14:textId="77777777" w:rsidR="00EC608E" w:rsidRDefault="00EC608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E7A97" w14:textId="77777777" w:rsidR="00EC608E" w:rsidRDefault="00EC608E">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3E51C354" w14:textId="77777777" w:rsidR="00EC608E" w:rsidRDefault="00EC608E">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923"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227"/>
      <w:gridCol w:w="3685"/>
      <w:gridCol w:w="3011"/>
    </w:tblGrid>
    <w:tr w:rsidR="00EC608E" w14:paraId="52EB4A9E" w14:textId="28F1C255" w:rsidTr="006602F1">
      <w:tc>
        <w:tcPr>
          <w:tcW w:w="3227" w:type="dxa"/>
        </w:tcPr>
        <w:p w14:paraId="0299FA4E" w14:textId="77777777" w:rsidR="00EC608E" w:rsidRDefault="00EC608E" w:rsidP="00192465">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2854504C" wp14:editId="45993B8A">
                <wp:extent cx="1080760" cy="469557"/>
                <wp:effectExtent l="0" t="0" r="5715"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Align w:val="center"/>
        </w:tcPr>
        <w:p w14:paraId="682421BB" w14:textId="77777777" w:rsidR="00EC608E" w:rsidRDefault="00EC608E" w:rsidP="00192465">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4D2EE0E5" w14:textId="77777777" w:rsidR="00EC608E" w:rsidRDefault="00EC608E" w:rsidP="00192465">
          <w:pPr>
            <w:tabs>
              <w:tab w:val="center" w:pos="4536"/>
              <w:tab w:val="right" w:pos="9072"/>
            </w:tabs>
            <w:spacing w:line="240" w:lineRule="auto"/>
          </w:pPr>
          <w:r>
            <w:rPr>
              <w:rFonts w:cs="Arial"/>
              <w:b/>
              <w:sz w:val="18"/>
              <w:szCs w:val="18"/>
              <w:lang w:val="de-DE" w:eastAsia="ar-SA"/>
            </w:rPr>
            <w:t>Tumorzentrum Oberösterreich</w:t>
          </w:r>
        </w:p>
      </w:tc>
      <w:tc>
        <w:tcPr>
          <w:tcW w:w="3011" w:type="dxa"/>
          <w:vAlign w:val="center"/>
        </w:tcPr>
        <w:p w14:paraId="1A76997F" w14:textId="4505E2BD" w:rsidR="00EC608E" w:rsidRDefault="00EC608E" w:rsidP="006602F1">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EndPr/>
            <w:sdtContent>
              <w:r w:rsidR="006602F1" w:rsidRPr="006602F1">
                <w:rPr>
                  <w:rFonts w:cs="Arial"/>
                  <w:sz w:val="18"/>
                  <w:szCs w:val="18"/>
                  <w:lang w:eastAsia="ar-SA"/>
                </w:rPr>
                <w:t>Gastrointestinale Stromatumore - GIST</w:t>
              </w:r>
            </w:sdtContent>
          </w:sdt>
        </w:p>
      </w:tc>
    </w:tr>
  </w:tbl>
  <w:p w14:paraId="279A730E" w14:textId="77777777" w:rsidR="00EC608E" w:rsidRDefault="00EC608E" w:rsidP="00F74762">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6B38" w14:textId="77777777" w:rsidR="00EC608E" w:rsidRDefault="00EC608E">
    <w:pPr>
      <w:pStyle w:val="Kopfzeile"/>
      <w:jc w:val="right"/>
    </w:pPr>
    <w:r>
      <w:rPr>
        <w:noProof/>
        <w:sz w:val="20"/>
        <w:lang w:eastAsia="de-AT"/>
      </w:rPr>
      <w:drawing>
        <wp:anchor distT="0" distB="0" distL="114300" distR="114300" simplePos="0" relativeHeight="251657728" behindDoc="0" locked="0" layoutInCell="1" allowOverlap="1" wp14:anchorId="63BE32B8" wp14:editId="63BE32B9">
          <wp:simplePos x="0" y="0"/>
          <wp:positionH relativeFrom="column">
            <wp:posOffset>-48895</wp:posOffset>
          </wp:positionH>
          <wp:positionV relativeFrom="paragraph">
            <wp:posOffset>-14605</wp:posOffset>
          </wp:positionV>
          <wp:extent cx="1010920" cy="310515"/>
          <wp:effectExtent l="0" t="0" r="0" b="0"/>
          <wp:wrapSquare wrapText="bothSides"/>
          <wp:docPr id="3"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sz w:val="18"/>
      </w:rPr>
      <w:t xml:space="preserve">Seite </w:t>
    </w:r>
    <w:r>
      <w:rPr>
        <w:rStyle w:val="Seitenzahl"/>
        <w:sz w:val="18"/>
      </w:rPr>
      <w:fldChar w:fldCharType="begin"/>
    </w:r>
    <w:r>
      <w:rPr>
        <w:rStyle w:val="Seitenzahl"/>
        <w:sz w:val="18"/>
      </w:rPr>
      <w:instrText xml:space="preserve">PAGE  </w:instrText>
    </w:r>
    <w:r>
      <w:rPr>
        <w:rStyle w:val="Seitenzahl"/>
        <w:sz w:val="18"/>
      </w:rPr>
      <w:fldChar w:fldCharType="separate"/>
    </w:r>
    <w:r>
      <w:rPr>
        <w:rStyle w:val="Seitenzahl"/>
        <w:noProof/>
        <w:sz w:val="18"/>
      </w:rPr>
      <w:t>2</w:t>
    </w:r>
    <w:r>
      <w:rPr>
        <w:rStyle w:val="Seitenzahl"/>
        <w:sz w:val="18"/>
      </w:rPr>
      <w:fldChar w:fldCharType="end"/>
    </w:r>
    <w:r>
      <w:rPr>
        <w:rStyle w:val="Seitenzahl"/>
        <w:sz w:val="18"/>
      </w:rPr>
      <w:t xml:space="preserve"> von </w:t>
    </w:r>
    <w:r>
      <w:rPr>
        <w:rStyle w:val="Seitenzahl"/>
        <w:sz w:val="18"/>
      </w:rPr>
      <w:fldChar w:fldCharType="begin"/>
    </w:r>
    <w:r>
      <w:rPr>
        <w:rStyle w:val="Seitenzahl"/>
        <w:sz w:val="18"/>
      </w:rPr>
      <w:instrText xml:space="preserve"> NUMPAGES </w:instrText>
    </w:r>
    <w:r>
      <w:rPr>
        <w:rStyle w:val="Seitenzahl"/>
        <w:sz w:val="18"/>
      </w:rPr>
      <w:fldChar w:fldCharType="separate"/>
    </w:r>
    <w:r>
      <w:rPr>
        <w:rStyle w:val="Seitenzahl"/>
        <w:noProof/>
        <w:sz w:val="18"/>
      </w:rPr>
      <w:t>1</w:t>
    </w:r>
    <w:r>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B0D6A" w14:textId="77777777" w:rsidR="00EC608E" w:rsidRDefault="00EC608E">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29DC5" w14:textId="77777777" w:rsidR="00EC608E" w:rsidRDefault="00EC60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AA0BC5E"/>
    <w:lvl w:ilvl="0">
      <w:numFmt w:val="bullet"/>
      <w:lvlText w:val="*"/>
      <w:lvlJc w:val="left"/>
    </w:lvl>
  </w:abstractNum>
  <w:abstractNum w:abstractNumId="1" w15:restartNumberingAfterBreak="0">
    <w:nsid w:val="02837DB8"/>
    <w:multiLevelType w:val="hybridMultilevel"/>
    <w:tmpl w:val="831E77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6F053D"/>
    <w:multiLevelType w:val="hybridMultilevel"/>
    <w:tmpl w:val="5EF68480"/>
    <w:lvl w:ilvl="0" w:tplc="0C070011">
      <w:start w:val="1"/>
      <w:numFmt w:val="decimal"/>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3" w15:restartNumberingAfterBreak="0">
    <w:nsid w:val="06C8662A"/>
    <w:multiLevelType w:val="hybridMultilevel"/>
    <w:tmpl w:val="437EBE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794C54"/>
    <w:multiLevelType w:val="hybridMultilevel"/>
    <w:tmpl w:val="DBA265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A133B1"/>
    <w:multiLevelType w:val="hybridMultilevel"/>
    <w:tmpl w:val="F2E26CA2"/>
    <w:lvl w:ilvl="0" w:tplc="3FB809D0">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7" w15:restartNumberingAfterBreak="0">
    <w:nsid w:val="15E52B3C"/>
    <w:multiLevelType w:val="hybridMultilevel"/>
    <w:tmpl w:val="5380D1D0"/>
    <w:lvl w:ilvl="0" w:tplc="0C070011">
      <w:start w:val="1"/>
      <w:numFmt w:val="decimal"/>
      <w:lvlText w:val="%1)"/>
      <w:lvlJc w:val="left"/>
      <w:pPr>
        <w:tabs>
          <w:tab w:val="num" w:pos="720"/>
        </w:tabs>
        <w:ind w:left="720" w:hanging="360"/>
      </w:pPr>
      <w:rPr>
        <w:rFonts w:cs="Times New Roman" w:hint="default"/>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6BC59AE"/>
    <w:multiLevelType w:val="hybridMultilevel"/>
    <w:tmpl w:val="A0BE027A"/>
    <w:lvl w:ilvl="0" w:tplc="BD367442">
      <w:numFmt w:val="bullet"/>
      <w:lvlText w:val="-"/>
      <w:lvlJc w:val="left"/>
      <w:pPr>
        <w:ind w:left="1065" w:hanging="360"/>
      </w:pPr>
      <w:rPr>
        <w:rFonts w:ascii="Arial" w:eastAsia="Times New Roman" w:hAnsi="Arial" w:cs="Arial" w:hint="default"/>
      </w:rPr>
    </w:lvl>
    <w:lvl w:ilvl="1" w:tplc="0C070003" w:tentative="1">
      <w:start w:val="1"/>
      <w:numFmt w:val="bullet"/>
      <w:lvlText w:val="o"/>
      <w:lvlJc w:val="left"/>
      <w:pPr>
        <w:ind w:left="1785" w:hanging="360"/>
      </w:pPr>
      <w:rPr>
        <w:rFonts w:ascii="Courier New" w:hAnsi="Courier New" w:cs="Courier New" w:hint="default"/>
      </w:rPr>
    </w:lvl>
    <w:lvl w:ilvl="2" w:tplc="0C070005" w:tentative="1">
      <w:start w:val="1"/>
      <w:numFmt w:val="bullet"/>
      <w:lvlText w:val=""/>
      <w:lvlJc w:val="left"/>
      <w:pPr>
        <w:ind w:left="2505" w:hanging="360"/>
      </w:pPr>
      <w:rPr>
        <w:rFonts w:ascii="Wingdings" w:hAnsi="Wingdings" w:hint="default"/>
      </w:rPr>
    </w:lvl>
    <w:lvl w:ilvl="3" w:tplc="0C070001" w:tentative="1">
      <w:start w:val="1"/>
      <w:numFmt w:val="bullet"/>
      <w:lvlText w:val=""/>
      <w:lvlJc w:val="left"/>
      <w:pPr>
        <w:ind w:left="3225" w:hanging="360"/>
      </w:pPr>
      <w:rPr>
        <w:rFonts w:ascii="Symbol" w:hAnsi="Symbol" w:hint="default"/>
      </w:rPr>
    </w:lvl>
    <w:lvl w:ilvl="4" w:tplc="0C070003" w:tentative="1">
      <w:start w:val="1"/>
      <w:numFmt w:val="bullet"/>
      <w:lvlText w:val="o"/>
      <w:lvlJc w:val="left"/>
      <w:pPr>
        <w:ind w:left="3945" w:hanging="360"/>
      </w:pPr>
      <w:rPr>
        <w:rFonts w:ascii="Courier New" w:hAnsi="Courier New" w:cs="Courier New" w:hint="default"/>
      </w:rPr>
    </w:lvl>
    <w:lvl w:ilvl="5" w:tplc="0C070005" w:tentative="1">
      <w:start w:val="1"/>
      <w:numFmt w:val="bullet"/>
      <w:lvlText w:val=""/>
      <w:lvlJc w:val="left"/>
      <w:pPr>
        <w:ind w:left="4665" w:hanging="360"/>
      </w:pPr>
      <w:rPr>
        <w:rFonts w:ascii="Wingdings" w:hAnsi="Wingdings" w:hint="default"/>
      </w:rPr>
    </w:lvl>
    <w:lvl w:ilvl="6" w:tplc="0C070001" w:tentative="1">
      <w:start w:val="1"/>
      <w:numFmt w:val="bullet"/>
      <w:lvlText w:val=""/>
      <w:lvlJc w:val="left"/>
      <w:pPr>
        <w:ind w:left="5385" w:hanging="360"/>
      </w:pPr>
      <w:rPr>
        <w:rFonts w:ascii="Symbol" w:hAnsi="Symbol" w:hint="default"/>
      </w:rPr>
    </w:lvl>
    <w:lvl w:ilvl="7" w:tplc="0C070003" w:tentative="1">
      <w:start w:val="1"/>
      <w:numFmt w:val="bullet"/>
      <w:lvlText w:val="o"/>
      <w:lvlJc w:val="left"/>
      <w:pPr>
        <w:ind w:left="6105" w:hanging="360"/>
      </w:pPr>
      <w:rPr>
        <w:rFonts w:ascii="Courier New" w:hAnsi="Courier New" w:cs="Courier New" w:hint="default"/>
      </w:rPr>
    </w:lvl>
    <w:lvl w:ilvl="8" w:tplc="0C070005" w:tentative="1">
      <w:start w:val="1"/>
      <w:numFmt w:val="bullet"/>
      <w:lvlText w:val=""/>
      <w:lvlJc w:val="left"/>
      <w:pPr>
        <w:ind w:left="6825" w:hanging="360"/>
      </w:pPr>
      <w:rPr>
        <w:rFonts w:ascii="Wingdings" w:hAnsi="Wingdings" w:hint="default"/>
      </w:rPr>
    </w:lvl>
  </w:abstractNum>
  <w:abstractNum w:abstractNumId="9" w15:restartNumberingAfterBreak="0">
    <w:nsid w:val="17FD0084"/>
    <w:multiLevelType w:val="multilevel"/>
    <w:tmpl w:val="11D441F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364705"/>
    <w:multiLevelType w:val="hybridMultilevel"/>
    <w:tmpl w:val="AE1847BE"/>
    <w:lvl w:ilvl="0" w:tplc="B9847ADA">
      <w:start w:val="1"/>
      <w:numFmt w:val="decimal"/>
      <w:lvlText w:val="%1."/>
      <w:lvlJc w:val="left"/>
      <w:pPr>
        <w:tabs>
          <w:tab w:val="num" w:pos="720"/>
        </w:tabs>
        <w:ind w:left="720" w:hanging="360"/>
      </w:pPr>
    </w:lvl>
    <w:lvl w:ilvl="1" w:tplc="81AC3F72" w:tentative="1">
      <w:start w:val="1"/>
      <w:numFmt w:val="decimal"/>
      <w:lvlText w:val="%2."/>
      <w:lvlJc w:val="left"/>
      <w:pPr>
        <w:tabs>
          <w:tab w:val="num" w:pos="1440"/>
        </w:tabs>
        <w:ind w:left="1440" w:hanging="360"/>
      </w:pPr>
    </w:lvl>
    <w:lvl w:ilvl="2" w:tplc="5F56F1B2" w:tentative="1">
      <w:start w:val="1"/>
      <w:numFmt w:val="decimal"/>
      <w:lvlText w:val="%3."/>
      <w:lvlJc w:val="left"/>
      <w:pPr>
        <w:tabs>
          <w:tab w:val="num" w:pos="2160"/>
        </w:tabs>
        <w:ind w:left="2160" w:hanging="360"/>
      </w:pPr>
    </w:lvl>
    <w:lvl w:ilvl="3" w:tplc="CBAC0248" w:tentative="1">
      <w:start w:val="1"/>
      <w:numFmt w:val="decimal"/>
      <w:lvlText w:val="%4."/>
      <w:lvlJc w:val="left"/>
      <w:pPr>
        <w:tabs>
          <w:tab w:val="num" w:pos="2880"/>
        </w:tabs>
        <w:ind w:left="2880" w:hanging="360"/>
      </w:pPr>
    </w:lvl>
    <w:lvl w:ilvl="4" w:tplc="DA02F754" w:tentative="1">
      <w:start w:val="1"/>
      <w:numFmt w:val="decimal"/>
      <w:lvlText w:val="%5."/>
      <w:lvlJc w:val="left"/>
      <w:pPr>
        <w:tabs>
          <w:tab w:val="num" w:pos="3600"/>
        </w:tabs>
        <w:ind w:left="3600" w:hanging="360"/>
      </w:pPr>
    </w:lvl>
    <w:lvl w:ilvl="5" w:tplc="1178690E" w:tentative="1">
      <w:start w:val="1"/>
      <w:numFmt w:val="decimal"/>
      <w:lvlText w:val="%6."/>
      <w:lvlJc w:val="left"/>
      <w:pPr>
        <w:tabs>
          <w:tab w:val="num" w:pos="4320"/>
        </w:tabs>
        <w:ind w:left="4320" w:hanging="360"/>
      </w:pPr>
    </w:lvl>
    <w:lvl w:ilvl="6" w:tplc="A9546AF8" w:tentative="1">
      <w:start w:val="1"/>
      <w:numFmt w:val="decimal"/>
      <w:lvlText w:val="%7."/>
      <w:lvlJc w:val="left"/>
      <w:pPr>
        <w:tabs>
          <w:tab w:val="num" w:pos="5040"/>
        </w:tabs>
        <w:ind w:left="5040" w:hanging="360"/>
      </w:pPr>
    </w:lvl>
    <w:lvl w:ilvl="7" w:tplc="1A0220FE" w:tentative="1">
      <w:start w:val="1"/>
      <w:numFmt w:val="decimal"/>
      <w:lvlText w:val="%8."/>
      <w:lvlJc w:val="left"/>
      <w:pPr>
        <w:tabs>
          <w:tab w:val="num" w:pos="5760"/>
        </w:tabs>
        <w:ind w:left="5760" w:hanging="360"/>
      </w:pPr>
    </w:lvl>
    <w:lvl w:ilvl="8" w:tplc="0B7E283C" w:tentative="1">
      <w:start w:val="1"/>
      <w:numFmt w:val="decimal"/>
      <w:lvlText w:val="%9."/>
      <w:lvlJc w:val="left"/>
      <w:pPr>
        <w:tabs>
          <w:tab w:val="num" w:pos="6480"/>
        </w:tabs>
        <w:ind w:left="6480" w:hanging="360"/>
      </w:pPr>
    </w:lvl>
  </w:abstractNum>
  <w:abstractNum w:abstractNumId="11" w15:restartNumberingAfterBreak="0">
    <w:nsid w:val="244D56C4"/>
    <w:multiLevelType w:val="hybridMultilevel"/>
    <w:tmpl w:val="751C2560"/>
    <w:lvl w:ilvl="0" w:tplc="DDA6C06C">
      <w:start w:val="2"/>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29A00D43"/>
    <w:multiLevelType w:val="multilevel"/>
    <w:tmpl w:val="CD9434D8"/>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2F32D6"/>
    <w:multiLevelType w:val="hybridMultilevel"/>
    <w:tmpl w:val="CBF893BA"/>
    <w:lvl w:ilvl="0" w:tplc="D4ECDE7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2F63316B"/>
    <w:multiLevelType w:val="hybridMultilevel"/>
    <w:tmpl w:val="0FF0E024"/>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04921A1"/>
    <w:multiLevelType w:val="hybridMultilevel"/>
    <w:tmpl w:val="833E6864"/>
    <w:lvl w:ilvl="0" w:tplc="0C070011">
      <w:start w:val="1"/>
      <w:numFmt w:val="decimal"/>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16" w15:restartNumberingAfterBreak="0">
    <w:nsid w:val="3433543B"/>
    <w:multiLevelType w:val="hybridMultilevel"/>
    <w:tmpl w:val="231E88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1600440"/>
    <w:multiLevelType w:val="hybridMultilevel"/>
    <w:tmpl w:val="42C285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8E7667C"/>
    <w:multiLevelType w:val="hybridMultilevel"/>
    <w:tmpl w:val="E4C859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D98512C"/>
    <w:multiLevelType w:val="multilevel"/>
    <w:tmpl w:val="4C469E90"/>
    <w:lvl w:ilvl="0">
      <w:start w:val="3"/>
      <w:numFmt w:val="decimal"/>
      <w:lvlText w:val="%1"/>
      <w:lvlJc w:val="left"/>
      <w:pPr>
        <w:ind w:left="720" w:hanging="360"/>
      </w:pPr>
      <w:rPr>
        <w:rFonts w:hint="default"/>
      </w:rPr>
    </w:lvl>
    <w:lvl w:ilvl="1">
      <w:start w:val="7"/>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F1D1FCC"/>
    <w:multiLevelType w:val="multilevel"/>
    <w:tmpl w:val="16924AC6"/>
    <w:lvl w:ilvl="0">
      <w:start w:val="1"/>
      <w:numFmt w:val="decimal"/>
      <w:lvlText w:val="%1"/>
      <w:lvlJc w:val="left"/>
      <w:pPr>
        <w:tabs>
          <w:tab w:val="num" w:pos="432"/>
        </w:tabs>
        <w:ind w:left="432" w:hanging="432"/>
      </w:pPr>
      <w:rPr>
        <w:rFonts w:hint="default"/>
        <w:b w:val="0"/>
        <w:i w:val="0"/>
      </w:rPr>
    </w:lvl>
    <w:lvl w:ilvl="1">
      <w:start w:val="1"/>
      <w:numFmt w:val="decimal"/>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92860AB"/>
    <w:multiLevelType w:val="hybridMultilevel"/>
    <w:tmpl w:val="AABA51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9A109FE"/>
    <w:multiLevelType w:val="hybridMultilevel"/>
    <w:tmpl w:val="437EBE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EDB2176"/>
    <w:multiLevelType w:val="hybridMultilevel"/>
    <w:tmpl w:val="ABF6918E"/>
    <w:lvl w:ilvl="0" w:tplc="C59A198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0594CB0"/>
    <w:multiLevelType w:val="hybridMultilevel"/>
    <w:tmpl w:val="92D44E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72A47BA"/>
    <w:multiLevelType w:val="hybridMultilevel"/>
    <w:tmpl w:val="DBD6379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6"/>
  </w:num>
  <w:num w:numId="2">
    <w:abstractNumId w:val="20"/>
  </w:num>
  <w:num w:numId="3">
    <w:abstractNumId w:val="2"/>
  </w:num>
  <w:num w:numId="4">
    <w:abstractNumId w:val="11"/>
  </w:num>
  <w:num w:numId="5">
    <w:abstractNumId w:val="20"/>
  </w:num>
  <w:num w:numId="6">
    <w:abstractNumId w:val="14"/>
  </w:num>
  <w:num w:numId="7">
    <w:abstractNumId w:val="8"/>
  </w:num>
  <w:num w:numId="8">
    <w:abstractNumId w:val="20"/>
  </w:num>
  <w:num w:numId="9">
    <w:abstractNumId w:val="20"/>
  </w:num>
  <w:num w:numId="10">
    <w:abstractNumId w:val="12"/>
  </w:num>
  <w:num w:numId="11">
    <w:abstractNumId w:val="7"/>
  </w:num>
  <w:num w:numId="12">
    <w:abstractNumId w:val="25"/>
  </w:num>
  <w:num w:numId="13">
    <w:abstractNumId w:val="13"/>
  </w:num>
  <w:num w:numId="14">
    <w:abstractNumId w:val="9"/>
  </w:num>
  <w:num w:numId="15">
    <w:abstractNumId w:val="1"/>
  </w:num>
  <w:num w:numId="16">
    <w:abstractNumId w:val="15"/>
  </w:num>
  <w:num w:numId="17">
    <w:abstractNumId w:val="5"/>
  </w:num>
  <w:num w:numId="18">
    <w:abstractNumId w:val="20"/>
  </w:num>
  <w:num w:numId="19">
    <w:abstractNumId w:val="20"/>
  </w:num>
  <w:num w:numId="20">
    <w:abstractNumId w:val="20"/>
  </w:num>
  <w:num w:numId="21">
    <w:abstractNumId w:val="20"/>
  </w:num>
  <w:num w:numId="22">
    <w:abstractNumId w:val="20"/>
  </w:num>
  <w:num w:numId="23">
    <w:abstractNumId w:val="0"/>
    <w:lvlOverride w:ilvl="0">
      <w:lvl w:ilvl="0">
        <w:numFmt w:val="bullet"/>
        <w:lvlText w:val=""/>
        <w:legacy w:legacy="1" w:legacySpace="0" w:legacyIndent="0"/>
        <w:lvlJc w:val="left"/>
        <w:rPr>
          <w:rFonts w:ascii="Symbol" w:hAnsi="Symbol" w:hint="default"/>
          <w:sz w:val="20"/>
        </w:rPr>
      </w:lvl>
    </w:lvlOverride>
  </w:num>
  <w:num w:numId="24">
    <w:abstractNumId w:val="16"/>
  </w:num>
  <w:num w:numId="25">
    <w:abstractNumId w:val="10"/>
  </w:num>
  <w:num w:numId="26">
    <w:abstractNumId w:val="3"/>
  </w:num>
  <w:num w:numId="27">
    <w:abstractNumId w:val="22"/>
  </w:num>
  <w:num w:numId="28">
    <w:abstractNumId w:val="19"/>
  </w:num>
  <w:num w:numId="29">
    <w:abstractNumId w:val="24"/>
  </w:num>
  <w:num w:numId="30">
    <w:abstractNumId w:val="20"/>
  </w:num>
  <w:num w:numId="31">
    <w:abstractNumId w:val="21"/>
  </w:num>
  <w:num w:numId="32">
    <w:abstractNumId w:val="23"/>
  </w:num>
  <w:num w:numId="33">
    <w:abstractNumId w:val="18"/>
  </w:num>
  <w:num w:numId="34">
    <w:abstractNumId w:val="4"/>
  </w:num>
  <w:num w:numId="35">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47"/>
    <w:rsid w:val="00007A0D"/>
    <w:rsid w:val="00030D42"/>
    <w:rsid w:val="000342CC"/>
    <w:rsid w:val="00045ABC"/>
    <w:rsid w:val="000660ED"/>
    <w:rsid w:val="0007156A"/>
    <w:rsid w:val="00090105"/>
    <w:rsid w:val="0009476C"/>
    <w:rsid w:val="000A2694"/>
    <w:rsid w:val="000A36C2"/>
    <w:rsid w:val="000C1C85"/>
    <w:rsid w:val="000D2297"/>
    <w:rsid w:val="000E18B1"/>
    <w:rsid w:val="000E3EFA"/>
    <w:rsid w:val="0011518A"/>
    <w:rsid w:val="00121266"/>
    <w:rsid w:val="001235A0"/>
    <w:rsid w:val="00137388"/>
    <w:rsid w:val="001448E2"/>
    <w:rsid w:val="00170FFF"/>
    <w:rsid w:val="00183CD1"/>
    <w:rsid w:val="001863D6"/>
    <w:rsid w:val="001876E7"/>
    <w:rsid w:val="00192465"/>
    <w:rsid w:val="00195521"/>
    <w:rsid w:val="00196C12"/>
    <w:rsid w:val="001A5BAA"/>
    <w:rsid w:val="001D34A4"/>
    <w:rsid w:val="001D3CA8"/>
    <w:rsid w:val="00206E5A"/>
    <w:rsid w:val="00217C51"/>
    <w:rsid w:val="002201ED"/>
    <w:rsid w:val="00250E53"/>
    <w:rsid w:val="00251177"/>
    <w:rsid w:val="002758C3"/>
    <w:rsid w:val="002901C6"/>
    <w:rsid w:val="002A2023"/>
    <w:rsid w:val="002B425B"/>
    <w:rsid w:val="002B577A"/>
    <w:rsid w:val="002B6D29"/>
    <w:rsid w:val="002C471F"/>
    <w:rsid w:val="002E4DD8"/>
    <w:rsid w:val="002E5E5F"/>
    <w:rsid w:val="002E7743"/>
    <w:rsid w:val="002F296D"/>
    <w:rsid w:val="003050D6"/>
    <w:rsid w:val="003111B8"/>
    <w:rsid w:val="00313B47"/>
    <w:rsid w:val="003241FB"/>
    <w:rsid w:val="00331F1C"/>
    <w:rsid w:val="00332A40"/>
    <w:rsid w:val="00351804"/>
    <w:rsid w:val="00364CF0"/>
    <w:rsid w:val="003744DF"/>
    <w:rsid w:val="00385858"/>
    <w:rsid w:val="0039386A"/>
    <w:rsid w:val="003A70E3"/>
    <w:rsid w:val="003B78E1"/>
    <w:rsid w:val="003C182E"/>
    <w:rsid w:val="003C4308"/>
    <w:rsid w:val="003C6310"/>
    <w:rsid w:val="003E1F76"/>
    <w:rsid w:val="003E767D"/>
    <w:rsid w:val="00420DFD"/>
    <w:rsid w:val="004252AA"/>
    <w:rsid w:val="00432BA3"/>
    <w:rsid w:val="004472C3"/>
    <w:rsid w:val="0045594E"/>
    <w:rsid w:val="004652A1"/>
    <w:rsid w:val="00470F84"/>
    <w:rsid w:val="00483898"/>
    <w:rsid w:val="00486C3A"/>
    <w:rsid w:val="00491093"/>
    <w:rsid w:val="0049768A"/>
    <w:rsid w:val="004C0326"/>
    <w:rsid w:val="004C5BBE"/>
    <w:rsid w:val="004D2FE5"/>
    <w:rsid w:val="004D5CA7"/>
    <w:rsid w:val="004D76DB"/>
    <w:rsid w:val="004F0D6D"/>
    <w:rsid w:val="00502ACB"/>
    <w:rsid w:val="005163F4"/>
    <w:rsid w:val="00516467"/>
    <w:rsid w:val="00522FFB"/>
    <w:rsid w:val="00524A45"/>
    <w:rsid w:val="00524CBE"/>
    <w:rsid w:val="00545067"/>
    <w:rsid w:val="00552774"/>
    <w:rsid w:val="005716B3"/>
    <w:rsid w:val="005847E4"/>
    <w:rsid w:val="005915C3"/>
    <w:rsid w:val="00592BA2"/>
    <w:rsid w:val="005973BD"/>
    <w:rsid w:val="005A3EDD"/>
    <w:rsid w:val="005A65C6"/>
    <w:rsid w:val="005B11B2"/>
    <w:rsid w:val="005B2111"/>
    <w:rsid w:val="005C2135"/>
    <w:rsid w:val="005C5568"/>
    <w:rsid w:val="005D23B9"/>
    <w:rsid w:val="005E0058"/>
    <w:rsid w:val="005E26C3"/>
    <w:rsid w:val="005E3563"/>
    <w:rsid w:val="00601C83"/>
    <w:rsid w:val="0060397F"/>
    <w:rsid w:val="00604FA6"/>
    <w:rsid w:val="006106E7"/>
    <w:rsid w:val="0062318C"/>
    <w:rsid w:val="0063046B"/>
    <w:rsid w:val="00632D4B"/>
    <w:rsid w:val="006602F1"/>
    <w:rsid w:val="00665096"/>
    <w:rsid w:val="00670728"/>
    <w:rsid w:val="00670B44"/>
    <w:rsid w:val="0067150E"/>
    <w:rsid w:val="00671A8B"/>
    <w:rsid w:val="00682020"/>
    <w:rsid w:val="00686E5A"/>
    <w:rsid w:val="006A0570"/>
    <w:rsid w:val="006A5DF9"/>
    <w:rsid w:val="006C4CBD"/>
    <w:rsid w:val="006C5EB4"/>
    <w:rsid w:val="006D4DAC"/>
    <w:rsid w:val="006D6C87"/>
    <w:rsid w:val="00701184"/>
    <w:rsid w:val="007153C6"/>
    <w:rsid w:val="007172A6"/>
    <w:rsid w:val="00733408"/>
    <w:rsid w:val="00734878"/>
    <w:rsid w:val="007473D9"/>
    <w:rsid w:val="00762CDB"/>
    <w:rsid w:val="00784585"/>
    <w:rsid w:val="00793157"/>
    <w:rsid w:val="00794700"/>
    <w:rsid w:val="007C18C9"/>
    <w:rsid w:val="007D307D"/>
    <w:rsid w:val="007D3DB0"/>
    <w:rsid w:val="007D5B27"/>
    <w:rsid w:val="007F0A54"/>
    <w:rsid w:val="007F3064"/>
    <w:rsid w:val="00800B21"/>
    <w:rsid w:val="008343B6"/>
    <w:rsid w:val="00836EC1"/>
    <w:rsid w:val="00837FDE"/>
    <w:rsid w:val="008456E6"/>
    <w:rsid w:val="0085347A"/>
    <w:rsid w:val="008544D2"/>
    <w:rsid w:val="008556C5"/>
    <w:rsid w:val="008630EB"/>
    <w:rsid w:val="00863696"/>
    <w:rsid w:val="00864E4B"/>
    <w:rsid w:val="00873392"/>
    <w:rsid w:val="0087689C"/>
    <w:rsid w:val="008772E0"/>
    <w:rsid w:val="008775DC"/>
    <w:rsid w:val="00880B3B"/>
    <w:rsid w:val="00894808"/>
    <w:rsid w:val="008A1E23"/>
    <w:rsid w:val="008A3694"/>
    <w:rsid w:val="008A7324"/>
    <w:rsid w:val="008B2595"/>
    <w:rsid w:val="008B2917"/>
    <w:rsid w:val="008C212D"/>
    <w:rsid w:val="008C57A9"/>
    <w:rsid w:val="008E02D5"/>
    <w:rsid w:val="008E2521"/>
    <w:rsid w:val="008F4D5E"/>
    <w:rsid w:val="008F5EE6"/>
    <w:rsid w:val="00900461"/>
    <w:rsid w:val="00917E1E"/>
    <w:rsid w:val="009229DF"/>
    <w:rsid w:val="00923EB6"/>
    <w:rsid w:val="00931765"/>
    <w:rsid w:val="00932ADE"/>
    <w:rsid w:val="00934CFE"/>
    <w:rsid w:val="0095092F"/>
    <w:rsid w:val="00951BE2"/>
    <w:rsid w:val="009608BA"/>
    <w:rsid w:val="0096742E"/>
    <w:rsid w:val="0099254E"/>
    <w:rsid w:val="009952D0"/>
    <w:rsid w:val="00996D15"/>
    <w:rsid w:val="009975FE"/>
    <w:rsid w:val="009A01D6"/>
    <w:rsid w:val="009C1F85"/>
    <w:rsid w:val="009C39DC"/>
    <w:rsid w:val="00A359D0"/>
    <w:rsid w:val="00A6435E"/>
    <w:rsid w:val="00A76551"/>
    <w:rsid w:val="00A87B49"/>
    <w:rsid w:val="00AA0D47"/>
    <w:rsid w:val="00AA5041"/>
    <w:rsid w:val="00AA7B86"/>
    <w:rsid w:val="00AB010D"/>
    <w:rsid w:val="00AB20C4"/>
    <w:rsid w:val="00AC02AC"/>
    <w:rsid w:val="00AC7335"/>
    <w:rsid w:val="00B00C98"/>
    <w:rsid w:val="00B12793"/>
    <w:rsid w:val="00B558AF"/>
    <w:rsid w:val="00B63247"/>
    <w:rsid w:val="00B6342E"/>
    <w:rsid w:val="00B76073"/>
    <w:rsid w:val="00B76C7B"/>
    <w:rsid w:val="00B80CD1"/>
    <w:rsid w:val="00B96702"/>
    <w:rsid w:val="00B96F18"/>
    <w:rsid w:val="00BA6342"/>
    <w:rsid w:val="00BB0871"/>
    <w:rsid w:val="00BB2D1D"/>
    <w:rsid w:val="00BD0AEF"/>
    <w:rsid w:val="00BD259B"/>
    <w:rsid w:val="00BD27AA"/>
    <w:rsid w:val="00BD2FE2"/>
    <w:rsid w:val="00BD39AF"/>
    <w:rsid w:val="00BE0529"/>
    <w:rsid w:val="00C02676"/>
    <w:rsid w:val="00C206CC"/>
    <w:rsid w:val="00C26F7E"/>
    <w:rsid w:val="00C37F38"/>
    <w:rsid w:val="00C43598"/>
    <w:rsid w:val="00C47A83"/>
    <w:rsid w:val="00C529CA"/>
    <w:rsid w:val="00C61AB4"/>
    <w:rsid w:val="00C709F4"/>
    <w:rsid w:val="00C722B2"/>
    <w:rsid w:val="00C80423"/>
    <w:rsid w:val="00C81BA8"/>
    <w:rsid w:val="00C844DC"/>
    <w:rsid w:val="00C86F05"/>
    <w:rsid w:val="00C90089"/>
    <w:rsid w:val="00C90FB9"/>
    <w:rsid w:val="00CA1301"/>
    <w:rsid w:val="00CD6389"/>
    <w:rsid w:val="00CE09EE"/>
    <w:rsid w:val="00CE3F46"/>
    <w:rsid w:val="00CE59DE"/>
    <w:rsid w:val="00CF0EFD"/>
    <w:rsid w:val="00CF3031"/>
    <w:rsid w:val="00D00A54"/>
    <w:rsid w:val="00D02334"/>
    <w:rsid w:val="00D02CFE"/>
    <w:rsid w:val="00D03B7B"/>
    <w:rsid w:val="00D2023C"/>
    <w:rsid w:val="00D41434"/>
    <w:rsid w:val="00D570ED"/>
    <w:rsid w:val="00D57F20"/>
    <w:rsid w:val="00D60E5E"/>
    <w:rsid w:val="00D62E15"/>
    <w:rsid w:val="00D65B27"/>
    <w:rsid w:val="00D960A9"/>
    <w:rsid w:val="00DA784B"/>
    <w:rsid w:val="00DB3EB6"/>
    <w:rsid w:val="00DB67BC"/>
    <w:rsid w:val="00DC3D9A"/>
    <w:rsid w:val="00DC65EB"/>
    <w:rsid w:val="00DD7B03"/>
    <w:rsid w:val="00DE275D"/>
    <w:rsid w:val="00DF0655"/>
    <w:rsid w:val="00E036CC"/>
    <w:rsid w:val="00E12F9B"/>
    <w:rsid w:val="00E26DAD"/>
    <w:rsid w:val="00E344D4"/>
    <w:rsid w:val="00E475D2"/>
    <w:rsid w:val="00E62655"/>
    <w:rsid w:val="00E63272"/>
    <w:rsid w:val="00E64A04"/>
    <w:rsid w:val="00E67988"/>
    <w:rsid w:val="00E85FD9"/>
    <w:rsid w:val="00E9430B"/>
    <w:rsid w:val="00E95C69"/>
    <w:rsid w:val="00EB3075"/>
    <w:rsid w:val="00EC40E6"/>
    <w:rsid w:val="00EC608E"/>
    <w:rsid w:val="00ED24ED"/>
    <w:rsid w:val="00EF0F48"/>
    <w:rsid w:val="00EF46F8"/>
    <w:rsid w:val="00F13CC2"/>
    <w:rsid w:val="00F250FE"/>
    <w:rsid w:val="00F31FAD"/>
    <w:rsid w:val="00F54D35"/>
    <w:rsid w:val="00F55814"/>
    <w:rsid w:val="00F55B3C"/>
    <w:rsid w:val="00F645B3"/>
    <w:rsid w:val="00F70285"/>
    <w:rsid w:val="00F72AC8"/>
    <w:rsid w:val="00F74762"/>
    <w:rsid w:val="00F74E28"/>
    <w:rsid w:val="00F820BC"/>
    <w:rsid w:val="00FA0941"/>
    <w:rsid w:val="00FA5241"/>
    <w:rsid w:val="00FB2605"/>
    <w:rsid w:val="00FD6D5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5E6F675"/>
  <w15:docId w15:val="{E2BCC379-E88A-410E-A7D6-1DF4C5E62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qFormat/>
    <w:rsid w:val="007D3DB0"/>
    <w:pPr>
      <w:keepNext/>
      <w:spacing w:before="240" w:after="60"/>
      <w:jc w:val="left"/>
      <w:outlineLvl w:val="1"/>
    </w:pPr>
    <w:rPr>
      <w:rFonts w:cs="Arial"/>
      <w:b/>
      <w:bCs/>
      <w:i/>
      <w:iCs/>
      <w:sz w:val="24"/>
      <w:szCs w:val="24"/>
    </w:rPr>
  </w:style>
  <w:style w:type="paragraph" w:styleId="berschrift3">
    <w:name w:val="heading 3"/>
    <w:basedOn w:val="Standard"/>
    <w:next w:val="Standard"/>
    <w:qFormat/>
    <w:rsid w:val="00BB2D1D"/>
    <w:pPr>
      <w:keepNext/>
      <w:numPr>
        <w:ilvl w:val="2"/>
        <w:numId w:val="2"/>
      </w:numPr>
      <w:jc w:val="left"/>
      <w:outlineLvl w:val="2"/>
    </w:pPr>
    <w:rPr>
      <w:b/>
      <w:bCs/>
    </w:rPr>
  </w:style>
  <w:style w:type="paragraph" w:styleId="berschrift4">
    <w:name w:val="heading 4"/>
    <w:basedOn w:val="Standard"/>
    <w:next w:val="Standard"/>
    <w:qFormat/>
    <w:rsid w:val="003C182E"/>
    <w:pPr>
      <w:keepNext/>
      <w:numPr>
        <w:ilvl w:val="3"/>
        <w:numId w:val="2"/>
      </w:numPr>
      <w:ind w:right="-142"/>
      <w:jc w:val="left"/>
      <w:outlineLvl w:val="3"/>
    </w:pPr>
    <w:rPr>
      <w:b/>
      <w:bC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uiPriority w:val="99"/>
    <w:rsid w:val="00F74E28"/>
    <w:pPr>
      <w:spacing w:after="120" w:line="480" w:lineRule="auto"/>
      <w:ind w:left="283"/>
    </w:pPr>
  </w:style>
  <w:style w:type="paragraph" w:styleId="Titel">
    <w:name w:val="Title"/>
    <w:basedOn w:val="Standard"/>
    <w:link w:val="TitelZchn"/>
    <w:uiPriority w:val="99"/>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uiPriority w:val="99"/>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7F3064"/>
    <w:pPr>
      <w:spacing w:after="100"/>
    </w:pPr>
  </w:style>
  <w:style w:type="character" w:customStyle="1" w:styleId="TitelZchn">
    <w:name w:val="Titel Zchn"/>
    <w:basedOn w:val="Absatz-Standardschriftart"/>
    <w:link w:val="Titel"/>
    <w:uiPriority w:val="99"/>
    <w:rsid w:val="005B2111"/>
    <w:rPr>
      <w:rFonts w:ascii="Arial" w:hAnsi="Arial"/>
      <w:sz w:val="36"/>
      <w:lang w:val="de-DE" w:eastAsia="de-DE"/>
    </w:rPr>
  </w:style>
  <w:style w:type="paragraph" w:styleId="StandardWeb">
    <w:name w:val="Normal (Web)"/>
    <w:basedOn w:val="Standard"/>
    <w:uiPriority w:val="99"/>
    <w:unhideWhenUsed/>
    <w:rsid w:val="00682020"/>
    <w:pPr>
      <w:spacing w:before="100" w:beforeAutospacing="1" w:after="100" w:afterAutospacing="1" w:line="240" w:lineRule="auto"/>
      <w:jc w:val="left"/>
    </w:pPr>
    <w:rPr>
      <w:rFonts w:ascii="Times New Roman" w:hAnsi="Times New Roman"/>
      <w:sz w:val="24"/>
      <w:szCs w:val="24"/>
      <w:lang w:eastAsia="de-AT"/>
    </w:rPr>
  </w:style>
  <w:style w:type="paragraph" w:styleId="Verzeichnis2">
    <w:name w:val="toc 2"/>
    <w:basedOn w:val="Standard"/>
    <w:next w:val="Standard"/>
    <w:autoRedefine/>
    <w:uiPriority w:val="39"/>
    <w:rsid w:val="000A36C2"/>
    <w:pPr>
      <w:spacing w:after="100"/>
      <w:ind w:left="220"/>
    </w:pPr>
  </w:style>
  <w:style w:type="paragraph" w:styleId="Verzeichnis3">
    <w:name w:val="toc 3"/>
    <w:basedOn w:val="Standard"/>
    <w:next w:val="Standard"/>
    <w:autoRedefine/>
    <w:uiPriority w:val="39"/>
    <w:rsid w:val="000A36C2"/>
    <w:pPr>
      <w:spacing w:after="100"/>
      <w:ind w:left="440"/>
    </w:pPr>
  </w:style>
  <w:style w:type="character" w:styleId="Kommentarzeichen">
    <w:name w:val="annotation reference"/>
    <w:basedOn w:val="Absatz-Standardschriftart"/>
    <w:rsid w:val="00D65B27"/>
    <w:rPr>
      <w:sz w:val="16"/>
      <w:szCs w:val="16"/>
    </w:rPr>
  </w:style>
  <w:style w:type="paragraph" w:styleId="Kommentartext">
    <w:name w:val="annotation text"/>
    <w:basedOn w:val="Standard"/>
    <w:link w:val="KommentartextZchn"/>
    <w:rsid w:val="00D65B27"/>
    <w:pPr>
      <w:spacing w:line="240" w:lineRule="auto"/>
    </w:pPr>
    <w:rPr>
      <w:sz w:val="20"/>
    </w:rPr>
  </w:style>
  <w:style w:type="character" w:customStyle="1" w:styleId="KommentartextZchn">
    <w:name w:val="Kommentartext Zchn"/>
    <w:basedOn w:val="Absatz-Standardschriftart"/>
    <w:link w:val="Kommentartext"/>
    <w:rsid w:val="00D65B27"/>
    <w:rPr>
      <w:rFonts w:ascii="Arial" w:hAnsi="Arial"/>
      <w:lang w:eastAsia="de-DE"/>
    </w:rPr>
  </w:style>
  <w:style w:type="paragraph" w:styleId="Kommentarthema">
    <w:name w:val="annotation subject"/>
    <w:basedOn w:val="Kommentartext"/>
    <w:next w:val="Kommentartext"/>
    <w:link w:val="KommentarthemaZchn"/>
    <w:rsid w:val="00D65B27"/>
    <w:rPr>
      <w:b/>
      <w:bCs/>
    </w:rPr>
  </w:style>
  <w:style w:type="character" w:customStyle="1" w:styleId="KommentarthemaZchn">
    <w:name w:val="Kommentarthema Zchn"/>
    <w:basedOn w:val="KommentartextZchn"/>
    <w:link w:val="Kommentarthema"/>
    <w:rsid w:val="00D65B27"/>
    <w:rPr>
      <w:rFonts w:ascii="Arial" w:hAnsi="Arial"/>
      <w:b/>
      <w:bCs/>
      <w:lang w:eastAsia="de-DE"/>
    </w:rPr>
  </w:style>
  <w:style w:type="paragraph" w:styleId="Listenabsatz">
    <w:name w:val="List Paragraph"/>
    <w:basedOn w:val="Standard"/>
    <w:uiPriority w:val="34"/>
    <w:qFormat/>
    <w:rsid w:val="00C844DC"/>
    <w:pPr>
      <w:ind w:left="720"/>
      <w:contextualSpacing/>
    </w:pPr>
  </w:style>
  <w:style w:type="character" w:customStyle="1" w:styleId="KopfzeileZchn">
    <w:name w:val="Kopfzeile Zchn"/>
    <w:basedOn w:val="Absatz-Standardschriftart"/>
    <w:link w:val="Kopfzeile"/>
    <w:rsid w:val="00192465"/>
    <w:rPr>
      <w:rFonts w:ascii="Arial" w:hAnsi="Arial"/>
      <w:sz w:val="22"/>
      <w:lang w:eastAsia="de-DE"/>
    </w:rPr>
  </w:style>
  <w:style w:type="character" w:customStyle="1" w:styleId="highlight">
    <w:name w:val="highlight"/>
    <w:basedOn w:val="Absatz-Standardschriftart"/>
    <w:rsid w:val="00E64A04"/>
  </w:style>
  <w:style w:type="paragraph" w:customStyle="1" w:styleId="Default">
    <w:name w:val="Default"/>
    <w:rsid w:val="00665096"/>
    <w:pPr>
      <w:autoSpaceDE w:val="0"/>
      <w:autoSpaceDN w:val="0"/>
      <w:adjustRightInd w:val="0"/>
    </w:pPr>
    <w:rPr>
      <w:rFonts w:ascii="HelveticaNeueLT Pro 75 Bd" w:hAnsi="HelveticaNeueLT Pro 75 Bd" w:cs="HelveticaNeueLT Pro 75 Bd"/>
      <w:color w:val="000000"/>
      <w:sz w:val="24"/>
      <w:szCs w:val="24"/>
      <w:lang w:val="de-DE"/>
    </w:rPr>
  </w:style>
  <w:style w:type="character" w:customStyle="1" w:styleId="A1">
    <w:name w:val="A1"/>
    <w:uiPriority w:val="99"/>
    <w:rsid w:val="00E26DAD"/>
    <w:rPr>
      <w:rFonts w:cs="JansonText LT"/>
      <w:color w:val="000000"/>
      <w:sz w:val="19"/>
      <w:szCs w:val="19"/>
    </w:rPr>
  </w:style>
  <w:style w:type="character" w:customStyle="1" w:styleId="A2">
    <w:name w:val="A2"/>
    <w:uiPriority w:val="99"/>
    <w:rsid w:val="00E26DAD"/>
    <w:rPr>
      <w:rFonts w:cs="JansonText 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98025">
      <w:bodyDiv w:val="1"/>
      <w:marLeft w:val="0"/>
      <w:marRight w:val="0"/>
      <w:marTop w:val="0"/>
      <w:marBottom w:val="0"/>
      <w:divBdr>
        <w:top w:val="none" w:sz="0" w:space="0" w:color="auto"/>
        <w:left w:val="none" w:sz="0" w:space="0" w:color="auto"/>
        <w:bottom w:val="none" w:sz="0" w:space="0" w:color="auto"/>
        <w:right w:val="none" w:sz="0" w:space="0" w:color="auto"/>
      </w:divBdr>
    </w:div>
    <w:div w:id="162401981">
      <w:bodyDiv w:val="1"/>
      <w:marLeft w:val="0"/>
      <w:marRight w:val="0"/>
      <w:marTop w:val="0"/>
      <w:marBottom w:val="0"/>
      <w:divBdr>
        <w:top w:val="none" w:sz="0" w:space="0" w:color="auto"/>
        <w:left w:val="none" w:sz="0" w:space="0" w:color="auto"/>
        <w:bottom w:val="none" w:sz="0" w:space="0" w:color="auto"/>
        <w:right w:val="none" w:sz="0" w:space="0" w:color="auto"/>
      </w:divBdr>
    </w:div>
    <w:div w:id="170805158">
      <w:bodyDiv w:val="1"/>
      <w:marLeft w:val="0"/>
      <w:marRight w:val="0"/>
      <w:marTop w:val="0"/>
      <w:marBottom w:val="0"/>
      <w:divBdr>
        <w:top w:val="none" w:sz="0" w:space="0" w:color="auto"/>
        <w:left w:val="none" w:sz="0" w:space="0" w:color="auto"/>
        <w:bottom w:val="none" w:sz="0" w:space="0" w:color="auto"/>
        <w:right w:val="none" w:sz="0" w:space="0" w:color="auto"/>
      </w:divBdr>
    </w:div>
    <w:div w:id="252473855">
      <w:bodyDiv w:val="1"/>
      <w:marLeft w:val="0"/>
      <w:marRight w:val="0"/>
      <w:marTop w:val="0"/>
      <w:marBottom w:val="0"/>
      <w:divBdr>
        <w:top w:val="none" w:sz="0" w:space="0" w:color="auto"/>
        <w:left w:val="none" w:sz="0" w:space="0" w:color="auto"/>
        <w:bottom w:val="none" w:sz="0" w:space="0" w:color="auto"/>
        <w:right w:val="none" w:sz="0" w:space="0" w:color="auto"/>
      </w:divBdr>
    </w:div>
    <w:div w:id="301815895">
      <w:bodyDiv w:val="1"/>
      <w:marLeft w:val="0"/>
      <w:marRight w:val="0"/>
      <w:marTop w:val="0"/>
      <w:marBottom w:val="0"/>
      <w:divBdr>
        <w:top w:val="none" w:sz="0" w:space="0" w:color="auto"/>
        <w:left w:val="none" w:sz="0" w:space="0" w:color="auto"/>
        <w:bottom w:val="none" w:sz="0" w:space="0" w:color="auto"/>
        <w:right w:val="none" w:sz="0" w:space="0" w:color="auto"/>
      </w:divBdr>
    </w:div>
    <w:div w:id="379979049">
      <w:bodyDiv w:val="1"/>
      <w:marLeft w:val="0"/>
      <w:marRight w:val="0"/>
      <w:marTop w:val="0"/>
      <w:marBottom w:val="0"/>
      <w:divBdr>
        <w:top w:val="none" w:sz="0" w:space="0" w:color="auto"/>
        <w:left w:val="none" w:sz="0" w:space="0" w:color="auto"/>
        <w:bottom w:val="none" w:sz="0" w:space="0" w:color="auto"/>
        <w:right w:val="none" w:sz="0" w:space="0" w:color="auto"/>
      </w:divBdr>
    </w:div>
    <w:div w:id="380324870">
      <w:bodyDiv w:val="1"/>
      <w:marLeft w:val="0"/>
      <w:marRight w:val="0"/>
      <w:marTop w:val="0"/>
      <w:marBottom w:val="0"/>
      <w:divBdr>
        <w:top w:val="none" w:sz="0" w:space="0" w:color="auto"/>
        <w:left w:val="none" w:sz="0" w:space="0" w:color="auto"/>
        <w:bottom w:val="none" w:sz="0" w:space="0" w:color="auto"/>
        <w:right w:val="none" w:sz="0" w:space="0" w:color="auto"/>
      </w:divBdr>
    </w:div>
    <w:div w:id="440416782">
      <w:bodyDiv w:val="1"/>
      <w:marLeft w:val="0"/>
      <w:marRight w:val="0"/>
      <w:marTop w:val="0"/>
      <w:marBottom w:val="0"/>
      <w:divBdr>
        <w:top w:val="none" w:sz="0" w:space="0" w:color="auto"/>
        <w:left w:val="none" w:sz="0" w:space="0" w:color="auto"/>
        <w:bottom w:val="none" w:sz="0" w:space="0" w:color="auto"/>
        <w:right w:val="none" w:sz="0" w:space="0" w:color="auto"/>
      </w:divBdr>
    </w:div>
    <w:div w:id="563031763">
      <w:bodyDiv w:val="1"/>
      <w:marLeft w:val="0"/>
      <w:marRight w:val="0"/>
      <w:marTop w:val="0"/>
      <w:marBottom w:val="0"/>
      <w:divBdr>
        <w:top w:val="none" w:sz="0" w:space="0" w:color="auto"/>
        <w:left w:val="none" w:sz="0" w:space="0" w:color="auto"/>
        <w:bottom w:val="none" w:sz="0" w:space="0" w:color="auto"/>
        <w:right w:val="none" w:sz="0" w:space="0" w:color="auto"/>
      </w:divBdr>
    </w:div>
    <w:div w:id="576747140">
      <w:bodyDiv w:val="1"/>
      <w:marLeft w:val="0"/>
      <w:marRight w:val="0"/>
      <w:marTop w:val="0"/>
      <w:marBottom w:val="0"/>
      <w:divBdr>
        <w:top w:val="none" w:sz="0" w:space="0" w:color="auto"/>
        <w:left w:val="none" w:sz="0" w:space="0" w:color="auto"/>
        <w:bottom w:val="none" w:sz="0" w:space="0" w:color="auto"/>
        <w:right w:val="none" w:sz="0" w:space="0" w:color="auto"/>
      </w:divBdr>
    </w:div>
    <w:div w:id="628584786">
      <w:bodyDiv w:val="1"/>
      <w:marLeft w:val="0"/>
      <w:marRight w:val="0"/>
      <w:marTop w:val="0"/>
      <w:marBottom w:val="0"/>
      <w:divBdr>
        <w:top w:val="none" w:sz="0" w:space="0" w:color="auto"/>
        <w:left w:val="none" w:sz="0" w:space="0" w:color="auto"/>
        <w:bottom w:val="none" w:sz="0" w:space="0" w:color="auto"/>
        <w:right w:val="none" w:sz="0" w:space="0" w:color="auto"/>
      </w:divBdr>
      <w:divsChild>
        <w:div w:id="842163945">
          <w:marLeft w:val="0"/>
          <w:marRight w:val="0"/>
          <w:marTop w:val="120"/>
          <w:marBottom w:val="120"/>
          <w:divBdr>
            <w:top w:val="none" w:sz="0" w:space="0" w:color="auto"/>
            <w:left w:val="none" w:sz="0" w:space="0" w:color="auto"/>
            <w:bottom w:val="none" w:sz="0" w:space="0" w:color="auto"/>
            <w:right w:val="none" w:sz="0" w:space="0" w:color="auto"/>
          </w:divBdr>
          <w:divsChild>
            <w:div w:id="1776710522">
              <w:marLeft w:val="0"/>
              <w:marRight w:val="0"/>
              <w:marTop w:val="0"/>
              <w:marBottom w:val="0"/>
              <w:divBdr>
                <w:top w:val="none" w:sz="0" w:space="0" w:color="auto"/>
                <w:left w:val="none" w:sz="0" w:space="0" w:color="auto"/>
                <w:bottom w:val="none" w:sz="0" w:space="0" w:color="auto"/>
                <w:right w:val="none" w:sz="0" w:space="0" w:color="auto"/>
              </w:divBdr>
              <w:divsChild>
                <w:div w:id="1138839473">
                  <w:marLeft w:val="240"/>
                  <w:marRight w:val="0"/>
                  <w:marTop w:val="0"/>
                  <w:marBottom w:val="0"/>
                  <w:divBdr>
                    <w:top w:val="none" w:sz="0" w:space="0" w:color="auto"/>
                    <w:left w:val="none" w:sz="0" w:space="0" w:color="auto"/>
                    <w:bottom w:val="none" w:sz="0" w:space="0" w:color="auto"/>
                    <w:right w:val="none" w:sz="0" w:space="0" w:color="auto"/>
                  </w:divBdr>
                  <w:divsChild>
                    <w:div w:id="2094235141">
                      <w:marLeft w:val="0"/>
                      <w:marRight w:val="0"/>
                      <w:marTop w:val="0"/>
                      <w:marBottom w:val="0"/>
                      <w:divBdr>
                        <w:top w:val="none" w:sz="0" w:space="0" w:color="auto"/>
                        <w:left w:val="none" w:sz="0" w:space="0" w:color="auto"/>
                        <w:bottom w:val="none" w:sz="0" w:space="0" w:color="auto"/>
                        <w:right w:val="none" w:sz="0" w:space="0" w:color="auto"/>
                      </w:divBdr>
                      <w:divsChild>
                        <w:div w:id="550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959097">
      <w:bodyDiv w:val="1"/>
      <w:marLeft w:val="0"/>
      <w:marRight w:val="0"/>
      <w:marTop w:val="0"/>
      <w:marBottom w:val="0"/>
      <w:divBdr>
        <w:top w:val="none" w:sz="0" w:space="0" w:color="auto"/>
        <w:left w:val="none" w:sz="0" w:space="0" w:color="auto"/>
        <w:bottom w:val="none" w:sz="0" w:space="0" w:color="auto"/>
        <w:right w:val="none" w:sz="0" w:space="0" w:color="auto"/>
      </w:divBdr>
    </w:div>
    <w:div w:id="857424933">
      <w:bodyDiv w:val="1"/>
      <w:marLeft w:val="0"/>
      <w:marRight w:val="0"/>
      <w:marTop w:val="0"/>
      <w:marBottom w:val="0"/>
      <w:divBdr>
        <w:top w:val="none" w:sz="0" w:space="0" w:color="auto"/>
        <w:left w:val="none" w:sz="0" w:space="0" w:color="auto"/>
        <w:bottom w:val="none" w:sz="0" w:space="0" w:color="auto"/>
        <w:right w:val="none" w:sz="0" w:space="0" w:color="auto"/>
      </w:divBdr>
    </w:div>
    <w:div w:id="905648546">
      <w:bodyDiv w:val="1"/>
      <w:marLeft w:val="0"/>
      <w:marRight w:val="0"/>
      <w:marTop w:val="0"/>
      <w:marBottom w:val="0"/>
      <w:divBdr>
        <w:top w:val="none" w:sz="0" w:space="0" w:color="auto"/>
        <w:left w:val="none" w:sz="0" w:space="0" w:color="auto"/>
        <w:bottom w:val="none" w:sz="0" w:space="0" w:color="auto"/>
        <w:right w:val="none" w:sz="0" w:space="0" w:color="auto"/>
      </w:divBdr>
    </w:div>
    <w:div w:id="924386193">
      <w:bodyDiv w:val="1"/>
      <w:marLeft w:val="0"/>
      <w:marRight w:val="0"/>
      <w:marTop w:val="0"/>
      <w:marBottom w:val="0"/>
      <w:divBdr>
        <w:top w:val="none" w:sz="0" w:space="0" w:color="auto"/>
        <w:left w:val="none" w:sz="0" w:space="0" w:color="auto"/>
        <w:bottom w:val="none" w:sz="0" w:space="0" w:color="auto"/>
        <w:right w:val="none" w:sz="0" w:space="0" w:color="auto"/>
      </w:divBdr>
    </w:div>
    <w:div w:id="956760354">
      <w:bodyDiv w:val="1"/>
      <w:marLeft w:val="0"/>
      <w:marRight w:val="0"/>
      <w:marTop w:val="0"/>
      <w:marBottom w:val="0"/>
      <w:divBdr>
        <w:top w:val="none" w:sz="0" w:space="0" w:color="auto"/>
        <w:left w:val="none" w:sz="0" w:space="0" w:color="auto"/>
        <w:bottom w:val="none" w:sz="0" w:space="0" w:color="auto"/>
        <w:right w:val="none" w:sz="0" w:space="0" w:color="auto"/>
      </w:divBdr>
    </w:div>
    <w:div w:id="999625904">
      <w:bodyDiv w:val="1"/>
      <w:marLeft w:val="0"/>
      <w:marRight w:val="0"/>
      <w:marTop w:val="0"/>
      <w:marBottom w:val="0"/>
      <w:divBdr>
        <w:top w:val="none" w:sz="0" w:space="0" w:color="auto"/>
        <w:left w:val="none" w:sz="0" w:space="0" w:color="auto"/>
        <w:bottom w:val="none" w:sz="0" w:space="0" w:color="auto"/>
        <w:right w:val="none" w:sz="0" w:space="0" w:color="auto"/>
      </w:divBdr>
    </w:div>
    <w:div w:id="1049308795">
      <w:bodyDiv w:val="1"/>
      <w:marLeft w:val="0"/>
      <w:marRight w:val="0"/>
      <w:marTop w:val="0"/>
      <w:marBottom w:val="0"/>
      <w:divBdr>
        <w:top w:val="none" w:sz="0" w:space="0" w:color="auto"/>
        <w:left w:val="none" w:sz="0" w:space="0" w:color="auto"/>
        <w:bottom w:val="none" w:sz="0" w:space="0" w:color="auto"/>
        <w:right w:val="none" w:sz="0" w:space="0" w:color="auto"/>
      </w:divBdr>
    </w:div>
    <w:div w:id="1229419558">
      <w:bodyDiv w:val="1"/>
      <w:marLeft w:val="0"/>
      <w:marRight w:val="0"/>
      <w:marTop w:val="0"/>
      <w:marBottom w:val="0"/>
      <w:divBdr>
        <w:top w:val="none" w:sz="0" w:space="0" w:color="auto"/>
        <w:left w:val="none" w:sz="0" w:space="0" w:color="auto"/>
        <w:bottom w:val="none" w:sz="0" w:space="0" w:color="auto"/>
        <w:right w:val="none" w:sz="0" w:space="0" w:color="auto"/>
      </w:divBdr>
    </w:div>
    <w:div w:id="1239290090">
      <w:bodyDiv w:val="1"/>
      <w:marLeft w:val="0"/>
      <w:marRight w:val="0"/>
      <w:marTop w:val="0"/>
      <w:marBottom w:val="0"/>
      <w:divBdr>
        <w:top w:val="none" w:sz="0" w:space="0" w:color="auto"/>
        <w:left w:val="none" w:sz="0" w:space="0" w:color="auto"/>
        <w:bottom w:val="none" w:sz="0" w:space="0" w:color="auto"/>
        <w:right w:val="none" w:sz="0" w:space="0" w:color="auto"/>
      </w:divBdr>
    </w:div>
    <w:div w:id="1260673814">
      <w:bodyDiv w:val="1"/>
      <w:marLeft w:val="0"/>
      <w:marRight w:val="0"/>
      <w:marTop w:val="0"/>
      <w:marBottom w:val="0"/>
      <w:divBdr>
        <w:top w:val="none" w:sz="0" w:space="0" w:color="auto"/>
        <w:left w:val="none" w:sz="0" w:space="0" w:color="auto"/>
        <w:bottom w:val="none" w:sz="0" w:space="0" w:color="auto"/>
        <w:right w:val="none" w:sz="0" w:space="0" w:color="auto"/>
      </w:divBdr>
    </w:div>
    <w:div w:id="1357122314">
      <w:bodyDiv w:val="1"/>
      <w:marLeft w:val="0"/>
      <w:marRight w:val="0"/>
      <w:marTop w:val="0"/>
      <w:marBottom w:val="0"/>
      <w:divBdr>
        <w:top w:val="none" w:sz="0" w:space="0" w:color="auto"/>
        <w:left w:val="none" w:sz="0" w:space="0" w:color="auto"/>
        <w:bottom w:val="none" w:sz="0" w:space="0" w:color="auto"/>
        <w:right w:val="none" w:sz="0" w:space="0" w:color="auto"/>
      </w:divBdr>
    </w:div>
    <w:div w:id="1504935455">
      <w:bodyDiv w:val="1"/>
      <w:marLeft w:val="0"/>
      <w:marRight w:val="0"/>
      <w:marTop w:val="0"/>
      <w:marBottom w:val="0"/>
      <w:divBdr>
        <w:top w:val="none" w:sz="0" w:space="0" w:color="auto"/>
        <w:left w:val="none" w:sz="0" w:space="0" w:color="auto"/>
        <w:bottom w:val="none" w:sz="0" w:space="0" w:color="auto"/>
        <w:right w:val="none" w:sz="0" w:space="0" w:color="auto"/>
      </w:divBdr>
    </w:div>
    <w:div w:id="1507944139">
      <w:bodyDiv w:val="1"/>
      <w:marLeft w:val="0"/>
      <w:marRight w:val="0"/>
      <w:marTop w:val="0"/>
      <w:marBottom w:val="0"/>
      <w:divBdr>
        <w:top w:val="none" w:sz="0" w:space="0" w:color="auto"/>
        <w:left w:val="none" w:sz="0" w:space="0" w:color="auto"/>
        <w:bottom w:val="none" w:sz="0" w:space="0" w:color="auto"/>
        <w:right w:val="none" w:sz="0" w:space="0" w:color="auto"/>
      </w:divBdr>
      <w:divsChild>
        <w:div w:id="967662497">
          <w:marLeft w:val="0"/>
          <w:marRight w:val="0"/>
          <w:marTop w:val="0"/>
          <w:marBottom w:val="0"/>
          <w:divBdr>
            <w:top w:val="none" w:sz="0" w:space="0" w:color="auto"/>
            <w:left w:val="none" w:sz="0" w:space="0" w:color="auto"/>
            <w:bottom w:val="none" w:sz="0" w:space="0" w:color="auto"/>
            <w:right w:val="none" w:sz="0" w:space="0" w:color="auto"/>
          </w:divBdr>
          <w:divsChild>
            <w:div w:id="2144273380">
              <w:marLeft w:val="0"/>
              <w:marRight w:val="0"/>
              <w:marTop w:val="0"/>
              <w:marBottom w:val="0"/>
              <w:divBdr>
                <w:top w:val="none" w:sz="0" w:space="0" w:color="auto"/>
                <w:left w:val="none" w:sz="0" w:space="0" w:color="auto"/>
                <w:bottom w:val="none" w:sz="0" w:space="0" w:color="auto"/>
                <w:right w:val="none" w:sz="0" w:space="0" w:color="auto"/>
              </w:divBdr>
              <w:divsChild>
                <w:div w:id="1277636421">
                  <w:marLeft w:val="0"/>
                  <w:marRight w:val="0"/>
                  <w:marTop w:val="0"/>
                  <w:marBottom w:val="0"/>
                  <w:divBdr>
                    <w:top w:val="none" w:sz="0" w:space="0" w:color="auto"/>
                    <w:left w:val="none" w:sz="0" w:space="0" w:color="auto"/>
                    <w:bottom w:val="none" w:sz="0" w:space="0" w:color="auto"/>
                    <w:right w:val="none" w:sz="0" w:space="0" w:color="auto"/>
                  </w:divBdr>
                  <w:divsChild>
                    <w:div w:id="10753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148549">
      <w:bodyDiv w:val="1"/>
      <w:marLeft w:val="0"/>
      <w:marRight w:val="0"/>
      <w:marTop w:val="0"/>
      <w:marBottom w:val="0"/>
      <w:divBdr>
        <w:top w:val="none" w:sz="0" w:space="0" w:color="auto"/>
        <w:left w:val="none" w:sz="0" w:space="0" w:color="auto"/>
        <w:bottom w:val="none" w:sz="0" w:space="0" w:color="auto"/>
        <w:right w:val="none" w:sz="0" w:space="0" w:color="auto"/>
      </w:divBdr>
      <w:divsChild>
        <w:div w:id="1479419913">
          <w:marLeft w:val="0"/>
          <w:marRight w:val="1"/>
          <w:marTop w:val="0"/>
          <w:marBottom w:val="0"/>
          <w:divBdr>
            <w:top w:val="none" w:sz="0" w:space="0" w:color="auto"/>
            <w:left w:val="none" w:sz="0" w:space="0" w:color="auto"/>
            <w:bottom w:val="none" w:sz="0" w:space="0" w:color="auto"/>
            <w:right w:val="none" w:sz="0" w:space="0" w:color="auto"/>
          </w:divBdr>
          <w:divsChild>
            <w:div w:id="1344358224">
              <w:marLeft w:val="0"/>
              <w:marRight w:val="0"/>
              <w:marTop w:val="0"/>
              <w:marBottom w:val="0"/>
              <w:divBdr>
                <w:top w:val="none" w:sz="0" w:space="0" w:color="auto"/>
                <w:left w:val="none" w:sz="0" w:space="0" w:color="auto"/>
                <w:bottom w:val="none" w:sz="0" w:space="0" w:color="auto"/>
                <w:right w:val="none" w:sz="0" w:space="0" w:color="auto"/>
              </w:divBdr>
              <w:divsChild>
                <w:div w:id="2039892569">
                  <w:marLeft w:val="0"/>
                  <w:marRight w:val="1"/>
                  <w:marTop w:val="0"/>
                  <w:marBottom w:val="0"/>
                  <w:divBdr>
                    <w:top w:val="none" w:sz="0" w:space="0" w:color="auto"/>
                    <w:left w:val="none" w:sz="0" w:space="0" w:color="auto"/>
                    <w:bottom w:val="none" w:sz="0" w:space="0" w:color="auto"/>
                    <w:right w:val="none" w:sz="0" w:space="0" w:color="auto"/>
                  </w:divBdr>
                  <w:divsChild>
                    <w:div w:id="824783945">
                      <w:marLeft w:val="0"/>
                      <w:marRight w:val="0"/>
                      <w:marTop w:val="0"/>
                      <w:marBottom w:val="0"/>
                      <w:divBdr>
                        <w:top w:val="none" w:sz="0" w:space="0" w:color="auto"/>
                        <w:left w:val="none" w:sz="0" w:space="0" w:color="auto"/>
                        <w:bottom w:val="none" w:sz="0" w:space="0" w:color="auto"/>
                        <w:right w:val="none" w:sz="0" w:space="0" w:color="auto"/>
                      </w:divBdr>
                      <w:divsChild>
                        <w:div w:id="1345550900">
                          <w:marLeft w:val="0"/>
                          <w:marRight w:val="0"/>
                          <w:marTop w:val="0"/>
                          <w:marBottom w:val="0"/>
                          <w:divBdr>
                            <w:top w:val="none" w:sz="0" w:space="0" w:color="auto"/>
                            <w:left w:val="none" w:sz="0" w:space="0" w:color="auto"/>
                            <w:bottom w:val="none" w:sz="0" w:space="0" w:color="auto"/>
                            <w:right w:val="none" w:sz="0" w:space="0" w:color="auto"/>
                          </w:divBdr>
                          <w:divsChild>
                            <w:div w:id="1776558408">
                              <w:marLeft w:val="0"/>
                              <w:marRight w:val="0"/>
                              <w:marTop w:val="0"/>
                              <w:marBottom w:val="0"/>
                              <w:divBdr>
                                <w:top w:val="none" w:sz="0" w:space="0" w:color="auto"/>
                                <w:left w:val="none" w:sz="0" w:space="0" w:color="auto"/>
                                <w:bottom w:val="none" w:sz="0" w:space="0" w:color="auto"/>
                                <w:right w:val="none" w:sz="0" w:space="0" w:color="auto"/>
                              </w:divBdr>
                            </w:div>
                          </w:divsChild>
                        </w:div>
                        <w:div w:id="1741170955">
                          <w:marLeft w:val="0"/>
                          <w:marRight w:val="0"/>
                          <w:marTop w:val="0"/>
                          <w:marBottom w:val="0"/>
                          <w:divBdr>
                            <w:top w:val="none" w:sz="0" w:space="0" w:color="auto"/>
                            <w:left w:val="none" w:sz="0" w:space="0" w:color="auto"/>
                            <w:bottom w:val="none" w:sz="0" w:space="0" w:color="auto"/>
                            <w:right w:val="none" w:sz="0" w:space="0" w:color="auto"/>
                          </w:divBdr>
                          <w:divsChild>
                            <w:div w:id="1013650649">
                              <w:marLeft w:val="0"/>
                              <w:marRight w:val="0"/>
                              <w:marTop w:val="120"/>
                              <w:marBottom w:val="360"/>
                              <w:divBdr>
                                <w:top w:val="none" w:sz="0" w:space="0" w:color="auto"/>
                                <w:left w:val="none" w:sz="0" w:space="0" w:color="auto"/>
                                <w:bottom w:val="none" w:sz="0" w:space="0" w:color="auto"/>
                                <w:right w:val="none" w:sz="0" w:space="0" w:color="auto"/>
                              </w:divBdr>
                              <w:divsChild>
                                <w:div w:id="11209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319649">
      <w:bodyDiv w:val="1"/>
      <w:marLeft w:val="0"/>
      <w:marRight w:val="0"/>
      <w:marTop w:val="0"/>
      <w:marBottom w:val="0"/>
      <w:divBdr>
        <w:top w:val="none" w:sz="0" w:space="0" w:color="auto"/>
        <w:left w:val="none" w:sz="0" w:space="0" w:color="auto"/>
        <w:bottom w:val="none" w:sz="0" w:space="0" w:color="auto"/>
        <w:right w:val="none" w:sz="0" w:space="0" w:color="auto"/>
      </w:divBdr>
    </w:div>
    <w:div w:id="203838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5.emf"/><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4.emf"/><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s://www.ncbi.nlm.nih.gov/pubmed/31143845" TargetMode="External"/><Relationship Id="rId40" Type="http://schemas.openxmlformats.org/officeDocument/2006/relationships/image" Target="media/image26.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girschi\Lokale%20Einstellungen\Temporary%20Internet%20Files\Content.MSO\9C2BD19E.tx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NeueLT Pro 75 Bd">
    <w:altName w:val="HelveticaNeueLT Pro 75 Bd"/>
    <w:panose1 w:val="00000000000000000000"/>
    <w:charset w:val="00"/>
    <w:family w:val="swiss"/>
    <w:notTrueType/>
    <w:pitch w:val="default"/>
    <w:sig w:usb0="00000003" w:usb1="00000000" w:usb2="00000000" w:usb3="00000000" w:csb0="00000001" w:csb1="00000000"/>
  </w:font>
  <w:font w:name="JansonText LT">
    <w:altName w:val="JansonText L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MT">
    <w:altName w:val="Times New Roman"/>
    <w:panose1 w:val="00000000000000000000"/>
    <w:charset w:val="A1"/>
    <w:family w:val="auto"/>
    <w:notTrueType/>
    <w:pitch w:val="default"/>
    <w:sig w:usb0="00000081" w:usb1="00000000" w:usb2="00000000" w:usb3="00000000" w:csb0="00000008" w:csb1="00000000"/>
  </w:font>
  <w:font w:name="AdvOT07517017">
    <w:altName w:val="MS Mincho"/>
    <w:panose1 w:val="00000000000000000000"/>
    <w:charset w:val="80"/>
    <w:family w:val="auto"/>
    <w:notTrueType/>
    <w:pitch w:val="default"/>
    <w:sig w:usb0="00000000" w:usb1="08070000" w:usb2="00000010" w:usb3="00000000" w:csb0="00020000" w:csb1="00000000"/>
  </w:font>
  <w:font w:name="AdvOT0d9ab1db.I">
    <w:panose1 w:val="00000000000000000000"/>
    <w:charset w:val="00"/>
    <w:family w:val="auto"/>
    <w:notTrueType/>
    <w:pitch w:val="default"/>
    <w:sig w:usb0="00000003" w:usb1="00000000" w:usb2="00000000" w:usb3="00000000" w:csb0="00000001" w:csb1="00000000"/>
  </w:font>
  <w:font w:name="PlantinStd">
    <w:panose1 w:val="00000000000000000000"/>
    <w:charset w:val="00"/>
    <w:family w:val="roman"/>
    <w:notTrueType/>
    <w:pitch w:val="default"/>
    <w:sig w:usb0="00000003" w:usb1="00000000" w:usb2="00000000" w:usb3="00000000" w:csb0="00000001" w:csb1="00000000"/>
  </w:font>
  <w:font w:name="PlantinStd-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C9385A"/>
    <w:rsid w:val="00074081"/>
    <w:rsid w:val="00146C27"/>
    <w:rsid w:val="002E20C9"/>
    <w:rsid w:val="003215B3"/>
    <w:rsid w:val="00335643"/>
    <w:rsid w:val="003A13AC"/>
    <w:rsid w:val="00553508"/>
    <w:rsid w:val="00715837"/>
    <w:rsid w:val="00741567"/>
    <w:rsid w:val="00796480"/>
    <w:rsid w:val="00833E62"/>
    <w:rsid w:val="00891E0F"/>
    <w:rsid w:val="00A81F1A"/>
    <w:rsid w:val="00C85071"/>
    <w:rsid w:val="00C9385A"/>
    <w:rsid w:val="00CB0CEA"/>
    <w:rsid w:val="00D707A7"/>
    <w:rsid w:val="00E6490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3F7E723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33E62"/>
    <w:rPr>
      <w:color w:val="808080"/>
    </w:rPr>
  </w:style>
  <w:style w:type="paragraph" w:customStyle="1" w:styleId="2051CD9AAA8D4651B2F1E88EC3F37254">
    <w:name w:val="2051CD9AAA8D4651B2F1E88EC3F37254"/>
    <w:rsid w:val="00833E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actionlink xmlns="http://schemas.microsoft.com/sharepoint/v3">https://ooeg.info/dokumente/_layouts/gespag.dfr/revise.aspx?IsDlg=1&amp;listID=18c45198-6fc7-4da6-aad9-951c94b71f4f&amp;itemID=41, revisionieren</dfr_actionlink>
    <dfr_prevdepartment xmlns="http://schemas.microsoft.com/sharepoint/v3" xsi:nil="true"/>
    <dfr_creator xmlns="http://schemas.microsoft.com/sharepoint/v3">
      <UserInfo>
        <DisplayName>Popper, Ulrich</DisplayName>
        <AccountId>34221</AccountId>
        <AccountType/>
      </UserInfo>
    </dfr_creator>
    <dfr_approvalid xmlns="http://schemas.microsoft.com/sharepoint/v3">9b247279-165f-43ce-83cb-849d17a9d027</dfr_approvalid>
    <dfr_taskinitializer xmlns="http://schemas.microsoft.com/sharepoint/v3">
      <UserInfo>
        <DisplayName>Pichler, Thomas</DisplayName>
        <AccountId>28327</AccountId>
        <AccountType/>
      </UserInfo>
    </dfr_taskinitializer>
    <dfr_finishedorgapprovers xmlns="http://schemas.microsoft.com/sharepoint/v3">
      <UserInfo>
        <DisplayName>Pichler, Thomas</DisplayName>
        <AccountId>28327</AccountId>
        <AccountType/>
      </UserInfo>
    </dfr_finishedorgapprovers>
    <dfr_contenttype xmlns="http://schemas.microsoft.com/sharepoint/v3">Leitlinie</dfr_contenttype>
    <dfr_taskid xmlns="http://schemas.microsoft.com/sharepoint/v3" xsi:nil="true"/>
    <dfr_orgunit xmlns="http://schemas.microsoft.com/sharepoint/v3">Tumorzentrum</dfr_orgunit>
    <dfr_taskowner xmlns="http://schemas.microsoft.com/sharepoint/v3">
      <UserInfo>
        <DisplayName/>
        <AccountId xsi:nil="true"/>
        <AccountType/>
      </UserInfo>
    </dfr_taskowner>
    <dfr_pendingtecapprovers xmlns="http://schemas.microsoft.com/sharepoint/v3">
      <UserInfo>
        <DisplayName/>
        <AccountId xsi:nil="true"/>
        <AccountType/>
      </UserInfo>
    </dfr_pendingtecapprovers>
    <dfr_archived xmlns="http://schemas.microsoft.com/sharepoint/v3" xsi:nil="true"/>
    <dfr_comments xmlns="http://schemas.microsoft.com/sharepoint/v3">09.06.2020 07:46:29 Pichler, Thomas (Initiator) : Freigabe der Revision Dr. Popper per Mail 09.06.2020
09.06.2020 07:46:48 Pichler, Thomas (Freigeber) : .
</dfr_comments>
    <dfr_lastnotification xmlns="http://schemas.microsoft.com/sharepoint/v3">2021-04-10T00:15:50+00:00</dfr_lastnotification>
    <dfr_lastrevision xmlns="http://schemas.microsoft.com/sharepoint/v3" xsi:nil="true"/>
    <dfr_finishedcheckers xmlns="http://schemas.microsoft.com/sharepoint/v3">
      <UserInfo>
        <DisplayName/>
        <AccountId xsi:nil="true"/>
        <AccountType/>
      </UserInfo>
    </dfr_finishedcheckers>
    <dfr_pendingcheckers xmlns="http://schemas.microsoft.com/sharepoint/v3">
      <UserInfo>
        <DisplayName/>
        <AccountId xsi:nil="true"/>
        <AccountType/>
      </UserInfo>
    </dfr_pendingcheckers>
    <dfr_headernote xmlns="http://schemas.microsoft.com/sharepoint/v3">Kein Vermerk</dfr_headernote>
    <dfr_nextrevision xmlns="http://schemas.microsoft.com/sharepoint/v3">2021-06-09T05:46:56+00:00</dfr_nextrevision>
    <dfr_pendingorgapprovers xmlns="http://schemas.microsoft.com/sharepoint/v3">
      <UserInfo>
        <DisplayName/>
        <AccountId xsi:nil="true"/>
        <AccountType/>
      </UserInfo>
    </dfr_pendingorgapprovers>
    <dfr_orgscope xmlns="http://schemas.microsoft.com/sharepoint/v3">
      <Value>Tumorzentrum</Value>
    </dfr_orgscope>
    <dfr_revision xmlns="http://schemas.microsoft.com/sharepoint/v3">0</dfr_revision>
    <dfr_department xmlns="http://schemas.microsoft.com/sharepoint/v3">Leitlinien solide Tumore</dfr_department>
    <dfr_taskownerresponsibility xmlns="http://schemas.microsoft.com/sharepoint/v3" xsi:nil="true"/>
    <dfr_publisheddate xmlns="http://schemas.microsoft.com/sharepoint/v3">2020-06-09T05:46:48+00:00</dfr_publisheddate>
    <customfield_majorversion xmlns="http://schemas.microsoft.com/sharepoint/v3" xsi:nil="true"/>
    <dfr_location xmlns="http://schemas.microsoft.com/sharepoint/v3">KH</dfr_location>
    <dfr_majorversion xmlns="18c45198-6fc7-4da6-aad9-951c94b71f4f">6.0</dfr_majorversion>
    <dfr_classification xmlns="18c45198-6fc7-4da6-aad9-951c94b71f4f">öffentlich</dfr_classification>
    <dfr_nextasknotification xmlns="18c45198-6fc7-4da6-aad9-951c94b71f4f" xsi:nil="true"/>
    <dfr_inforecipients xmlns="http://schemas.microsoft.com/sharepoint/v3">
      <UserInfo>
        <DisplayName/>
        <AccountId xsi:nil="true"/>
        <AccountType/>
      </UserInfo>
    </dfr_inforecipients>
    <dfr_infodistributionlist xmlns="http://schemas.microsoft.com/sharepoint/v3" xsi:nil="true"/>
    <TaxCatchAll xmlns="824990fe-55f0-45e8-a37e-05db7cf8aedc"/>
    <TaxKeywordTaxHTField xmlns="824990fe-55f0-45e8-a37e-05db7cf8aedc">
      <Terms xmlns="http://schemas.microsoft.com/office/infopath/2007/PartnerControls"/>
    </TaxKeywordTaxHTField>
    <dfr_defaultorgapprovers xmlns="http://schemas.microsoft.com/sharepoint/v3">
      <UserInfo>
        <DisplayName>Pichler, Thomas</DisplayName>
        <AccountId>28327</AccountId>
        <AccountType/>
      </UserInfo>
    </dfr_defaultorgapprovers>
    <dfr_defaultcheckers xmlns="http://schemas.microsoft.com/sharepoint/v3">
      <UserInfo>
        <DisplayName/>
        <AccountId xsi:nil="true"/>
        <AccountType/>
      </UserInfo>
    </dfr_defaultcheck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FE06A-E31F-40A7-8894-4B5B42C79A73}"/>
</file>

<file path=customXml/itemProps2.xml><?xml version="1.0" encoding="utf-8"?>
<ds:datastoreItem xmlns:ds="http://schemas.openxmlformats.org/officeDocument/2006/customXml" ds:itemID="{274BC783-A813-4297-99AD-9E9E8A1521E2}"/>
</file>

<file path=customXml/itemProps3.xml><?xml version="1.0" encoding="utf-8"?>
<ds:datastoreItem xmlns:ds="http://schemas.openxmlformats.org/officeDocument/2006/customXml" ds:itemID="{9C74C30B-C562-4C59-97EE-5124B27CE894}"/>
</file>

<file path=customXml/itemProps4.xml><?xml version="1.0" encoding="utf-8"?>
<ds:datastoreItem xmlns:ds="http://schemas.openxmlformats.org/officeDocument/2006/customXml" ds:itemID="{4A85F1DD-AB4D-45BC-A967-88F8452DCFBE}"/>
</file>

<file path=docProps/app.xml><?xml version="1.0" encoding="utf-8"?>
<Properties xmlns="http://schemas.openxmlformats.org/officeDocument/2006/extended-properties" xmlns:vt="http://schemas.openxmlformats.org/officeDocument/2006/docPropsVTypes">
  <Template>9C2BD19E</Template>
  <TotalTime>0</TotalTime>
  <Pages>26</Pages>
  <Words>6602</Words>
  <Characters>41595</Characters>
  <Application>Microsoft Office Word</Application>
  <DocSecurity>0</DocSecurity>
  <Lines>346</Lines>
  <Paragraphs>96</Paragraphs>
  <ScaleCrop>false</ScaleCrop>
  <HeadingPairs>
    <vt:vector size="2" baseType="variant">
      <vt:variant>
        <vt:lpstr>Titel</vt:lpstr>
      </vt:variant>
      <vt:variant>
        <vt:i4>1</vt:i4>
      </vt:variant>
    </vt:vector>
  </HeadingPairs>
  <TitlesOfParts>
    <vt:vector size="1" baseType="lpstr">
      <vt:lpstr>Gastrointestinale Stromatumore - GIST</vt:lpstr>
    </vt:vector>
  </TitlesOfParts>
  <Company>gespag</Company>
  <LinksUpToDate>false</LinksUpToDate>
  <CharactersWithSpaces>48101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Gastrointestinale Stromatumore - GIST</dc:title>
  <dc:creator>bhslint1</dc:creator>
  <cp:keywords/>
  <cp:lastModifiedBy>Pichler, Thomas</cp:lastModifiedBy>
  <cp:revision>5</cp:revision>
  <cp:lastPrinted>2014-11-04T10:37:00Z</cp:lastPrinted>
  <dcterms:created xsi:type="dcterms:W3CDTF">2020-05-25T11:58:00Z</dcterms:created>
  <dcterms:modified xsi:type="dcterms:W3CDTF">2020-06-08T12:15:00Z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Berufsgruppe">
    <vt:lpwstr>2;#</vt:lpwstr>
  </property>
  <property fmtid="{D5CDD505-2E9C-101B-9397-08002B2CF9AE}" pid="23" name="TaxKeyword">
    <vt:lpwstr/>
  </property>
</Properties>
</file>