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1D4CE" w14:textId="77777777" w:rsidR="00B6342E" w:rsidRPr="00B6342E" w:rsidRDefault="00B6342E" w:rsidP="00B6342E">
      <w:pPr>
        <w:pStyle w:val="Titel"/>
        <w:jc w:val="left"/>
        <w:rPr>
          <w:b/>
          <w:sz w:val="20"/>
        </w:rPr>
      </w:pPr>
    </w:p>
    <w:p w14:paraId="2FBDC5F8" w14:textId="77777777" w:rsidR="00B6342E" w:rsidRPr="00B6342E" w:rsidRDefault="00B6342E" w:rsidP="00B6342E">
      <w:pPr>
        <w:pStyle w:val="Titel"/>
        <w:jc w:val="left"/>
        <w:rPr>
          <w:b/>
          <w:sz w:val="20"/>
        </w:rPr>
      </w:pPr>
    </w:p>
    <w:p w14:paraId="1E607A7C" w14:textId="77777777" w:rsidR="00B6342E" w:rsidRPr="00B6342E" w:rsidRDefault="00B6342E" w:rsidP="00B6342E">
      <w:pPr>
        <w:pStyle w:val="Titel"/>
        <w:jc w:val="left"/>
        <w:rPr>
          <w:b/>
          <w:sz w:val="20"/>
        </w:rPr>
      </w:pPr>
    </w:p>
    <w:p w14:paraId="7647B425" w14:textId="77777777" w:rsidR="00B6342E" w:rsidRPr="00B6342E" w:rsidRDefault="00B6342E" w:rsidP="00B6342E">
      <w:pPr>
        <w:pStyle w:val="Titel"/>
        <w:jc w:val="left"/>
        <w:rPr>
          <w:b/>
          <w:sz w:val="20"/>
        </w:rPr>
      </w:pPr>
    </w:p>
    <w:p w14:paraId="37D6EC1F" w14:textId="77777777" w:rsidR="00B6342E" w:rsidRDefault="00B6342E" w:rsidP="00B6342E">
      <w:pPr>
        <w:pStyle w:val="Titel"/>
        <w:jc w:val="left"/>
        <w:rPr>
          <w:b/>
          <w:sz w:val="48"/>
          <w:szCs w:val="48"/>
        </w:rPr>
      </w:pPr>
    </w:p>
    <w:p w14:paraId="4B2D44B1" w14:textId="77777777" w:rsidR="00E67988" w:rsidRDefault="00E67988" w:rsidP="00B6342E">
      <w:pPr>
        <w:pStyle w:val="Titel"/>
        <w:jc w:val="left"/>
        <w:rPr>
          <w:b/>
          <w:sz w:val="48"/>
          <w:szCs w:val="48"/>
        </w:rPr>
      </w:pPr>
    </w:p>
    <w:p w14:paraId="22B11591" w14:textId="77777777" w:rsidR="00250E53" w:rsidRDefault="00250E53" w:rsidP="00B6342E">
      <w:pPr>
        <w:pStyle w:val="Titel"/>
        <w:jc w:val="left"/>
        <w:rPr>
          <w:b/>
          <w:sz w:val="48"/>
          <w:szCs w:val="48"/>
        </w:rPr>
      </w:pPr>
    </w:p>
    <w:p w14:paraId="7E95184A" w14:textId="77777777" w:rsidR="008A7324" w:rsidRPr="00E344D4" w:rsidRDefault="00820564"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A95F35">
            <w:rPr>
              <w:b/>
              <w:sz w:val="48"/>
              <w:szCs w:val="48"/>
              <w:lang w:val="de-AT"/>
            </w:rPr>
            <w:t>Colorektalkarzinom</w:t>
          </w:r>
        </w:sdtContent>
      </w:sdt>
    </w:p>
    <w:p w14:paraId="38D1CD10" w14:textId="77777777" w:rsidR="008A7324" w:rsidRPr="00B6342E" w:rsidRDefault="008A7324" w:rsidP="005E0058">
      <w:pPr>
        <w:pStyle w:val="Titel"/>
        <w:ind w:left="-56"/>
        <w:jc w:val="left"/>
        <w:rPr>
          <w:sz w:val="28"/>
          <w:szCs w:val="28"/>
        </w:rPr>
      </w:pPr>
    </w:p>
    <w:p w14:paraId="63B4B427" w14:textId="77777777" w:rsidR="005163F4" w:rsidRDefault="005163F4" w:rsidP="00B6342E">
      <w:pPr>
        <w:tabs>
          <w:tab w:val="left" w:pos="1418"/>
        </w:tabs>
        <w:spacing w:line="276" w:lineRule="auto"/>
        <w:jc w:val="both"/>
        <w:rPr>
          <w:rFonts w:cs="Arial"/>
          <w:sz w:val="28"/>
          <w:szCs w:val="28"/>
        </w:rPr>
      </w:pPr>
    </w:p>
    <w:p w14:paraId="2670381A" w14:textId="77777777" w:rsidR="00B6342E" w:rsidRDefault="00B6342E" w:rsidP="00B6342E">
      <w:pPr>
        <w:tabs>
          <w:tab w:val="left" w:pos="1418"/>
        </w:tabs>
        <w:spacing w:line="276" w:lineRule="auto"/>
        <w:jc w:val="both"/>
        <w:rPr>
          <w:rFonts w:cs="Arial"/>
          <w:sz w:val="28"/>
          <w:szCs w:val="28"/>
        </w:rPr>
      </w:pPr>
    </w:p>
    <w:p w14:paraId="3A25018E"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38B982B2" w14:textId="77777777" w:rsidR="00B6342E" w:rsidRDefault="00B6342E" w:rsidP="00B6342E">
      <w:pPr>
        <w:tabs>
          <w:tab w:val="left" w:pos="1418"/>
        </w:tabs>
        <w:spacing w:line="276" w:lineRule="auto"/>
        <w:jc w:val="both"/>
        <w:rPr>
          <w:rFonts w:cs="Arial"/>
          <w:sz w:val="28"/>
          <w:szCs w:val="28"/>
        </w:rPr>
      </w:pPr>
    </w:p>
    <w:p w14:paraId="3FD7C5E6" w14:textId="77777777" w:rsidR="00B6342E" w:rsidRDefault="00B6342E" w:rsidP="00B6342E">
      <w:pPr>
        <w:tabs>
          <w:tab w:val="left" w:pos="1418"/>
        </w:tabs>
        <w:spacing w:line="276" w:lineRule="auto"/>
        <w:jc w:val="both"/>
        <w:rPr>
          <w:rFonts w:cs="Arial"/>
          <w:sz w:val="28"/>
          <w:szCs w:val="28"/>
        </w:rPr>
      </w:pPr>
    </w:p>
    <w:p w14:paraId="53CFDD39" w14:textId="77777777" w:rsidR="00B6342E" w:rsidRDefault="00B6342E" w:rsidP="00B6342E">
      <w:pPr>
        <w:tabs>
          <w:tab w:val="left" w:pos="1418"/>
        </w:tabs>
        <w:spacing w:line="276" w:lineRule="auto"/>
        <w:jc w:val="both"/>
        <w:rPr>
          <w:rFonts w:cs="Arial"/>
          <w:sz w:val="28"/>
          <w:szCs w:val="28"/>
        </w:rPr>
      </w:pPr>
    </w:p>
    <w:p w14:paraId="6866B749" w14:textId="77777777" w:rsidR="005163F4" w:rsidRDefault="005163F4" w:rsidP="00B6342E">
      <w:pPr>
        <w:tabs>
          <w:tab w:val="left" w:pos="1418"/>
        </w:tabs>
        <w:spacing w:line="276" w:lineRule="auto"/>
        <w:jc w:val="both"/>
        <w:rPr>
          <w:rFonts w:cs="Arial"/>
          <w:sz w:val="28"/>
          <w:szCs w:val="28"/>
        </w:rPr>
      </w:pPr>
    </w:p>
    <w:p w14:paraId="479254B8" w14:textId="77777777" w:rsidR="005163F4" w:rsidRDefault="005163F4" w:rsidP="00B6342E">
      <w:pPr>
        <w:tabs>
          <w:tab w:val="left" w:pos="1418"/>
        </w:tabs>
        <w:spacing w:line="276" w:lineRule="auto"/>
        <w:jc w:val="both"/>
        <w:rPr>
          <w:rFonts w:cs="Arial"/>
          <w:sz w:val="28"/>
          <w:szCs w:val="28"/>
        </w:rPr>
      </w:pPr>
    </w:p>
    <w:p w14:paraId="53C8F195"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A95F35" w14:paraId="61E4BB30" w14:textId="77777777" w:rsidTr="0095092F">
        <w:trPr>
          <w:trHeight w:val="567"/>
        </w:trPr>
        <w:tc>
          <w:tcPr>
            <w:tcW w:w="2744" w:type="dxa"/>
            <w:vAlign w:val="center"/>
          </w:tcPr>
          <w:p w14:paraId="5EE8B9B1"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2128AFF7" w14:textId="77777777" w:rsidR="00B35F99" w:rsidRDefault="00A95F35" w:rsidP="00A95F35">
            <w:pPr>
              <w:spacing w:line="276" w:lineRule="auto"/>
              <w:jc w:val="left"/>
              <w:rPr>
                <w:rFonts w:asciiTheme="minorHAnsi" w:hAnsiTheme="minorHAnsi" w:cstheme="minorHAnsi"/>
              </w:rPr>
            </w:pPr>
            <w:r>
              <w:rPr>
                <w:rFonts w:asciiTheme="minorHAnsi" w:hAnsiTheme="minorHAnsi" w:cstheme="minorHAnsi"/>
              </w:rPr>
              <w:t>OA Dr. Michael Schiffer (</w:t>
            </w:r>
            <w:r w:rsidR="007C6560">
              <w:rPr>
                <w:rFonts w:asciiTheme="minorHAnsi" w:hAnsiTheme="minorHAnsi" w:cstheme="minorHAnsi"/>
              </w:rPr>
              <w:t>SK</w:t>
            </w:r>
            <w:r>
              <w:rPr>
                <w:rFonts w:asciiTheme="minorHAnsi" w:hAnsiTheme="minorHAnsi" w:cstheme="minorHAnsi"/>
              </w:rPr>
              <w:t>);</w:t>
            </w:r>
            <w:r w:rsidR="00B35F99">
              <w:rPr>
                <w:rFonts w:asciiTheme="minorHAnsi" w:hAnsiTheme="minorHAnsi" w:cstheme="minorHAnsi"/>
              </w:rPr>
              <w:t xml:space="preserve"> </w:t>
            </w:r>
            <w:r w:rsidR="00564EAE">
              <w:rPr>
                <w:rFonts w:asciiTheme="minorHAnsi" w:hAnsiTheme="minorHAnsi" w:cstheme="minorHAnsi"/>
              </w:rPr>
              <w:t xml:space="preserve">PD </w:t>
            </w:r>
            <w:r w:rsidR="00B35F99">
              <w:rPr>
                <w:rFonts w:asciiTheme="minorHAnsi" w:hAnsiTheme="minorHAnsi" w:cstheme="minorHAnsi"/>
              </w:rPr>
              <w:t>Dr. Holger Rumpold (OKL)</w:t>
            </w:r>
            <w:r w:rsidR="00F802B1">
              <w:rPr>
                <w:rFonts w:asciiTheme="minorHAnsi" w:hAnsiTheme="minorHAnsi" w:cstheme="minorHAnsi"/>
              </w:rPr>
              <w:t>;</w:t>
            </w:r>
          </w:p>
          <w:p w14:paraId="30F36974" w14:textId="77777777" w:rsidR="00B35F99" w:rsidRDefault="00564EAE" w:rsidP="00A95F35">
            <w:pPr>
              <w:spacing w:line="276" w:lineRule="auto"/>
              <w:jc w:val="left"/>
              <w:rPr>
                <w:rFonts w:asciiTheme="minorHAnsi" w:hAnsiTheme="minorHAnsi" w:cstheme="minorHAnsi"/>
              </w:rPr>
            </w:pPr>
            <w:r>
              <w:rPr>
                <w:rFonts w:asciiTheme="minorHAnsi" w:hAnsiTheme="minorHAnsi" w:cstheme="minorHAnsi"/>
              </w:rPr>
              <w:t>Prim.</w:t>
            </w:r>
            <w:r w:rsidR="00573F07" w:rsidRPr="00573F07">
              <w:rPr>
                <w:rFonts w:asciiTheme="minorHAnsi" w:hAnsiTheme="minorHAnsi" w:cstheme="minorHAnsi"/>
              </w:rPr>
              <w:t xml:space="preserve"> Dr. Bernhard Furtmüller (</w:t>
            </w:r>
            <w:r>
              <w:rPr>
                <w:rFonts w:asciiTheme="minorHAnsi" w:hAnsiTheme="minorHAnsi" w:cstheme="minorHAnsi"/>
              </w:rPr>
              <w:t>RI</w:t>
            </w:r>
            <w:r w:rsidR="00573F07" w:rsidRPr="00573F07">
              <w:rPr>
                <w:rFonts w:asciiTheme="minorHAnsi" w:hAnsiTheme="minorHAnsi" w:cstheme="minorHAnsi"/>
              </w:rPr>
              <w:t xml:space="preserve">); </w:t>
            </w:r>
            <w:r w:rsidR="008C6250" w:rsidRPr="008C6250">
              <w:rPr>
                <w:rFonts w:asciiTheme="minorHAnsi" w:hAnsiTheme="minorHAnsi" w:cstheme="minorHAnsi"/>
              </w:rPr>
              <w:t>OA Dr. Helwig Wundsam (OKL);</w:t>
            </w:r>
          </w:p>
          <w:p w14:paraId="05214F00" w14:textId="77777777" w:rsidR="00E569BD" w:rsidRDefault="00067BBF" w:rsidP="00A95F35">
            <w:pPr>
              <w:spacing w:line="276" w:lineRule="auto"/>
              <w:jc w:val="left"/>
              <w:rPr>
                <w:rFonts w:asciiTheme="minorHAnsi" w:hAnsiTheme="minorHAnsi" w:cstheme="minorHAnsi"/>
              </w:rPr>
            </w:pPr>
            <w:r>
              <w:rPr>
                <w:rFonts w:asciiTheme="minorHAnsi" w:hAnsiTheme="minorHAnsi" w:cstheme="minorHAnsi"/>
              </w:rPr>
              <w:t>OA Dr. Peter Adelsgruber (RI);</w:t>
            </w:r>
            <w:r w:rsidR="00B35F99">
              <w:rPr>
                <w:rFonts w:asciiTheme="minorHAnsi" w:hAnsiTheme="minorHAnsi" w:cstheme="minorHAnsi"/>
              </w:rPr>
              <w:t xml:space="preserve"> OA Dr. Clemens Venhoda (OKL)</w:t>
            </w:r>
            <w:r w:rsidR="00F802B1">
              <w:rPr>
                <w:rFonts w:asciiTheme="minorHAnsi" w:hAnsiTheme="minorHAnsi" w:cstheme="minorHAnsi"/>
              </w:rPr>
              <w:t>;</w:t>
            </w:r>
          </w:p>
          <w:p w14:paraId="69E06DE4" w14:textId="77777777" w:rsidR="002E7743" w:rsidRPr="00A95F35" w:rsidRDefault="007C6560" w:rsidP="008C6250">
            <w:pPr>
              <w:spacing w:line="276" w:lineRule="auto"/>
              <w:jc w:val="left"/>
              <w:rPr>
                <w:rFonts w:asciiTheme="minorHAnsi" w:hAnsiTheme="minorHAnsi" w:cstheme="minorHAnsi"/>
              </w:rPr>
            </w:pPr>
            <w:r>
              <w:rPr>
                <w:rFonts w:asciiTheme="minorHAnsi" w:hAnsiTheme="minorHAnsi" w:cstheme="minorHAnsi"/>
              </w:rPr>
              <w:t>Prim.</w:t>
            </w:r>
            <w:r w:rsidR="00A95F35">
              <w:rPr>
                <w:rFonts w:asciiTheme="minorHAnsi" w:hAnsiTheme="minorHAnsi" w:cstheme="minorHAnsi"/>
              </w:rPr>
              <w:t xml:space="preserve"> Dr. Gernot Böhm (</w:t>
            </w:r>
            <w:r w:rsidR="00921E05">
              <w:rPr>
                <w:rFonts w:asciiTheme="minorHAnsi" w:hAnsiTheme="minorHAnsi" w:cstheme="minorHAnsi"/>
              </w:rPr>
              <w:t>OKL</w:t>
            </w:r>
            <w:r w:rsidR="00A95F35">
              <w:rPr>
                <w:rFonts w:asciiTheme="minorHAnsi" w:hAnsiTheme="minorHAnsi" w:cstheme="minorHAnsi"/>
              </w:rPr>
              <w:t>)</w:t>
            </w:r>
          </w:p>
        </w:tc>
      </w:tr>
      <w:tr w:rsidR="002E7743" w:rsidRPr="006256D9" w14:paraId="17081ACE" w14:textId="77777777" w:rsidTr="0095092F">
        <w:trPr>
          <w:trHeight w:val="567"/>
        </w:trPr>
        <w:tc>
          <w:tcPr>
            <w:tcW w:w="2744" w:type="dxa"/>
            <w:vAlign w:val="center"/>
          </w:tcPr>
          <w:p w14:paraId="1EEE07D7"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2CAF900F" w14:textId="2C18E3A8" w:rsidR="00FA0781" w:rsidRDefault="00A95F35" w:rsidP="0095092F">
            <w:pPr>
              <w:spacing w:line="276" w:lineRule="auto"/>
              <w:jc w:val="left"/>
              <w:rPr>
                <w:rFonts w:asciiTheme="minorHAnsi" w:hAnsiTheme="minorHAnsi" w:cstheme="minorHAnsi"/>
              </w:rPr>
            </w:pPr>
            <w:r w:rsidRPr="008C6250">
              <w:rPr>
                <w:rFonts w:asciiTheme="minorHAnsi" w:hAnsiTheme="minorHAnsi" w:cstheme="minorHAnsi"/>
              </w:rPr>
              <w:t>Prim.</w:t>
            </w:r>
            <w:r w:rsidR="007C6560">
              <w:rPr>
                <w:rFonts w:asciiTheme="minorHAnsi" w:hAnsiTheme="minorHAnsi" w:cstheme="minorHAnsi"/>
              </w:rPr>
              <w:t xml:space="preserve"> </w:t>
            </w:r>
            <w:r w:rsidRPr="008C6250">
              <w:rPr>
                <w:rFonts w:asciiTheme="minorHAnsi" w:hAnsiTheme="minorHAnsi" w:cstheme="minorHAnsi"/>
              </w:rPr>
              <w:t>Univ.Doz.Dr. Ansgar Weltermann (</w:t>
            </w:r>
            <w:r w:rsidR="007C6560">
              <w:rPr>
                <w:rFonts w:asciiTheme="minorHAnsi" w:hAnsiTheme="minorHAnsi" w:cstheme="minorHAnsi"/>
              </w:rPr>
              <w:t>TZ</w:t>
            </w:r>
            <w:r w:rsidRPr="008C6250">
              <w:rPr>
                <w:rFonts w:asciiTheme="minorHAnsi" w:hAnsiTheme="minorHAnsi" w:cstheme="minorHAnsi"/>
              </w:rPr>
              <w:t>); OA Dr. Dieter Rossmann(</w:t>
            </w:r>
            <w:r w:rsidR="00820564">
              <w:rPr>
                <w:rFonts w:asciiTheme="minorHAnsi" w:hAnsiTheme="minorHAnsi" w:cstheme="minorHAnsi"/>
              </w:rPr>
              <w:t>PEK</w:t>
            </w:r>
            <w:r w:rsidRPr="008C6250">
              <w:rPr>
                <w:rFonts w:asciiTheme="minorHAnsi" w:hAnsiTheme="minorHAnsi" w:cstheme="minorHAnsi"/>
              </w:rPr>
              <w:t xml:space="preserve">); Prim. Univ. Prof. Dr. </w:t>
            </w:r>
            <w:r w:rsidR="007C6560">
              <w:rPr>
                <w:rFonts w:asciiTheme="minorHAnsi" w:hAnsiTheme="minorHAnsi" w:cstheme="minorHAnsi"/>
              </w:rPr>
              <w:t>Matthias Biebl</w:t>
            </w:r>
            <w:r w:rsidRPr="008C6250">
              <w:rPr>
                <w:rFonts w:asciiTheme="minorHAnsi" w:hAnsiTheme="minorHAnsi" w:cstheme="minorHAnsi"/>
              </w:rPr>
              <w:t xml:space="preserve"> (</w:t>
            </w:r>
            <w:r w:rsidR="008C6250">
              <w:rPr>
                <w:rFonts w:asciiTheme="minorHAnsi" w:hAnsiTheme="minorHAnsi" w:cstheme="minorHAnsi"/>
              </w:rPr>
              <w:t>OKL</w:t>
            </w:r>
            <w:r w:rsidRPr="008C6250">
              <w:rPr>
                <w:rFonts w:asciiTheme="minorHAnsi" w:hAnsiTheme="minorHAnsi" w:cstheme="minorHAnsi"/>
              </w:rPr>
              <w:t xml:space="preserve">); </w:t>
            </w:r>
            <w:r w:rsidR="008C6250" w:rsidRPr="008C6250">
              <w:rPr>
                <w:rFonts w:asciiTheme="minorHAnsi" w:hAnsiTheme="minorHAnsi" w:cstheme="minorHAnsi"/>
              </w:rPr>
              <w:t>Prim. Dr. Christoph Kopf (SD);</w:t>
            </w:r>
            <w:r w:rsidR="008C6250">
              <w:rPr>
                <w:rFonts w:asciiTheme="minorHAnsi" w:hAnsiTheme="minorHAnsi" w:cstheme="minorHAnsi"/>
              </w:rPr>
              <w:t xml:space="preserve"> </w:t>
            </w:r>
            <w:r w:rsidR="008C6250" w:rsidRPr="008C6250">
              <w:rPr>
                <w:rFonts w:asciiTheme="minorHAnsi" w:hAnsiTheme="minorHAnsi" w:cstheme="minorHAnsi"/>
              </w:rPr>
              <w:t>OA Dr. Jürgen Huber (OKL);</w:t>
            </w:r>
            <w:r w:rsidR="008C6250">
              <w:rPr>
                <w:rFonts w:asciiTheme="minorHAnsi" w:hAnsiTheme="minorHAnsi" w:cstheme="minorHAnsi"/>
              </w:rPr>
              <w:t xml:space="preserve"> </w:t>
            </w:r>
            <w:r w:rsidR="008C6250" w:rsidRPr="008C6250">
              <w:rPr>
                <w:rFonts w:asciiTheme="minorHAnsi" w:hAnsiTheme="minorHAnsi" w:cstheme="minorHAnsi"/>
              </w:rPr>
              <w:t>OA Dr. Bernhard Reiter (</w:t>
            </w:r>
            <w:r w:rsidR="008C6250">
              <w:rPr>
                <w:rFonts w:asciiTheme="minorHAnsi" w:hAnsiTheme="minorHAnsi" w:cstheme="minorHAnsi"/>
              </w:rPr>
              <w:t>OKL</w:t>
            </w:r>
            <w:r w:rsidR="008C6250" w:rsidRPr="008C6250">
              <w:rPr>
                <w:rFonts w:asciiTheme="minorHAnsi" w:hAnsiTheme="minorHAnsi" w:cstheme="minorHAnsi"/>
              </w:rPr>
              <w:t>);</w:t>
            </w:r>
            <w:r w:rsidR="00877E9A">
              <w:rPr>
                <w:rFonts w:asciiTheme="minorHAnsi" w:hAnsiTheme="minorHAnsi" w:cstheme="minorHAnsi"/>
              </w:rPr>
              <w:br/>
            </w:r>
            <w:r w:rsidR="008C6250" w:rsidRPr="008C6250">
              <w:rPr>
                <w:rFonts w:asciiTheme="minorHAnsi" w:hAnsiTheme="minorHAnsi" w:cstheme="minorHAnsi"/>
              </w:rPr>
              <w:t>Prim.</w:t>
            </w:r>
            <w:r w:rsidR="007C6560">
              <w:rPr>
                <w:rFonts w:asciiTheme="minorHAnsi" w:hAnsiTheme="minorHAnsi" w:cstheme="minorHAnsi"/>
              </w:rPr>
              <w:t xml:space="preserve"> </w:t>
            </w:r>
            <w:r w:rsidR="008C6250" w:rsidRPr="008C6250">
              <w:rPr>
                <w:rFonts w:asciiTheme="minorHAnsi" w:hAnsiTheme="minorHAnsi" w:cstheme="minorHAnsi"/>
              </w:rPr>
              <w:t>Doz.Dr. Claus Kölblinger (RI)</w:t>
            </w:r>
            <w:r w:rsidR="00FA0781">
              <w:rPr>
                <w:rFonts w:asciiTheme="minorHAnsi" w:hAnsiTheme="minorHAnsi" w:cstheme="minorHAnsi"/>
              </w:rPr>
              <w:t>;</w:t>
            </w:r>
            <w:r w:rsidR="00AE77EE">
              <w:rPr>
                <w:rFonts w:asciiTheme="minorHAnsi" w:hAnsiTheme="minorHAnsi" w:cstheme="minorHAnsi"/>
              </w:rPr>
              <w:t xml:space="preserve"> </w:t>
            </w:r>
            <w:r w:rsidR="009923AF" w:rsidRPr="009923AF">
              <w:rPr>
                <w:rFonts w:asciiTheme="minorHAnsi" w:hAnsiTheme="minorHAnsi" w:cstheme="minorHAnsi"/>
              </w:rPr>
              <w:t xml:space="preserve">Prim. Dr. </w:t>
            </w:r>
            <w:r w:rsidR="007C6560">
              <w:rPr>
                <w:rFonts w:asciiTheme="minorHAnsi" w:hAnsiTheme="minorHAnsi" w:cstheme="minorHAnsi"/>
              </w:rPr>
              <w:t>Michael Kopp</w:t>
            </w:r>
            <w:r w:rsidR="009923AF" w:rsidRPr="009923AF">
              <w:rPr>
                <w:rFonts w:asciiTheme="minorHAnsi" w:hAnsiTheme="minorHAnsi" w:cstheme="minorHAnsi"/>
              </w:rPr>
              <w:t xml:space="preserve"> (</w:t>
            </w:r>
            <w:r w:rsidR="007C6560">
              <w:rPr>
                <w:rFonts w:asciiTheme="minorHAnsi" w:hAnsiTheme="minorHAnsi" w:cstheme="minorHAnsi"/>
              </w:rPr>
              <w:t>SK</w:t>
            </w:r>
            <w:r w:rsidR="009923AF" w:rsidRPr="009923AF">
              <w:rPr>
                <w:rFonts w:asciiTheme="minorHAnsi" w:hAnsiTheme="minorHAnsi" w:cstheme="minorHAnsi"/>
              </w:rPr>
              <w:t>);</w:t>
            </w:r>
            <w:r w:rsidR="00877E9A">
              <w:rPr>
                <w:rFonts w:asciiTheme="minorHAnsi" w:hAnsiTheme="minorHAnsi" w:cstheme="minorHAnsi"/>
              </w:rPr>
              <w:br/>
            </w:r>
            <w:r w:rsidRPr="008C6250">
              <w:rPr>
                <w:rFonts w:asciiTheme="minorHAnsi" w:hAnsiTheme="minorHAnsi" w:cstheme="minorHAnsi"/>
              </w:rPr>
              <w:t>Prim. Dr. Peter Panholzer (</w:t>
            </w:r>
            <w:r w:rsidR="007F743D">
              <w:rPr>
                <w:rFonts w:asciiTheme="minorHAnsi" w:hAnsiTheme="minorHAnsi" w:cstheme="minorHAnsi"/>
              </w:rPr>
              <w:t>SK</w:t>
            </w:r>
            <w:r w:rsidRPr="008C6250">
              <w:rPr>
                <w:rFonts w:asciiTheme="minorHAnsi" w:hAnsiTheme="minorHAnsi" w:cstheme="minorHAnsi"/>
              </w:rPr>
              <w:t xml:space="preserve">); </w:t>
            </w:r>
            <w:r w:rsidR="009923AF">
              <w:rPr>
                <w:rFonts w:asciiTheme="minorHAnsi" w:hAnsiTheme="minorHAnsi" w:cstheme="minorHAnsi"/>
              </w:rPr>
              <w:t>OA Dr. Johann Feichtinger (OKL);</w:t>
            </w:r>
            <w:r w:rsidR="00877E9A">
              <w:rPr>
                <w:rFonts w:asciiTheme="minorHAnsi" w:hAnsiTheme="minorHAnsi" w:cstheme="minorHAnsi"/>
              </w:rPr>
              <w:br/>
            </w:r>
            <w:r w:rsidR="009923AF">
              <w:rPr>
                <w:rFonts w:asciiTheme="minorHAnsi" w:hAnsiTheme="minorHAnsi" w:cstheme="minorHAnsi"/>
              </w:rPr>
              <w:t>OA Dr. Aexander Lindorfer (OKL);</w:t>
            </w:r>
            <w:r w:rsidR="00FA0781">
              <w:rPr>
                <w:rFonts w:asciiTheme="minorHAnsi" w:hAnsiTheme="minorHAnsi" w:cstheme="minorHAnsi"/>
              </w:rPr>
              <w:t xml:space="preserve"> </w:t>
            </w:r>
            <w:r w:rsidR="00AE77EE">
              <w:rPr>
                <w:rFonts w:asciiTheme="minorHAnsi" w:hAnsiTheme="minorHAnsi" w:cstheme="minorHAnsi"/>
              </w:rPr>
              <w:t xml:space="preserve">OA </w:t>
            </w:r>
            <w:r w:rsidR="00FA0781" w:rsidRPr="00FA0781">
              <w:rPr>
                <w:rFonts w:asciiTheme="minorHAnsi" w:hAnsiTheme="minorHAnsi" w:cstheme="minorHAnsi"/>
              </w:rPr>
              <w:t>Dr. Lukas Kocik (OKL)</w:t>
            </w:r>
            <w:r w:rsidR="00FA0781">
              <w:rPr>
                <w:rFonts w:asciiTheme="minorHAnsi" w:hAnsiTheme="minorHAnsi" w:cstheme="minorHAnsi"/>
              </w:rPr>
              <w:t>;</w:t>
            </w:r>
            <w:r w:rsidR="00877E9A">
              <w:rPr>
                <w:rFonts w:asciiTheme="minorHAnsi" w:hAnsiTheme="minorHAnsi" w:cstheme="minorHAnsi"/>
              </w:rPr>
              <w:br/>
            </w:r>
            <w:r w:rsidR="009923AF">
              <w:rPr>
                <w:rFonts w:asciiTheme="minorHAnsi" w:hAnsiTheme="minorHAnsi" w:cstheme="minorHAnsi"/>
              </w:rPr>
              <w:t>OA Dr. Beatrix Murauer (</w:t>
            </w:r>
            <w:r w:rsidR="00820564">
              <w:rPr>
                <w:rFonts w:asciiTheme="minorHAnsi" w:hAnsiTheme="minorHAnsi" w:cstheme="minorHAnsi"/>
              </w:rPr>
              <w:t>SK</w:t>
            </w:r>
            <w:r w:rsidR="009923AF">
              <w:rPr>
                <w:rFonts w:asciiTheme="minorHAnsi" w:hAnsiTheme="minorHAnsi" w:cstheme="minorHAnsi"/>
              </w:rPr>
              <w:t xml:space="preserve">); </w:t>
            </w:r>
            <w:r w:rsidR="00FA0781" w:rsidRPr="00FA0781">
              <w:rPr>
                <w:rFonts w:asciiTheme="minorHAnsi" w:hAnsiTheme="minorHAnsi" w:cstheme="minorHAnsi"/>
              </w:rPr>
              <w:t>OA Dr. Thomas Bauer (</w:t>
            </w:r>
            <w:r w:rsidR="007F743D">
              <w:rPr>
                <w:rFonts w:asciiTheme="minorHAnsi" w:hAnsiTheme="minorHAnsi" w:cstheme="minorHAnsi"/>
              </w:rPr>
              <w:t>OKL</w:t>
            </w:r>
            <w:r w:rsidR="00FA0781" w:rsidRPr="00FA0781">
              <w:rPr>
                <w:rFonts w:asciiTheme="minorHAnsi" w:hAnsiTheme="minorHAnsi" w:cstheme="minorHAnsi"/>
              </w:rPr>
              <w:t>);</w:t>
            </w:r>
          </w:p>
          <w:p w14:paraId="663657D4" w14:textId="77777777" w:rsidR="009923AF" w:rsidRDefault="009923AF" w:rsidP="00FA0781">
            <w:pPr>
              <w:spacing w:line="276" w:lineRule="auto"/>
              <w:jc w:val="left"/>
              <w:rPr>
                <w:rFonts w:asciiTheme="minorHAnsi" w:hAnsiTheme="minorHAnsi" w:cstheme="minorHAnsi"/>
              </w:rPr>
            </w:pPr>
            <w:r>
              <w:rPr>
                <w:rFonts w:asciiTheme="minorHAnsi" w:hAnsiTheme="minorHAnsi" w:cstheme="minorHAnsi"/>
              </w:rPr>
              <w:t>Prim. Dr. Michael Wacha (FR);</w:t>
            </w:r>
            <w:r w:rsidR="00FA0781">
              <w:rPr>
                <w:rFonts w:asciiTheme="minorHAnsi" w:hAnsiTheme="minorHAnsi" w:cstheme="minorHAnsi"/>
              </w:rPr>
              <w:t xml:space="preserve"> </w:t>
            </w:r>
            <w:r>
              <w:rPr>
                <w:rFonts w:asciiTheme="minorHAnsi" w:hAnsiTheme="minorHAnsi" w:cstheme="minorHAnsi"/>
              </w:rPr>
              <w:t>OA Dr. Wolfgang Zaglmaier (OKL)</w:t>
            </w:r>
            <w:r w:rsidR="00AE77EE">
              <w:rPr>
                <w:rFonts w:asciiTheme="minorHAnsi" w:hAnsiTheme="minorHAnsi" w:cstheme="minorHAnsi"/>
              </w:rPr>
              <w:t>;</w:t>
            </w:r>
          </w:p>
          <w:p w14:paraId="4DD44BB0" w14:textId="77777777" w:rsidR="00877E9A" w:rsidRDefault="00AE77EE" w:rsidP="00FA0781">
            <w:pPr>
              <w:spacing w:line="276" w:lineRule="auto"/>
              <w:jc w:val="left"/>
              <w:rPr>
                <w:rFonts w:asciiTheme="minorHAnsi" w:hAnsiTheme="minorHAnsi" w:cstheme="minorHAnsi"/>
              </w:rPr>
            </w:pPr>
            <w:r>
              <w:rPr>
                <w:rFonts w:asciiTheme="minorHAnsi" w:hAnsiTheme="minorHAnsi" w:cstheme="minorHAnsi"/>
              </w:rPr>
              <w:t>Prim. Dr. Josef Dierneder (OKL)</w:t>
            </w:r>
            <w:r w:rsidR="00877E9A">
              <w:rPr>
                <w:rFonts w:asciiTheme="minorHAnsi" w:hAnsiTheme="minorHAnsi" w:cstheme="minorHAnsi"/>
              </w:rPr>
              <w:t>; OA Doz. Dr. Georg Spaun (OKL);</w:t>
            </w:r>
          </w:p>
          <w:p w14:paraId="64687973" w14:textId="77777777" w:rsidR="00877E9A" w:rsidRPr="008C6250" w:rsidRDefault="00877E9A" w:rsidP="00FA0781">
            <w:pPr>
              <w:spacing w:line="276" w:lineRule="auto"/>
              <w:jc w:val="left"/>
              <w:rPr>
                <w:rFonts w:asciiTheme="minorHAnsi" w:hAnsiTheme="minorHAnsi" w:cstheme="minorHAnsi"/>
              </w:rPr>
            </w:pPr>
            <w:r w:rsidRPr="00877E9A">
              <w:rPr>
                <w:rFonts w:asciiTheme="minorHAnsi" w:hAnsiTheme="minorHAnsi" w:cstheme="minorHAnsi"/>
              </w:rPr>
              <w:t>OA Dr. Ulrich Popper (OKL); OA Dr. Franz Romeder (OKL)</w:t>
            </w:r>
          </w:p>
        </w:tc>
      </w:tr>
      <w:tr w:rsidR="002E7743" w:rsidRPr="006256D9" w14:paraId="34A04365" w14:textId="77777777" w:rsidTr="0095092F">
        <w:trPr>
          <w:trHeight w:val="567"/>
        </w:trPr>
        <w:tc>
          <w:tcPr>
            <w:tcW w:w="2744" w:type="dxa"/>
            <w:vAlign w:val="center"/>
          </w:tcPr>
          <w:p w14:paraId="2CF90523"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6846E14F" w14:textId="77777777" w:rsidR="004D2FE8" w:rsidRDefault="004D2FE8" w:rsidP="001F2BEC">
            <w:pPr>
              <w:spacing w:line="276" w:lineRule="auto"/>
              <w:jc w:val="left"/>
              <w:rPr>
                <w:rFonts w:asciiTheme="minorHAnsi" w:hAnsiTheme="minorHAnsi" w:cstheme="minorHAnsi"/>
              </w:rPr>
            </w:pPr>
            <w:r>
              <w:rPr>
                <w:rFonts w:asciiTheme="minorHAnsi" w:hAnsiTheme="minorHAnsi" w:cstheme="minorHAnsi"/>
              </w:rPr>
              <w:t xml:space="preserve">OA Dr. Michael Schiffer </w:t>
            </w:r>
          </w:p>
          <w:p w14:paraId="023E8C7D" w14:textId="7BB9528C" w:rsidR="00E569BD" w:rsidRPr="00D02334" w:rsidRDefault="00E569BD" w:rsidP="00820564">
            <w:pPr>
              <w:spacing w:line="276" w:lineRule="auto"/>
              <w:jc w:val="left"/>
              <w:rPr>
                <w:rFonts w:asciiTheme="minorHAnsi" w:hAnsiTheme="minorHAnsi" w:cstheme="minorHAnsi"/>
              </w:rPr>
            </w:pPr>
            <w:r>
              <w:rPr>
                <w:rFonts w:asciiTheme="minorHAnsi" w:hAnsiTheme="minorHAnsi" w:cstheme="minorHAnsi"/>
              </w:rPr>
              <w:t xml:space="preserve">Revision </w:t>
            </w:r>
            <w:r w:rsidR="007F743D">
              <w:rPr>
                <w:rFonts w:asciiTheme="minorHAnsi" w:hAnsiTheme="minorHAnsi" w:cstheme="minorHAnsi"/>
              </w:rPr>
              <w:t>2</w:t>
            </w:r>
            <w:r w:rsidR="00820564">
              <w:rPr>
                <w:rFonts w:asciiTheme="minorHAnsi" w:hAnsiTheme="minorHAnsi" w:cstheme="minorHAnsi"/>
              </w:rPr>
              <w:t>0</w:t>
            </w:r>
            <w:r w:rsidR="007F743D">
              <w:rPr>
                <w:rFonts w:asciiTheme="minorHAnsi" w:hAnsiTheme="minorHAnsi" w:cstheme="minorHAnsi"/>
              </w:rPr>
              <w:t>.0</w:t>
            </w:r>
            <w:r w:rsidR="00820564">
              <w:rPr>
                <w:rFonts w:asciiTheme="minorHAnsi" w:hAnsiTheme="minorHAnsi" w:cstheme="minorHAnsi"/>
              </w:rPr>
              <w:t>3</w:t>
            </w:r>
            <w:r w:rsidR="007F743D">
              <w:rPr>
                <w:rFonts w:asciiTheme="minorHAnsi" w:hAnsiTheme="minorHAnsi" w:cstheme="minorHAnsi"/>
              </w:rPr>
              <w:t>.2022</w:t>
            </w:r>
          </w:p>
        </w:tc>
      </w:tr>
    </w:tbl>
    <w:p w14:paraId="03464513" w14:textId="77777777" w:rsidR="008B2595" w:rsidRDefault="008B2595">
      <w:pPr>
        <w:spacing w:line="240" w:lineRule="auto"/>
        <w:jc w:val="left"/>
      </w:pPr>
    </w:p>
    <w:p w14:paraId="39D4AA0B" w14:textId="77777777"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Diese Leitlinie ist eine Grundlage für die Diagnostik und Therapie innerhal</w:t>
      </w:r>
      <w:bookmarkStart w:id="0" w:name="_GoBack"/>
      <w:bookmarkEnd w:id="0"/>
      <w:r w:rsidRPr="00D02334">
        <w:rPr>
          <w:rFonts w:asciiTheme="minorHAnsi" w:hAnsiTheme="minorHAnsi" w:cstheme="minorHAnsi"/>
          <w:sz w:val="18"/>
          <w:szCs w:val="18"/>
        </w:rPr>
        <w:t>b des Tumorzentrums gespag-Elisabethinen und erhebt nicht den Anspruch auf Vollständigkeit.</w:t>
      </w:r>
    </w:p>
    <w:p w14:paraId="2E8C2E0F" w14:textId="77777777" w:rsidR="00D02334" w:rsidRDefault="00D02334" w:rsidP="004D2FE8">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enzubeziehen.</w:t>
      </w:r>
    </w:p>
    <w:p w14:paraId="52CFB98F"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564EAE">
          <w:headerReference w:type="even" r:id="rId11"/>
          <w:headerReference w:type="default" r:id="rId12"/>
          <w:footerReference w:type="default" r:id="rId13"/>
          <w:headerReference w:type="first" r:id="rId14"/>
          <w:footerReference w:type="first" r:id="rId15"/>
          <w:pgSz w:w="11906" w:h="16838"/>
          <w:pgMar w:top="1823"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rPr>
          <w:rFonts w:asciiTheme="minorHAnsi" w:hAnsiTheme="minorHAnsi" w:cstheme="minorHAnsi"/>
          <w:szCs w:val="22"/>
        </w:rPr>
      </w:sdtEndPr>
      <w:sdtContent>
        <w:p w14:paraId="060E8110" w14:textId="77777777" w:rsidR="007F3064" w:rsidRPr="006A0D28" w:rsidRDefault="007F3064" w:rsidP="007F3064">
          <w:pPr>
            <w:pStyle w:val="Inhaltsverzeichnisberschrift"/>
            <w:shd w:val="clear" w:color="auto" w:fill="FFFFFF" w:themeFill="background1"/>
            <w:rPr>
              <w:rFonts w:asciiTheme="minorHAnsi" w:hAnsiTheme="minorHAnsi" w:cstheme="minorHAnsi"/>
              <w:color w:val="auto"/>
              <w:sz w:val="28"/>
              <w:lang w:val="de-DE"/>
            </w:rPr>
          </w:pPr>
          <w:r w:rsidRPr="006A0D28">
            <w:rPr>
              <w:rFonts w:asciiTheme="minorHAnsi" w:hAnsiTheme="minorHAnsi" w:cstheme="minorHAnsi"/>
              <w:color w:val="auto"/>
              <w:sz w:val="28"/>
              <w:lang w:val="de-DE"/>
            </w:rPr>
            <w:t>Inhaltsverzeichnis</w:t>
          </w:r>
        </w:p>
        <w:p w14:paraId="7579FBAE" w14:textId="77777777" w:rsidR="007F3064" w:rsidRPr="006A0D28" w:rsidRDefault="00A205EB" w:rsidP="00A205EB">
          <w:pPr>
            <w:tabs>
              <w:tab w:val="left" w:pos="1704"/>
              <w:tab w:val="center" w:pos="4691"/>
            </w:tabs>
            <w:spacing w:line="276" w:lineRule="auto"/>
            <w:jc w:val="left"/>
            <w:rPr>
              <w:rFonts w:asciiTheme="minorHAnsi" w:hAnsiTheme="minorHAnsi" w:cstheme="minorHAnsi"/>
              <w:lang w:val="de-DE" w:eastAsia="de-AT"/>
            </w:rPr>
          </w:pPr>
          <w:r w:rsidRPr="006A0D28">
            <w:rPr>
              <w:rFonts w:asciiTheme="minorHAnsi" w:hAnsiTheme="minorHAnsi" w:cstheme="minorHAnsi"/>
              <w:lang w:val="de-DE" w:eastAsia="de-AT"/>
            </w:rPr>
            <w:tab/>
          </w:r>
          <w:r w:rsidRPr="006A0D28">
            <w:rPr>
              <w:rFonts w:asciiTheme="minorHAnsi" w:hAnsiTheme="minorHAnsi" w:cstheme="minorHAnsi"/>
              <w:lang w:val="de-DE" w:eastAsia="de-AT"/>
            </w:rPr>
            <w:tab/>
          </w:r>
          <w:r w:rsidRPr="006A0D28">
            <w:rPr>
              <w:rFonts w:asciiTheme="minorHAnsi" w:hAnsiTheme="minorHAnsi" w:cstheme="minorHAnsi"/>
              <w:lang w:val="de-DE" w:eastAsia="de-AT"/>
            </w:rPr>
            <w:tab/>
          </w:r>
          <w:r w:rsidRPr="006A0D28">
            <w:rPr>
              <w:rFonts w:asciiTheme="minorHAnsi" w:hAnsiTheme="minorHAnsi" w:cstheme="minorHAnsi"/>
              <w:lang w:val="de-DE" w:eastAsia="de-AT"/>
            </w:rPr>
            <w:tab/>
          </w:r>
        </w:p>
        <w:p w14:paraId="63B93D3E" w14:textId="77777777" w:rsidR="007F5932" w:rsidRPr="00356A3F" w:rsidRDefault="00822E59" w:rsidP="00356A3F">
          <w:pPr>
            <w:pStyle w:val="Verzeichnis1"/>
            <w:rPr>
              <w:rFonts w:eastAsiaTheme="minorEastAsia"/>
              <w:b/>
              <w:bCs/>
              <w:kern w:val="0"/>
              <w:lang w:val="de-AT" w:eastAsia="de-AT"/>
            </w:rPr>
          </w:pPr>
          <w:r w:rsidRPr="006A0D28">
            <w:rPr>
              <w:b/>
            </w:rPr>
            <w:fldChar w:fldCharType="begin"/>
          </w:r>
          <w:r w:rsidR="007F3064" w:rsidRPr="006A0D28">
            <w:instrText xml:space="preserve"> TOC \o "1-3" \h \z \u </w:instrText>
          </w:r>
          <w:r w:rsidRPr="006A0D28">
            <w:rPr>
              <w:b/>
            </w:rPr>
            <w:fldChar w:fldCharType="separate"/>
          </w:r>
          <w:hyperlink w:anchor="_Toc93523266" w:history="1">
            <w:r w:rsidR="007F5932" w:rsidRPr="00356A3F">
              <w:rPr>
                <w:rStyle w:val="Hyperlink"/>
              </w:rPr>
              <w:t>1</w:t>
            </w:r>
            <w:r w:rsidR="007F5932" w:rsidRPr="00356A3F">
              <w:rPr>
                <w:rFonts w:eastAsiaTheme="minorEastAsia"/>
                <w:kern w:val="0"/>
                <w:lang w:val="de-AT" w:eastAsia="de-AT"/>
              </w:rPr>
              <w:tab/>
            </w:r>
            <w:r w:rsidR="007F5932" w:rsidRPr="00356A3F">
              <w:rPr>
                <w:rStyle w:val="Hyperlink"/>
              </w:rPr>
              <w:t>Allgemeines</w:t>
            </w:r>
            <w:r w:rsidR="007F5932" w:rsidRPr="00356A3F">
              <w:rPr>
                <w:webHidden/>
              </w:rPr>
              <w:tab/>
            </w:r>
            <w:r w:rsidR="007F5932" w:rsidRPr="00356A3F">
              <w:rPr>
                <w:webHidden/>
              </w:rPr>
              <w:fldChar w:fldCharType="begin"/>
            </w:r>
            <w:r w:rsidR="007F5932" w:rsidRPr="00356A3F">
              <w:rPr>
                <w:webHidden/>
              </w:rPr>
              <w:instrText xml:space="preserve"> PAGEREF _Toc93523266 \h </w:instrText>
            </w:r>
            <w:r w:rsidR="007F5932" w:rsidRPr="00356A3F">
              <w:rPr>
                <w:webHidden/>
              </w:rPr>
            </w:r>
            <w:r w:rsidR="007F5932" w:rsidRPr="00356A3F">
              <w:rPr>
                <w:webHidden/>
              </w:rPr>
              <w:fldChar w:fldCharType="separate"/>
            </w:r>
            <w:r w:rsidR="00356A3F" w:rsidRPr="00356A3F">
              <w:rPr>
                <w:webHidden/>
              </w:rPr>
              <w:t>3</w:t>
            </w:r>
            <w:r w:rsidR="007F5932" w:rsidRPr="00356A3F">
              <w:rPr>
                <w:webHidden/>
              </w:rPr>
              <w:fldChar w:fldCharType="end"/>
            </w:r>
          </w:hyperlink>
        </w:p>
        <w:p w14:paraId="546F5741" w14:textId="77777777" w:rsidR="007F5932" w:rsidRPr="00356A3F" w:rsidRDefault="00820564" w:rsidP="00356A3F">
          <w:pPr>
            <w:pStyle w:val="Verzeichnis1"/>
            <w:rPr>
              <w:rFonts w:eastAsiaTheme="minorEastAsia"/>
              <w:bCs/>
              <w:kern w:val="0"/>
              <w:lang w:val="de-AT" w:eastAsia="de-AT"/>
            </w:rPr>
          </w:pPr>
          <w:hyperlink w:anchor="_Toc93523267" w:history="1">
            <w:r w:rsidR="007F5932" w:rsidRPr="00356A3F">
              <w:rPr>
                <w:rStyle w:val="Hyperlink"/>
                <w:b/>
              </w:rPr>
              <w:t>2</w:t>
            </w:r>
            <w:r w:rsidR="007F5932" w:rsidRPr="00356A3F">
              <w:rPr>
                <w:rFonts w:eastAsiaTheme="minorEastAsia"/>
                <w:kern w:val="0"/>
                <w:lang w:val="de-AT" w:eastAsia="de-AT"/>
              </w:rPr>
              <w:tab/>
            </w:r>
            <w:r w:rsidR="007F5932" w:rsidRPr="00356A3F">
              <w:rPr>
                <w:rStyle w:val="Hyperlink"/>
                <w:b/>
              </w:rPr>
              <w:t>Diagnostik und Scoring</w:t>
            </w:r>
            <w:r w:rsidR="007F5932" w:rsidRPr="00356A3F">
              <w:rPr>
                <w:webHidden/>
              </w:rPr>
              <w:tab/>
            </w:r>
            <w:r w:rsidR="007F5932" w:rsidRPr="00356A3F">
              <w:rPr>
                <w:webHidden/>
              </w:rPr>
              <w:fldChar w:fldCharType="begin"/>
            </w:r>
            <w:r w:rsidR="007F5932" w:rsidRPr="00356A3F">
              <w:rPr>
                <w:webHidden/>
              </w:rPr>
              <w:instrText xml:space="preserve"> PAGEREF _Toc93523267 \h </w:instrText>
            </w:r>
            <w:r w:rsidR="007F5932" w:rsidRPr="00356A3F">
              <w:rPr>
                <w:webHidden/>
              </w:rPr>
            </w:r>
            <w:r w:rsidR="007F5932" w:rsidRPr="00356A3F">
              <w:rPr>
                <w:webHidden/>
              </w:rPr>
              <w:fldChar w:fldCharType="separate"/>
            </w:r>
            <w:r w:rsidR="00356A3F" w:rsidRPr="00356A3F">
              <w:rPr>
                <w:webHidden/>
              </w:rPr>
              <w:t>4</w:t>
            </w:r>
            <w:r w:rsidR="007F5932" w:rsidRPr="00356A3F">
              <w:rPr>
                <w:webHidden/>
              </w:rPr>
              <w:fldChar w:fldCharType="end"/>
            </w:r>
          </w:hyperlink>
        </w:p>
        <w:p w14:paraId="4E732963" w14:textId="77777777" w:rsidR="007F5932" w:rsidRPr="00356A3F" w:rsidRDefault="00820564" w:rsidP="00D6108E">
          <w:pPr>
            <w:pStyle w:val="Verzeichnis2"/>
            <w:rPr>
              <w:rFonts w:eastAsiaTheme="minorEastAsia" w:cstheme="minorHAnsi"/>
              <w:i/>
              <w:iCs/>
              <w:lang w:val="de-AT"/>
            </w:rPr>
          </w:pPr>
          <w:hyperlink w:anchor="_Toc93523268" w:history="1">
            <w:r w:rsidR="007F5932" w:rsidRPr="00356A3F">
              <w:rPr>
                <w:rStyle w:val="Hyperlink"/>
                <w:rFonts w:cstheme="minorHAnsi"/>
              </w:rPr>
              <w:t>2.1</w:t>
            </w:r>
            <w:r w:rsidR="007F5932" w:rsidRPr="00356A3F">
              <w:rPr>
                <w:rFonts w:eastAsiaTheme="minorEastAsia" w:cstheme="minorHAnsi"/>
                <w:lang w:val="de-AT"/>
              </w:rPr>
              <w:tab/>
            </w:r>
            <w:r w:rsidR="007F5932" w:rsidRPr="00356A3F">
              <w:rPr>
                <w:rStyle w:val="Hyperlink"/>
                <w:rFonts w:cstheme="minorHAnsi"/>
              </w:rPr>
              <w:t>Colonkarzinom Neudiagnose</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_Toc93523268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4</w:t>
            </w:r>
            <w:r w:rsidR="007F5932" w:rsidRPr="00356A3F">
              <w:rPr>
                <w:rFonts w:cstheme="minorHAnsi"/>
                <w:i/>
                <w:iCs/>
                <w:webHidden/>
              </w:rPr>
              <w:fldChar w:fldCharType="end"/>
            </w:r>
          </w:hyperlink>
        </w:p>
        <w:p w14:paraId="33078D76" w14:textId="77777777" w:rsidR="007F5932" w:rsidRPr="00356A3F" w:rsidRDefault="00820564" w:rsidP="00D6108E">
          <w:pPr>
            <w:pStyle w:val="Verzeichnis2"/>
            <w:rPr>
              <w:rFonts w:eastAsiaTheme="minorEastAsia" w:cstheme="minorHAnsi"/>
              <w:i/>
              <w:iCs/>
              <w:lang w:val="de-AT"/>
            </w:rPr>
          </w:pPr>
          <w:hyperlink w:anchor="_Toc93523269" w:history="1">
            <w:r w:rsidR="007F5932" w:rsidRPr="00356A3F">
              <w:rPr>
                <w:rStyle w:val="Hyperlink"/>
                <w:rFonts w:cstheme="minorHAnsi"/>
              </w:rPr>
              <w:t>2.2</w:t>
            </w:r>
            <w:r w:rsidR="007F5932" w:rsidRPr="00356A3F">
              <w:rPr>
                <w:rFonts w:eastAsiaTheme="minorEastAsia" w:cstheme="minorHAnsi"/>
                <w:lang w:val="de-AT"/>
              </w:rPr>
              <w:tab/>
            </w:r>
            <w:r w:rsidR="007F5932" w:rsidRPr="00356A3F">
              <w:rPr>
                <w:rStyle w:val="Hyperlink"/>
                <w:rFonts w:cstheme="minorHAnsi"/>
              </w:rPr>
              <w:t>Rektumkarzinom Neudiagnose</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_Toc93523269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5</w:t>
            </w:r>
            <w:r w:rsidR="007F5932" w:rsidRPr="00356A3F">
              <w:rPr>
                <w:rFonts w:cstheme="minorHAnsi"/>
                <w:i/>
                <w:iCs/>
                <w:webHidden/>
              </w:rPr>
              <w:fldChar w:fldCharType="end"/>
            </w:r>
          </w:hyperlink>
        </w:p>
        <w:p w14:paraId="43CAC12F" w14:textId="77777777" w:rsidR="007F5932" w:rsidRPr="00356A3F" w:rsidRDefault="00820564" w:rsidP="00D6108E">
          <w:pPr>
            <w:pStyle w:val="Verzeichnis2"/>
            <w:rPr>
              <w:rFonts w:eastAsiaTheme="minorEastAsia" w:cstheme="minorHAnsi"/>
              <w:i/>
              <w:iCs/>
              <w:lang w:val="de-AT"/>
            </w:rPr>
          </w:pPr>
          <w:hyperlink w:anchor="_Toc93523270" w:history="1">
            <w:r w:rsidR="007F5932" w:rsidRPr="00356A3F">
              <w:rPr>
                <w:rStyle w:val="Hyperlink"/>
                <w:rFonts w:cstheme="minorHAnsi"/>
              </w:rPr>
              <w:t>2.3</w:t>
            </w:r>
            <w:r w:rsidR="007F5932" w:rsidRPr="00356A3F">
              <w:rPr>
                <w:rFonts w:eastAsiaTheme="minorEastAsia" w:cstheme="minorHAnsi"/>
                <w:lang w:val="de-AT"/>
              </w:rPr>
              <w:tab/>
            </w:r>
            <w:r w:rsidR="007F5932" w:rsidRPr="00356A3F">
              <w:rPr>
                <w:rStyle w:val="Hyperlink"/>
                <w:rFonts w:cstheme="minorHAnsi"/>
              </w:rPr>
              <w:t>Rektumkarzinom (Primum in situ, nicht metastasiert) zur präop. Responsebeurteilung nach neoadjuvanter Chemo-/Radiatio</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_Toc93523270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6</w:t>
            </w:r>
            <w:r w:rsidR="007F5932" w:rsidRPr="00356A3F">
              <w:rPr>
                <w:rFonts w:cstheme="minorHAnsi"/>
                <w:i/>
                <w:iCs/>
                <w:webHidden/>
              </w:rPr>
              <w:fldChar w:fldCharType="end"/>
            </w:r>
          </w:hyperlink>
        </w:p>
        <w:p w14:paraId="5461EF55" w14:textId="77777777" w:rsidR="007F5932" w:rsidRPr="00356A3F" w:rsidRDefault="00820564" w:rsidP="00D6108E">
          <w:pPr>
            <w:pStyle w:val="Verzeichnis2"/>
            <w:rPr>
              <w:rFonts w:eastAsiaTheme="minorEastAsia" w:cstheme="minorHAnsi"/>
              <w:lang w:val="de-AT"/>
            </w:rPr>
          </w:pPr>
          <w:hyperlink w:anchor="_Toc93523271" w:history="1">
            <w:r w:rsidR="00D6108E" w:rsidRPr="00356A3F">
              <w:rPr>
                <w:rStyle w:val="Hyperlink"/>
                <w:rFonts w:cstheme="minorHAnsi"/>
                <w:u w:val="none"/>
              </w:rPr>
              <w:t>2.</w:t>
            </w:r>
            <w:r w:rsidR="007F5932" w:rsidRPr="00356A3F">
              <w:rPr>
                <w:rStyle w:val="Hyperlink"/>
                <w:rFonts w:cstheme="minorHAnsi"/>
                <w:u w:val="none"/>
              </w:rPr>
              <w:t>4</w:t>
            </w:r>
            <w:r w:rsidR="007F5932" w:rsidRPr="00356A3F">
              <w:rPr>
                <w:rFonts w:eastAsiaTheme="minorEastAsia" w:cstheme="minorHAnsi"/>
                <w:lang w:val="de-AT"/>
              </w:rPr>
              <w:tab/>
            </w:r>
            <w:r w:rsidR="007F5932" w:rsidRPr="00356A3F">
              <w:rPr>
                <w:rStyle w:val="Hyperlink"/>
                <w:rFonts w:cstheme="minorHAnsi"/>
                <w:u w:val="none"/>
              </w:rPr>
              <w:t>Rek</w:t>
            </w:r>
            <w:r w:rsidR="007F5932" w:rsidRPr="00356A3F">
              <w:rPr>
                <w:rStyle w:val="Hyperlink"/>
                <w:rFonts w:cstheme="minorHAnsi"/>
              </w:rPr>
              <w:t>t</w:t>
            </w:r>
            <w:r w:rsidR="007F5932" w:rsidRPr="00356A3F">
              <w:rPr>
                <w:rStyle w:val="Hyperlink"/>
                <w:rFonts w:cstheme="minorHAnsi"/>
                <w:u w:val="none"/>
              </w:rPr>
              <w:t>umkarzinom - LARS-Score</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_Toc93523271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7</w:t>
            </w:r>
            <w:r w:rsidR="007F5932" w:rsidRPr="00356A3F">
              <w:rPr>
                <w:rFonts w:cstheme="minorHAnsi"/>
                <w:webHidden/>
              </w:rPr>
              <w:fldChar w:fldCharType="end"/>
            </w:r>
          </w:hyperlink>
        </w:p>
        <w:p w14:paraId="4C275FC1" w14:textId="77777777" w:rsidR="007F5932" w:rsidRPr="00356A3F" w:rsidRDefault="00820564" w:rsidP="00D6108E">
          <w:pPr>
            <w:pStyle w:val="Verzeichnis2"/>
            <w:rPr>
              <w:rFonts w:eastAsiaTheme="minorEastAsia" w:cstheme="minorHAnsi"/>
              <w:i/>
              <w:iCs/>
              <w:lang w:val="de-AT"/>
            </w:rPr>
          </w:pPr>
          <w:hyperlink w:anchor="_Toc93523272" w:history="1">
            <w:r w:rsidR="007F5932" w:rsidRPr="00356A3F">
              <w:rPr>
                <w:rStyle w:val="Hyperlink"/>
                <w:rFonts w:cstheme="minorHAnsi"/>
              </w:rPr>
              <w:t>2.5</w:t>
            </w:r>
            <w:r w:rsidR="007F5932" w:rsidRPr="00356A3F">
              <w:rPr>
                <w:rFonts w:eastAsiaTheme="minorEastAsia" w:cstheme="minorHAnsi"/>
                <w:lang w:val="de-AT"/>
              </w:rPr>
              <w:tab/>
            </w:r>
            <w:r w:rsidR="007F5932" w:rsidRPr="00356A3F">
              <w:rPr>
                <w:rStyle w:val="Hyperlink"/>
                <w:rFonts w:cstheme="minorHAnsi"/>
              </w:rPr>
              <w:t>Primär metastasiertes Colon-bzw. Rektum-Ca (Primum in situ) nach neoadj. Radio-/Chemotherapie zur präooperativen Responsebeurteilung</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_Toc93523272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8</w:t>
            </w:r>
            <w:r w:rsidR="007F5932" w:rsidRPr="00356A3F">
              <w:rPr>
                <w:rFonts w:cstheme="minorHAnsi"/>
                <w:i/>
                <w:iCs/>
                <w:webHidden/>
              </w:rPr>
              <w:fldChar w:fldCharType="end"/>
            </w:r>
          </w:hyperlink>
        </w:p>
        <w:p w14:paraId="1D913AB8" w14:textId="77777777" w:rsidR="007F5932" w:rsidRPr="00356A3F" w:rsidRDefault="00820564" w:rsidP="00D6108E">
          <w:pPr>
            <w:pStyle w:val="Verzeichnis2"/>
            <w:rPr>
              <w:rFonts w:eastAsiaTheme="minorEastAsia" w:cstheme="minorHAnsi"/>
              <w:i/>
              <w:iCs/>
              <w:lang w:val="de-AT"/>
            </w:rPr>
          </w:pPr>
          <w:hyperlink w:anchor="_Toc93523273" w:history="1">
            <w:r w:rsidR="007F5932" w:rsidRPr="00356A3F">
              <w:rPr>
                <w:rStyle w:val="Hyperlink"/>
                <w:rFonts w:cstheme="minorHAnsi"/>
              </w:rPr>
              <w:t>2.6</w:t>
            </w:r>
            <w:r w:rsidR="007F5932" w:rsidRPr="00356A3F">
              <w:rPr>
                <w:rFonts w:eastAsiaTheme="minorEastAsia" w:cstheme="minorHAnsi"/>
                <w:lang w:val="de-AT"/>
              </w:rPr>
              <w:tab/>
            </w:r>
            <w:r w:rsidR="007F5932" w:rsidRPr="00356A3F">
              <w:rPr>
                <w:rStyle w:val="Hyperlink"/>
                <w:rFonts w:cstheme="minorHAnsi"/>
              </w:rPr>
              <w:t>V.a. oder gesichertes Rezidiv CRC nach Abschluss der neo-/adjuvanten Therapie</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_Toc93523273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9</w:t>
            </w:r>
            <w:r w:rsidR="007F5932" w:rsidRPr="00356A3F">
              <w:rPr>
                <w:rFonts w:cstheme="minorHAnsi"/>
                <w:i/>
                <w:iCs/>
                <w:webHidden/>
              </w:rPr>
              <w:fldChar w:fldCharType="end"/>
            </w:r>
          </w:hyperlink>
        </w:p>
        <w:p w14:paraId="678662E2" w14:textId="77777777" w:rsidR="007F5932" w:rsidRPr="00356A3F" w:rsidRDefault="00820564" w:rsidP="00D6108E">
          <w:pPr>
            <w:pStyle w:val="Verzeichnis2"/>
            <w:rPr>
              <w:rFonts w:eastAsiaTheme="minorEastAsia" w:cstheme="minorHAnsi"/>
              <w:i/>
              <w:iCs/>
              <w:lang w:val="de-AT"/>
            </w:rPr>
          </w:pPr>
          <w:hyperlink w:anchor="_Toc93523274" w:history="1">
            <w:r w:rsidR="007F5932" w:rsidRPr="00356A3F">
              <w:rPr>
                <w:rStyle w:val="Hyperlink"/>
                <w:rFonts w:cstheme="minorHAnsi"/>
              </w:rPr>
              <w:t>2.7</w:t>
            </w:r>
            <w:r w:rsidR="007F5932" w:rsidRPr="00356A3F">
              <w:rPr>
                <w:rFonts w:eastAsiaTheme="minorEastAsia" w:cstheme="minorHAnsi"/>
                <w:lang w:val="de-AT"/>
              </w:rPr>
              <w:tab/>
            </w:r>
            <w:r w:rsidR="007F5932" w:rsidRPr="00356A3F">
              <w:rPr>
                <w:rStyle w:val="Hyperlink"/>
                <w:rFonts w:cstheme="minorHAnsi"/>
              </w:rPr>
              <w:t>Anmerkungen Pathologie</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_Toc93523274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10</w:t>
            </w:r>
            <w:r w:rsidR="007F5932" w:rsidRPr="00356A3F">
              <w:rPr>
                <w:rFonts w:cstheme="minorHAnsi"/>
                <w:i/>
                <w:iCs/>
                <w:webHidden/>
              </w:rPr>
              <w:fldChar w:fldCharType="end"/>
            </w:r>
          </w:hyperlink>
        </w:p>
        <w:p w14:paraId="298C613A" w14:textId="77777777" w:rsidR="007F5932" w:rsidRPr="00356A3F" w:rsidRDefault="00820564">
          <w:pPr>
            <w:pStyle w:val="Verzeichnis3"/>
            <w:rPr>
              <w:rFonts w:eastAsiaTheme="minorEastAsia"/>
            </w:rPr>
          </w:pPr>
          <w:hyperlink w:anchor="_Toc93523275" w:history="1">
            <w:r w:rsidR="007F5932" w:rsidRPr="00356A3F">
              <w:rPr>
                <w:rStyle w:val="Hyperlink"/>
              </w:rPr>
              <w:t>2.7.1</w:t>
            </w:r>
            <w:r w:rsidR="007F5932" w:rsidRPr="00356A3F">
              <w:rPr>
                <w:rFonts w:eastAsiaTheme="minorEastAsia"/>
              </w:rPr>
              <w:tab/>
            </w:r>
            <w:r w:rsidR="007F5932" w:rsidRPr="00356A3F">
              <w:rPr>
                <w:rStyle w:val="Hyperlink"/>
              </w:rPr>
              <w:t>Endoskopische Präparate</w:t>
            </w:r>
            <w:r w:rsidR="007F5932" w:rsidRPr="00356A3F">
              <w:rPr>
                <w:webHidden/>
              </w:rPr>
              <w:tab/>
            </w:r>
            <w:r w:rsidR="007F5932" w:rsidRPr="00356A3F">
              <w:rPr>
                <w:webHidden/>
              </w:rPr>
              <w:fldChar w:fldCharType="begin"/>
            </w:r>
            <w:r w:rsidR="007F5932" w:rsidRPr="00356A3F">
              <w:rPr>
                <w:webHidden/>
              </w:rPr>
              <w:instrText xml:space="preserve"> PAGEREF _Toc93523275 \h </w:instrText>
            </w:r>
            <w:r w:rsidR="007F5932" w:rsidRPr="00356A3F">
              <w:rPr>
                <w:webHidden/>
              </w:rPr>
            </w:r>
            <w:r w:rsidR="007F5932" w:rsidRPr="00356A3F">
              <w:rPr>
                <w:webHidden/>
              </w:rPr>
              <w:fldChar w:fldCharType="separate"/>
            </w:r>
            <w:r w:rsidR="00356A3F" w:rsidRPr="00356A3F">
              <w:rPr>
                <w:webHidden/>
              </w:rPr>
              <w:t>10</w:t>
            </w:r>
            <w:r w:rsidR="007F5932" w:rsidRPr="00356A3F">
              <w:rPr>
                <w:webHidden/>
              </w:rPr>
              <w:fldChar w:fldCharType="end"/>
            </w:r>
          </w:hyperlink>
        </w:p>
        <w:p w14:paraId="097AC1D8" w14:textId="77777777" w:rsidR="007F5932" w:rsidRPr="00356A3F" w:rsidRDefault="00820564">
          <w:pPr>
            <w:pStyle w:val="Verzeichnis3"/>
            <w:rPr>
              <w:rFonts w:eastAsiaTheme="minorEastAsia"/>
            </w:rPr>
          </w:pPr>
          <w:hyperlink w:anchor="_Toc93523276" w:history="1">
            <w:r w:rsidR="007F5932" w:rsidRPr="00356A3F">
              <w:rPr>
                <w:rStyle w:val="Hyperlink"/>
              </w:rPr>
              <w:t>2.7.2</w:t>
            </w:r>
            <w:r w:rsidR="007F5932" w:rsidRPr="00356A3F">
              <w:rPr>
                <w:rFonts w:eastAsiaTheme="minorEastAsia"/>
              </w:rPr>
              <w:tab/>
            </w:r>
            <w:r w:rsidR="007F5932" w:rsidRPr="00356A3F">
              <w:rPr>
                <w:rStyle w:val="Hyperlink"/>
              </w:rPr>
              <w:t>Chirurgische Präparate</w:t>
            </w:r>
            <w:r w:rsidR="007F5932" w:rsidRPr="00356A3F">
              <w:rPr>
                <w:webHidden/>
              </w:rPr>
              <w:tab/>
            </w:r>
            <w:r w:rsidR="007F5932" w:rsidRPr="00356A3F">
              <w:rPr>
                <w:webHidden/>
              </w:rPr>
              <w:fldChar w:fldCharType="begin"/>
            </w:r>
            <w:r w:rsidR="007F5932" w:rsidRPr="00356A3F">
              <w:rPr>
                <w:webHidden/>
              </w:rPr>
              <w:instrText xml:space="preserve"> PAGEREF _Toc93523276 \h </w:instrText>
            </w:r>
            <w:r w:rsidR="007F5932" w:rsidRPr="00356A3F">
              <w:rPr>
                <w:webHidden/>
              </w:rPr>
            </w:r>
            <w:r w:rsidR="007F5932" w:rsidRPr="00356A3F">
              <w:rPr>
                <w:webHidden/>
              </w:rPr>
              <w:fldChar w:fldCharType="separate"/>
            </w:r>
            <w:r w:rsidR="00356A3F" w:rsidRPr="00356A3F">
              <w:rPr>
                <w:webHidden/>
              </w:rPr>
              <w:t>10</w:t>
            </w:r>
            <w:r w:rsidR="007F5932" w:rsidRPr="00356A3F">
              <w:rPr>
                <w:webHidden/>
              </w:rPr>
              <w:fldChar w:fldCharType="end"/>
            </w:r>
          </w:hyperlink>
        </w:p>
        <w:p w14:paraId="456B31CB" w14:textId="77777777" w:rsidR="007F5932" w:rsidRPr="00356A3F" w:rsidRDefault="00820564" w:rsidP="00D6108E">
          <w:pPr>
            <w:pStyle w:val="Verzeichnis2"/>
            <w:rPr>
              <w:rFonts w:eastAsiaTheme="minorEastAsia" w:cstheme="minorHAnsi"/>
              <w:i/>
              <w:iCs/>
              <w:lang w:val="de-AT"/>
            </w:rPr>
          </w:pPr>
          <w:hyperlink w:anchor="_Toc93523277" w:history="1">
            <w:r w:rsidR="007F5932" w:rsidRPr="00356A3F">
              <w:rPr>
                <w:rStyle w:val="Hyperlink"/>
                <w:rFonts w:cstheme="minorHAnsi"/>
              </w:rPr>
              <w:t>2.8</w:t>
            </w:r>
            <w:r w:rsidR="007F5932" w:rsidRPr="00356A3F">
              <w:rPr>
                <w:rFonts w:eastAsiaTheme="minorEastAsia" w:cstheme="minorHAnsi"/>
                <w:lang w:val="de-AT"/>
              </w:rPr>
              <w:tab/>
            </w:r>
            <w:r w:rsidR="007F5932" w:rsidRPr="00356A3F">
              <w:rPr>
                <w:rStyle w:val="Hyperlink"/>
                <w:rFonts w:cstheme="minorHAnsi"/>
                <w:lang w:val="en-US"/>
              </w:rPr>
              <w:t>Testalgorithmus zur Abklärung auf Lynchsyndrom / MSI-Testung</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_Toc93523277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12</w:t>
            </w:r>
            <w:r w:rsidR="007F5932" w:rsidRPr="00356A3F">
              <w:rPr>
                <w:rFonts w:cstheme="minorHAnsi"/>
                <w:i/>
                <w:iCs/>
                <w:webHidden/>
              </w:rPr>
              <w:fldChar w:fldCharType="end"/>
            </w:r>
          </w:hyperlink>
        </w:p>
        <w:p w14:paraId="3C6206AC" w14:textId="77777777" w:rsidR="007F5932" w:rsidRPr="00356A3F" w:rsidRDefault="00820564" w:rsidP="00D6108E">
          <w:pPr>
            <w:pStyle w:val="Verzeichnis2"/>
            <w:rPr>
              <w:rFonts w:eastAsiaTheme="minorEastAsia" w:cstheme="minorHAnsi"/>
              <w:i/>
              <w:iCs/>
              <w:lang w:val="de-AT"/>
            </w:rPr>
          </w:pPr>
          <w:hyperlink w:anchor="_Toc93523278" w:history="1">
            <w:r w:rsidR="007F5932" w:rsidRPr="00356A3F">
              <w:rPr>
                <w:rStyle w:val="Hyperlink"/>
                <w:rFonts w:cstheme="minorHAnsi"/>
              </w:rPr>
              <w:t>2.9</w:t>
            </w:r>
            <w:r w:rsidR="007F5932" w:rsidRPr="00356A3F">
              <w:rPr>
                <w:rFonts w:eastAsiaTheme="minorEastAsia" w:cstheme="minorHAnsi"/>
                <w:lang w:val="de-AT"/>
              </w:rPr>
              <w:tab/>
            </w:r>
            <w:r w:rsidR="007F5932" w:rsidRPr="00356A3F">
              <w:rPr>
                <w:rStyle w:val="Hyperlink"/>
                <w:rFonts w:cstheme="minorHAnsi"/>
                <w:lang w:val="en-US"/>
              </w:rPr>
              <w:t>Anmerkungen zur RAS- und BRAF-Testung</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_Toc93523278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13</w:t>
            </w:r>
            <w:r w:rsidR="007F5932" w:rsidRPr="00356A3F">
              <w:rPr>
                <w:rFonts w:cstheme="minorHAnsi"/>
                <w:i/>
                <w:iCs/>
                <w:webHidden/>
              </w:rPr>
              <w:fldChar w:fldCharType="end"/>
            </w:r>
          </w:hyperlink>
        </w:p>
        <w:p w14:paraId="17A6CABB" w14:textId="77777777" w:rsidR="007F5932" w:rsidRPr="00356A3F" w:rsidRDefault="00820564">
          <w:pPr>
            <w:pStyle w:val="Verzeichnis3"/>
            <w:rPr>
              <w:rFonts w:eastAsiaTheme="minorEastAsia"/>
              <w:bCs/>
            </w:rPr>
          </w:pPr>
          <w:hyperlink w:anchor="_Toc93523279" w:history="1">
            <w:r w:rsidR="007F5932" w:rsidRPr="00356A3F">
              <w:rPr>
                <w:rStyle w:val="Hyperlink"/>
                <w:bCs/>
              </w:rPr>
              <w:t>2.9.1</w:t>
            </w:r>
            <w:r w:rsidR="007F5932" w:rsidRPr="00356A3F">
              <w:rPr>
                <w:rFonts w:eastAsiaTheme="minorEastAsia"/>
                <w:bCs/>
              </w:rPr>
              <w:tab/>
            </w:r>
            <w:r w:rsidR="007F5932" w:rsidRPr="00356A3F">
              <w:rPr>
                <w:rStyle w:val="Hyperlink"/>
                <w:bCs/>
              </w:rPr>
              <w:t>RAS-Testung</w:t>
            </w:r>
            <w:r w:rsidR="007F5932" w:rsidRPr="00356A3F">
              <w:rPr>
                <w:bCs/>
                <w:webHidden/>
              </w:rPr>
              <w:tab/>
            </w:r>
            <w:r w:rsidR="007F5932" w:rsidRPr="00356A3F">
              <w:rPr>
                <w:bCs/>
                <w:webHidden/>
              </w:rPr>
              <w:fldChar w:fldCharType="begin"/>
            </w:r>
            <w:r w:rsidR="007F5932" w:rsidRPr="00356A3F">
              <w:rPr>
                <w:bCs/>
                <w:webHidden/>
              </w:rPr>
              <w:instrText xml:space="preserve"> PAGEREF _Toc93523279 \h </w:instrText>
            </w:r>
            <w:r w:rsidR="007F5932" w:rsidRPr="00356A3F">
              <w:rPr>
                <w:bCs/>
                <w:webHidden/>
              </w:rPr>
            </w:r>
            <w:r w:rsidR="007F5932" w:rsidRPr="00356A3F">
              <w:rPr>
                <w:bCs/>
                <w:webHidden/>
              </w:rPr>
              <w:fldChar w:fldCharType="separate"/>
            </w:r>
            <w:r w:rsidR="00356A3F" w:rsidRPr="00356A3F">
              <w:rPr>
                <w:bCs/>
                <w:webHidden/>
              </w:rPr>
              <w:t>13</w:t>
            </w:r>
            <w:r w:rsidR="007F5932" w:rsidRPr="00356A3F">
              <w:rPr>
                <w:bCs/>
                <w:webHidden/>
              </w:rPr>
              <w:fldChar w:fldCharType="end"/>
            </w:r>
          </w:hyperlink>
        </w:p>
        <w:p w14:paraId="74BC1E07" w14:textId="77777777" w:rsidR="007F5932" w:rsidRPr="00356A3F" w:rsidRDefault="00820564">
          <w:pPr>
            <w:pStyle w:val="Verzeichnis3"/>
            <w:rPr>
              <w:rFonts w:eastAsiaTheme="minorEastAsia"/>
              <w:bCs/>
            </w:rPr>
          </w:pPr>
          <w:hyperlink w:anchor="_Toc93523280" w:history="1">
            <w:r w:rsidR="007F5932" w:rsidRPr="00356A3F">
              <w:rPr>
                <w:rStyle w:val="Hyperlink"/>
                <w:bCs/>
              </w:rPr>
              <w:t>2.9.2</w:t>
            </w:r>
            <w:r w:rsidR="007F5932" w:rsidRPr="00356A3F">
              <w:rPr>
                <w:rFonts w:eastAsiaTheme="minorEastAsia"/>
                <w:bCs/>
              </w:rPr>
              <w:tab/>
            </w:r>
            <w:r w:rsidR="007F5932" w:rsidRPr="00356A3F">
              <w:rPr>
                <w:rStyle w:val="Hyperlink"/>
                <w:bCs/>
              </w:rPr>
              <w:t>BRAF-Testung</w:t>
            </w:r>
            <w:r w:rsidR="007F5932" w:rsidRPr="00356A3F">
              <w:rPr>
                <w:bCs/>
                <w:webHidden/>
              </w:rPr>
              <w:tab/>
            </w:r>
            <w:r w:rsidR="007F5932" w:rsidRPr="00356A3F">
              <w:rPr>
                <w:bCs/>
                <w:webHidden/>
              </w:rPr>
              <w:fldChar w:fldCharType="begin"/>
            </w:r>
            <w:r w:rsidR="007F5932" w:rsidRPr="00356A3F">
              <w:rPr>
                <w:bCs/>
                <w:webHidden/>
              </w:rPr>
              <w:instrText xml:space="preserve"> PAGEREF _Toc93523280 \h </w:instrText>
            </w:r>
            <w:r w:rsidR="007F5932" w:rsidRPr="00356A3F">
              <w:rPr>
                <w:bCs/>
                <w:webHidden/>
              </w:rPr>
            </w:r>
            <w:r w:rsidR="007F5932" w:rsidRPr="00356A3F">
              <w:rPr>
                <w:bCs/>
                <w:webHidden/>
              </w:rPr>
              <w:fldChar w:fldCharType="separate"/>
            </w:r>
            <w:r w:rsidR="00356A3F" w:rsidRPr="00356A3F">
              <w:rPr>
                <w:bCs/>
                <w:webHidden/>
              </w:rPr>
              <w:t>13</w:t>
            </w:r>
            <w:r w:rsidR="007F5932" w:rsidRPr="00356A3F">
              <w:rPr>
                <w:bCs/>
                <w:webHidden/>
              </w:rPr>
              <w:fldChar w:fldCharType="end"/>
            </w:r>
          </w:hyperlink>
        </w:p>
        <w:p w14:paraId="6FD8F84A" w14:textId="77777777" w:rsidR="007F5932" w:rsidRPr="00356A3F" w:rsidRDefault="00820564" w:rsidP="00D6108E">
          <w:pPr>
            <w:pStyle w:val="Verzeichnis2"/>
            <w:rPr>
              <w:rFonts w:eastAsiaTheme="minorEastAsia" w:cstheme="minorHAnsi"/>
              <w:i/>
              <w:iCs/>
              <w:lang w:val="de-AT"/>
            </w:rPr>
          </w:pPr>
          <w:hyperlink w:anchor="_Toc93523281" w:history="1">
            <w:r w:rsidR="007F5932" w:rsidRPr="00356A3F">
              <w:rPr>
                <w:rStyle w:val="Hyperlink"/>
                <w:rFonts w:cstheme="minorHAnsi"/>
              </w:rPr>
              <w:t>2.10</w:t>
            </w:r>
            <w:r w:rsidR="007F5932" w:rsidRPr="00356A3F">
              <w:rPr>
                <w:rFonts w:eastAsiaTheme="minorEastAsia" w:cstheme="minorHAnsi"/>
                <w:lang w:val="de-AT"/>
              </w:rPr>
              <w:tab/>
            </w:r>
            <w:r w:rsidR="007F5932" w:rsidRPr="00356A3F">
              <w:rPr>
                <w:rStyle w:val="Hyperlink"/>
                <w:rFonts w:cstheme="minorHAnsi"/>
              </w:rPr>
              <w:t>CRC TNM-Klassifikation (Version 8)</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_Toc93523281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14</w:t>
            </w:r>
            <w:r w:rsidR="007F5932" w:rsidRPr="00356A3F">
              <w:rPr>
                <w:rFonts w:cstheme="minorHAnsi"/>
                <w:i/>
                <w:iCs/>
                <w:webHidden/>
              </w:rPr>
              <w:fldChar w:fldCharType="end"/>
            </w:r>
          </w:hyperlink>
        </w:p>
        <w:p w14:paraId="71BA1190" w14:textId="77777777" w:rsidR="007F5932" w:rsidRPr="00356A3F" w:rsidRDefault="00820564" w:rsidP="00D6108E">
          <w:pPr>
            <w:pStyle w:val="Verzeichnis2"/>
            <w:rPr>
              <w:rFonts w:eastAsiaTheme="minorEastAsia" w:cstheme="minorHAnsi"/>
              <w:i/>
              <w:iCs/>
              <w:lang w:val="de-AT"/>
            </w:rPr>
          </w:pPr>
          <w:hyperlink w:anchor="_Toc93523282" w:history="1">
            <w:r w:rsidR="007F5932" w:rsidRPr="00356A3F">
              <w:rPr>
                <w:rStyle w:val="Hyperlink"/>
                <w:rFonts w:cstheme="minorHAnsi"/>
              </w:rPr>
              <w:t>2.11</w:t>
            </w:r>
            <w:r w:rsidR="007F5932" w:rsidRPr="00356A3F">
              <w:rPr>
                <w:rFonts w:eastAsiaTheme="minorEastAsia" w:cstheme="minorHAnsi"/>
                <w:lang w:val="de-AT"/>
              </w:rPr>
              <w:tab/>
            </w:r>
            <w:r w:rsidR="007F5932" w:rsidRPr="00356A3F">
              <w:rPr>
                <w:rStyle w:val="Hyperlink"/>
                <w:rFonts w:cstheme="minorHAnsi"/>
              </w:rPr>
              <w:t>CRC UICC-Stadien</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_Toc93523282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15</w:t>
            </w:r>
            <w:r w:rsidR="007F5932" w:rsidRPr="00356A3F">
              <w:rPr>
                <w:rFonts w:cstheme="minorHAnsi"/>
                <w:i/>
                <w:iCs/>
                <w:webHidden/>
              </w:rPr>
              <w:fldChar w:fldCharType="end"/>
            </w:r>
          </w:hyperlink>
        </w:p>
        <w:p w14:paraId="0A40A3B2" w14:textId="77777777" w:rsidR="007F5932" w:rsidRPr="00356A3F" w:rsidRDefault="00820564" w:rsidP="00356A3F">
          <w:pPr>
            <w:pStyle w:val="Verzeichnis1"/>
            <w:rPr>
              <w:rFonts w:eastAsiaTheme="minorEastAsia"/>
              <w:bCs/>
              <w:kern w:val="0"/>
              <w:lang w:val="de-AT" w:eastAsia="de-AT"/>
            </w:rPr>
          </w:pPr>
          <w:hyperlink w:anchor="_Toc93523284" w:history="1">
            <w:r w:rsidR="007F5932" w:rsidRPr="00356A3F">
              <w:rPr>
                <w:rStyle w:val="Hyperlink"/>
                <w:b/>
              </w:rPr>
              <w:t>3</w:t>
            </w:r>
            <w:r w:rsidR="007F5932" w:rsidRPr="00356A3F">
              <w:rPr>
                <w:rFonts w:eastAsiaTheme="minorEastAsia"/>
                <w:kern w:val="0"/>
                <w:lang w:val="de-AT" w:eastAsia="de-AT"/>
              </w:rPr>
              <w:tab/>
            </w:r>
            <w:r w:rsidR="007F5932" w:rsidRPr="00356A3F">
              <w:rPr>
                <w:rStyle w:val="Hyperlink"/>
                <w:b/>
              </w:rPr>
              <w:t>Behandlungsplan</w:t>
            </w:r>
            <w:r w:rsidR="007F5932" w:rsidRPr="00356A3F">
              <w:rPr>
                <w:webHidden/>
              </w:rPr>
              <w:tab/>
            </w:r>
            <w:r w:rsidR="007F5932" w:rsidRPr="00356A3F">
              <w:rPr>
                <w:webHidden/>
              </w:rPr>
              <w:fldChar w:fldCharType="begin"/>
            </w:r>
            <w:r w:rsidR="007F5932" w:rsidRPr="00356A3F">
              <w:rPr>
                <w:webHidden/>
              </w:rPr>
              <w:instrText xml:space="preserve"> PAGEREF _Toc93523284 \h </w:instrText>
            </w:r>
            <w:r w:rsidR="007F5932" w:rsidRPr="00356A3F">
              <w:rPr>
                <w:webHidden/>
              </w:rPr>
            </w:r>
            <w:r w:rsidR="007F5932" w:rsidRPr="00356A3F">
              <w:rPr>
                <w:webHidden/>
              </w:rPr>
              <w:fldChar w:fldCharType="separate"/>
            </w:r>
            <w:r w:rsidR="00356A3F" w:rsidRPr="00356A3F">
              <w:rPr>
                <w:webHidden/>
              </w:rPr>
              <w:t>16</w:t>
            </w:r>
            <w:r w:rsidR="007F5932" w:rsidRPr="00356A3F">
              <w:rPr>
                <w:webHidden/>
              </w:rPr>
              <w:fldChar w:fldCharType="end"/>
            </w:r>
          </w:hyperlink>
        </w:p>
        <w:p w14:paraId="6CD4AA2B" w14:textId="77777777" w:rsidR="007F5932" w:rsidRPr="00356A3F" w:rsidRDefault="00820564" w:rsidP="00D6108E">
          <w:pPr>
            <w:pStyle w:val="Verzeichnis2"/>
            <w:rPr>
              <w:rFonts w:eastAsiaTheme="minorEastAsia" w:cstheme="minorHAnsi"/>
              <w:i/>
              <w:iCs/>
              <w:lang w:val="de-AT"/>
            </w:rPr>
          </w:pPr>
          <w:hyperlink w:anchor="_Toc93523285" w:history="1">
            <w:r w:rsidR="007F5932" w:rsidRPr="00356A3F">
              <w:rPr>
                <w:rStyle w:val="Hyperlink"/>
                <w:rFonts w:cstheme="minorHAnsi"/>
              </w:rPr>
              <w:t>3.1</w:t>
            </w:r>
            <w:r w:rsidR="007F5932" w:rsidRPr="00356A3F">
              <w:rPr>
                <w:rFonts w:eastAsiaTheme="minorEastAsia" w:cstheme="minorHAnsi"/>
                <w:lang w:val="de-AT"/>
              </w:rPr>
              <w:tab/>
            </w:r>
            <w:r w:rsidR="007F5932" w:rsidRPr="00356A3F">
              <w:rPr>
                <w:rStyle w:val="Hyperlink"/>
                <w:rFonts w:cstheme="minorHAnsi"/>
              </w:rPr>
              <w:t>Colonkarzinom, nicht metastasiert</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_Toc93523285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16</w:t>
            </w:r>
            <w:r w:rsidR="007F5932" w:rsidRPr="00356A3F">
              <w:rPr>
                <w:rFonts w:cstheme="minorHAnsi"/>
                <w:i/>
                <w:iCs/>
                <w:webHidden/>
              </w:rPr>
              <w:fldChar w:fldCharType="end"/>
            </w:r>
          </w:hyperlink>
        </w:p>
        <w:p w14:paraId="359130E7" w14:textId="77777777" w:rsidR="007F5932" w:rsidRPr="00356A3F" w:rsidRDefault="00820564" w:rsidP="00D6108E">
          <w:pPr>
            <w:pStyle w:val="Verzeichnis2"/>
            <w:rPr>
              <w:rFonts w:eastAsiaTheme="minorEastAsia" w:cstheme="minorHAnsi"/>
              <w:i/>
              <w:iCs/>
              <w:lang w:val="de-AT"/>
            </w:rPr>
          </w:pPr>
          <w:hyperlink w:anchor="_Toc93523286" w:history="1">
            <w:r w:rsidR="007F5932" w:rsidRPr="00356A3F">
              <w:rPr>
                <w:rStyle w:val="Hyperlink"/>
                <w:rFonts w:cstheme="minorHAnsi"/>
              </w:rPr>
              <w:t>3.2</w:t>
            </w:r>
            <w:r w:rsidR="007F5932" w:rsidRPr="00356A3F">
              <w:rPr>
                <w:rFonts w:eastAsiaTheme="minorEastAsia" w:cstheme="minorHAnsi"/>
                <w:lang w:val="de-AT"/>
              </w:rPr>
              <w:tab/>
            </w:r>
            <w:r w:rsidR="007F5932" w:rsidRPr="00356A3F">
              <w:rPr>
                <w:rStyle w:val="Hyperlink"/>
                <w:rFonts w:cstheme="minorHAnsi"/>
              </w:rPr>
              <w:t>Metastasiertes Colonkarzinom</w:t>
            </w:r>
            <w:r w:rsidR="007F5932" w:rsidRPr="00356A3F">
              <w:rPr>
                <w:rFonts w:cstheme="minorHAnsi"/>
                <w:webHidden/>
              </w:rPr>
              <w:tab/>
            </w:r>
            <w:r w:rsidR="007F5932" w:rsidRPr="00356A3F">
              <w:rPr>
                <w:rFonts w:cstheme="minorHAnsi"/>
                <w:i/>
                <w:iCs/>
                <w:webHidden/>
              </w:rPr>
              <w:fldChar w:fldCharType="begin"/>
            </w:r>
            <w:r w:rsidR="007F5932" w:rsidRPr="00356A3F">
              <w:rPr>
                <w:rFonts w:cstheme="minorHAnsi"/>
                <w:webHidden/>
              </w:rPr>
              <w:instrText xml:space="preserve"> PAGEREF _Toc93523286 \h </w:instrText>
            </w:r>
            <w:r w:rsidR="007F5932" w:rsidRPr="00356A3F">
              <w:rPr>
                <w:rFonts w:cstheme="minorHAnsi"/>
                <w:i/>
                <w:iCs/>
                <w:webHidden/>
              </w:rPr>
            </w:r>
            <w:r w:rsidR="007F5932" w:rsidRPr="00356A3F">
              <w:rPr>
                <w:rFonts w:cstheme="minorHAnsi"/>
                <w:i/>
                <w:iCs/>
                <w:webHidden/>
              </w:rPr>
              <w:fldChar w:fldCharType="separate"/>
            </w:r>
            <w:r w:rsidR="00356A3F" w:rsidRPr="00356A3F">
              <w:rPr>
                <w:rFonts w:cstheme="minorHAnsi"/>
                <w:webHidden/>
              </w:rPr>
              <w:t>17</w:t>
            </w:r>
            <w:r w:rsidR="007F5932" w:rsidRPr="00356A3F">
              <w:rPr>
                <w:rFonts w:cstheme="minorHAnsi"/>
                <w:i/>
                <w:iCs/>
                <w:webHidden/>
              </w:rPr>
              <w:fldChar w:fldCharType="end"/>
            </w:r>
          </w:hyperlink>
        </w:p>
        <w:p w14:paraId="1E0DDC5F" w14:textId="77777777" w:rsidR="007F5932" w:rsidRPr="00356A3F" w:rsidRDefault="00820564">
          <w:pPr>
            <w:pStyle w:val="Verzeichnis3"/>
            <w:rPr>
              <w:rFonts w:eastAsiaTheme="minorEastAsia"/>
            </w:rPr>
          </w:pPr>
          <w:hyperlink w:anchor="_Toc93523287" w:history="1">
            <w:r w:rsidR="007F5932" w:rsidRPr="00356A3F">
              <w:rPr>
                <w:rStyle w:val="Hyperlink"/>
              </w:rPr>
              <w:t>3.2.1</w:t>
            </w:r>
            <w:r w:rsidR="007F5932" w:rsidRPr="00356A3F">
              <w:rPr>
                <w:rFonts w:eastAsiaTheme="minorEastAsia"/>
              </w:rPr>
              <w:tab/>
            </w:r>
            <w:r w:rsidR="007F5932" w:rsidRPr="00356A3F">
              <w:rPr>
                <w:rStyle w:val="Hyperlink"/>
              </w:rPr>
              <w:t>Metastasiertes Colonkarzinom: Therapie-Prinzipien</w:t>
            </w:r>
            <w:r w:rsidR="007F5932" w:rsidRPr="00356A3F">
              <w:rPr>
                <w:webHidden/>
              </w:rPr>
              <w:tab/>
            </w:r>
            <w:r w:rsidR="007F5932" w:rsidRPr="00356A3F">
              <w:rPr>
                <w:webHidden/>
              </w:rPr>
              <w:fldChar w:fldCharType="begin"/>
            </w:r>
            <w:r w:rsidR="007F5932" w:rsidRPr="00356A3F">
              <w:rPr>
                <w:webHidden/>
              </w:rPr>
              <w:instrText xml:space="preserve"> PAGEREF _Toc93523287 \h </w:instrText>
            </w:r>
            <w:r w:rsidR="007F5932" w:rsidRPr="00356A3F">
              <w:rPr>
                <w:webHidden/>
              </w:rPr>
            </w:r>
            <w:r w:rsidR="007F5932" w:rsidRPr="00356A3F">
              <w:rPr>
                <w:webHidden/>
              </w:rPr>
              <w:fldChar w:fldCharType="separate"/>
            </w:r>
            <w:r w:rsidR="00356A3F" w:rsidRPr="00356A3F">
              <w:rPr>
                <w:webHidden/>
              </w:rPr>
              <w:t>17</w:t>
            </w:r>
            <w:r w:rsidR="007F5932" w:rsidRPr="00356A3F">
              <w:rPr>
                <w:webHidden/>
              </w:rPr>
              <w:fldChar w:fldCharType="end"/>
            </w:r>
          </w:hyperlink>
        </w:p>
        <w:p w14:paraId="14CBE2CF" w14:textId="77777777" w:rsidR="007F5932" w:rsidRPr="00356A3F" w:rsidRDefault="00820564">
          <w:pPr>
            <w:pStyle w:val="Verzeichnis3"/>
            <w:rPr>
              <w:rFonts w:eastAsiaTheme="minorEastAsia"/>
            </w:rPr>
          </w:pPr>
          <w:hyperlink w:anchor="_Toc93523288" w:history="1">
            <w:r w:rsidR="007F5932" w:rsidRPr="00356A3F">
              <w:rPr>
                <w:rStyle w:val="Hyperlink"/>
              </w:rPr>
              <w:t>3.2.2</w:t>
            </w:r>
            <w:r w:rsidR="007F5932" w:rsidRPr="00356A3F">
              <w:rPr>
                <w:rFonts w:eastAsiaTheme="minorEastAsia"/>
              </w:rPr>
              <w:tab/>
            </w:r>
            <w:r w:rsidR="007F5932" w:rsidRPr="00356A3F">
              <w:rPr>
                <w:rStyle w:val="Hyperlink"/>
              </w:rPr>
              <w:t>Metastasiertes Colonkarzinom: Gesamtüberblick</w:t>
            </w:r>
            <w:r w:rsidR="007F5932" w:rsidRPr="00356A3F">
              <w:rPr>
                <w:webHidden/>
              </w:rPr>
              <w:tab/>
            </w:r>
            <w:r w:rsidR="007F5932" w:rsidRPr="00356A3F">
              <w:rPr>
                <w:webHidden/>
              </w:rPr>
              <w:fldChar w:fldCharType="begin"/>
            </w:r>
            <w:r w:rsidR="007F5932" w:rsidRPr="00356A3F">
              <w:rPr>
                <w:webHidden/>
              </w:rPr>
              <w:instrText xml:space="preserve"> PAGEREF _Toc93523288 \h </w:instrText>
            </w:r>
            <w:r w:rsidR="007F5932" w:rsidRPr="00356A3F">
              <w:rPr>
                <w:webHidden/>
              </w:rPr>
            </w:r>
            <w:r w:rsidR="007F5932" w:rsidRPr="00356A3F">
              <w:rPr>
                <w:webHidden/>
              </w:rPr>
              <w:fldChar w:fldCharType="separate"/>
            </w:r>
            <w:r w:rsidR="00356A3F" w:rsidRPr="00356A3F">
              <w:rPr>
                <w:webHidden/>
              </w:rPr>
              <w:t>18</w:t>
            </w:r>
            <w:r w:rsidR="007F5932" w:rsidRPr="00356A3F">
              <w:rPr>
                <w:webHidden/>
              </w:rPr>
              <w:fldChar w:fldCharType="end"/>
            </w:r>
          </w:hyperlink>
        </w:p>
        <w:p w14:paraId="6CC8DED0" w14:textId="77777777" w:rsidR="007F5932" w:rsidRPr="00356A3F" w:rsidRDefault="00820564" w:rsidP="007F5932">
          <w:pPr>
            <w:pStyle w:val="Verzeichnis3"/>
            <w:rPr>
              <w:rFonts w:eastAsiaTheme="minorEastAsia"/>
            </w:rPr>
          </w:pPr>
          <w:hyperlink w:anchor="_Toc93523289" w:history="1">
            <w:r w:rsidR="007F5932" w:rsidRPr="00356A3F">
              <w:rPr>
                <w:rStyle w:val="Hyperlink"/>
                <w:lang w:val="de-DE"/>
              </w:rPr>
              <w:t>3.2.3</w:t>
            </w:r>
            <w:r w:rsidR="007F5932" w:rsidRPr="00356A3F">
              <w:rPr>
                <w:rFonts w:eastAsiaTheme="minorEastAsia"/>
              </w:rPr>
              <w:tab/>
            </w:r>
            <w:r w:rsidR="007F5932" w:rsidRPr="00356A3F">
              <w:rPr>
                <w:rStyle w:val="Hyperlink"/>
                <w:lang w:val="de-DE"/>
              </w:rPr>
              <w:t>Colonkarzinom, synchron oder sekundär metastasiert, primär operabel</w:t>
            </w:r>
            <w:r w:rsidR="007F5932" w:rsidRPr="00356A3F">
              <w:rPr>
                <w:webHidden/>
              </w:rPr>
              <w:tab/>
            </w:r>
            <w:r w:rsidR="007F5932" w:rsidRPr="00356A3F">
              <w:rPr>
                <w:webHidden/>
              </w:rPr>
              <w:fldChar w:fldCharType="begin"/>
            </w:r>
            <w:r w:rsidR="007F5932" w:rsidRPr="00356A3F">
              <w:rPr>
                <w:webHidden/>
              </w:rPr>
              <w:instrText xml:space="preserve"> PAGEREF _Toc93523289 \h </w:instrText>
            </w:r>
            <w:r w:rsidR="007F5932" w:rsidRPr="00356A3F">
              <w:rPr>
                <w:webHidden/>
              </w:rPr>
            </w:r>
            <w:r w:rsidR="007F5932" w:rsidRPr="00356A3F">
              <w:rPr>
                <w:webHidden/>
              </w:rPr>
              <w:fldChar w:fldCharType="separate"/>
            </w:r>
            <w:r w:rsidR="00356A3F" w:rsidRPr="00356A3F">
              <w:rPr>
                <w:webHidden/>
              </w:rPr>
              <w:t>19</w:t>
            </w:r>
            <w:r w:rsidR="007F5932" w:rsidRPr="00356A3F">
              <w:rPr>
                <w:webHidden/>
              </w:rPr>
              <w:fldChar w:fldCharType="end"/>
            </w:r>
          </w:hyperlink>
        </w:p>
        <w:p w14:paraId="7118B391" w14:textId="77777777" w:rsidR="007F5932" w:rsidRPr="00356A3F" w:rsidRDefault="00820564" w:rsidP="007F5932">
          <w:pPr>
            <w:pStyle w:val="Verzeichnis3"/>
            <w:tabs>
              <w:tab w:val="left" w:pos="1760"/>
            </w:tabs>
            <w:jc w:val="both"/>
            <w:rPr>
              <w:rFonts w:eastAsiaTheme="minorEastAsia"/>
            </w:rPr>
          </w:pPr>
          <w:hyperlink w:anchor="_Toc93523291" w:history="1">
            <w:r w:rsidR="007F5932" w:rsidRPr="00356A3F">
              <w:rPr>
                <w:rStyle w:val="Hyperlink"/>
                <w:lang w:val="de-DE"/>
              </w:rPr>
              <w:t>3.2.4</w:t>
            </w:r>
            <w:r w:rsidR="007F5932" w:rsidRPr="00356A3F">
              <w:rPr>
                <w:rFonts w:eastAsiaTheme="minorEastAsia"/>
              </w:rPr>
              <w:tab/>
            </w:r>
            <w:r w:rsidR="007F5932" w:rsidRPr="00356A3F">
              <w:rPr>
                <w:rStyle w:val="Hyperlink"/>
                <w:lang w:val="de-DE"/>
              </w:rPr>
              <w:t>Anmerkungen zur peri- oder postoperativen Chemotherapie bei primär resektablen Metastasen</w:t>
            </w:r>
            <w:r w:rsidR="00D6108E" w:rsidRPr="00356A3F">
              <w:rPr>
                <w:webHidden/>
              </w:rPr>
              <w:t>…………………………………………………………………………………………………………………………………….</w:t>
            </w:r>
            <w:r w:rsidR="007F5932" w:rsidRPr="00356A3F">
              <w:rPr>
                <w:webHidden/>
              </w:rPr>
              <w:fldChar w:fldCharType="begin"/>
            </w:r>
            <w:r w:rsidR="007F5932" w:rsidRPr="00356A3F">
              <w:rPr>
                <w:webHidden/>
              </w:rPr>
              <w:instrText xml:space="preserve"> PAGEREF _Toc93523291 \h </w:instrText>
            </w:r>
            <w:r w:rsidR="007F5932" w:rsidRPr="00356A3F">
              <w:rPr>
                <w:webHidden/>
              </w:rPr>
            </w:r>
            <w:r w:rsidR="007F5932" w:rsidRPr="00356A3F">
              <w:rPr>
                <w:webHidden/>
              </w:rPr>
              <w:fldChar w:fldCharType="separate"/>
            </w:r>
            <w:r w:rsidR="00356A3F" w:rsidRPr="00356A3F">
              <w:rPr>
                <w:webHidden/>
              </w:rPr>
              <w:t>20</w:t>
            </w:r>
            <w:r w:rsidR="007F5932" w:rsidRPr="00356A3F">
              <w:rPr>
                <w:webHidden/>
              </w:rPr>
              <w:fldChar w:fldCharType="end"/>
            </w:r>
          </w:hyperlink>
        </w:p>
        <w:p w14:paraId="5BADB1FE" w14:textId="77777777" w:rsidR="007F5932" w:rsidRPr="00356A3F" w:rsidRDefault="00820564">
          <w:pPr>
            <w:pStyle w:val="Verzeichnis3"/>
            <w:rPr>
              <w:rFonts w:eastAsiaTheme="minorEastAsia"/>
            </w:rPr>
          </w:pPr>
          <w:hyperlink w:anchor="_Toc93523292" w:history="1">
            <w:r w:rsidR="007F5932" w:rsidRPr="00356A3F">
              <w:rPr>
                <w:rStyle w:val="Hyperlink"/>
                <w:lang w:val="de-DE"/>
              </w:rPr>
              <w:t>3.2.5</w:t>
            </w:r>
            <w:r w:rsidR="007F5932" w:rsidRPr="00356A3F">
              <w:rPr>
                <w:rFonts w:eastAsiaTheme="minorEastAsia"/>
              </w:rPr>
              <w:tab/>
            </w:r>
            <w:r w:rsidR="007F5932" w:rsidRPr="00356A3F">
              <w:rPr>
                <w:rStyle w:val="Hyperlink"/>
                <w:lang w:val="de-DE"/>
              </w:rPr>
              <w:t>Colonkarzinom metastasiert, Ziel: Zytoreduktion</w:t>
            </w:r>
            <w:r w:rsidR="007F5932" w:rsidRPr="00356A3F">
              <w:rPr>
                <w:webHidden/>
              </w:rPr>
              <w:tab/>
            </w:r>
            <w:r w:rsidR="007F5932" w:rsidRPr="00356A3F">
              <w:rPr>
                <w:webHidden/>
              </w:rPr>
              <w:fldChar w:fldCharType="begin"/>
            </w:r>
            <w:r w:rsidR="007F5932" w:rsidRPr="00356A3F">
              <w:rPr>
                <w:webHidden/>
              </w:rPr>
              <w:instrText xml:space="preserve"> PAGEREF _Toc93523292 \h </w:instrText>
            </w:r>
            <w:r w:rsidR="007F5932" w:rsidRPr="00356A3F">
              <w:rPr>
                <w:webHidden/>
              </w:rPr>
            </w:r>
            <w:r w:rsidR="007F5932" w:rsidRPr="00356A3F">
              <w:rPr>
                <w:webHidden/>
              </w:rPr>
              <w:fldChar w:fldCharType="separate"/>
            </w:r>
            <w:r w:rsidR="00356A3F" w:rsidRPr="00356A3F">
              <w:rPr>
                <w:webHidden/>
              </w:rPr>
              <w:t>21</w:t>
            </w:r>
            <w:r w:rsidR="007F5932" w:rsidRPr="00356A3F">
              <w:rPr>
                <w:webHidden/>
              </w:rPr>
              <w:fldChar w:fldCharType="end"/>
            </w:r>
          </w:hyperlink>
        </w:p>
        <w:p w14:paraId="319241E7" w14:textId="77777777" w:rsidR="007F5932" w:rsidRPr="00356A3F" w:rsidRDefault="00820564">
          <w:pPr>
            <w:pStyle w:val="Verzeichnis3"/>
            <w:rPr>
              <w:rFonts w:eastAsiaTheme="minorEastAsia"/>
            </w:rPr>
          </w:pPr>
          <w:hyperlink w:anchor="_Toc93523293" w:history="1">
            <w:r w:rsidR="007F5932" w:rsidRPr="00356A3F">
              <w:rPr>
                <w:rStyle w:val="Hyperlink"/>
                <w:lang w:val="de-DE"/>
              </w:rPr>
              <w:t>3.2.6</w:t>
            </w:r>
            <w:r w:rsidR="007F5932" w:rsidRPr="00356A3F">
              <w:rPr>
                <w:rFonts w:eastAsiaTheme="minorEastAsia"/>
              </w:rPr>
              <w:tab/>
            </w:r>
            <w:r w:rsidR="007F5932" w:rsidRPr="00356A3F">
              <w:rPr>
                <w:rStyle w:val="Hyperlink"/>
                <w:lang w:val="de-DE"/>
              </w:rPr>
              <w:t>Colonkarzinom metastasiert, Ziel: Krankheitskontrolle</w:t>
            </w:r>
            <w:r w:rsidR="007F5932" w:rsidRPr="00356A3F">
              <w:rPr>
                <w:webHidden/>
              </w:rPr>
              <w:tab/>
            </w:r>
            <w:r w:rsidR="007F5932" w:rsidRPr="00356A3F">
              <w:rPr>
                <w:webHidden/>
              </w:rPr>
              <w:fldChar w:fldCharType="begin"/>
            </w:r>
            <w:r w:rsidR="007F5932" w:rsidRPr="00356A3F">
              <w:rPr>
                <w:webHidden/>
              </w:rPr>
              <w:instrText xml:space="preserve"> PAGEREF _Toc93523293 \h </w:instrText>
            </w:r>
            <w:r w:rsidR="007F5932" w:rsidRPr="00356A3F">
              <w:rPr>
                <w:webHidden/>
              </w:rPr>
            </w:r>
            <w:r w:rsidR="007F5932" w:rsidRPr="00356A3F">
              <w:rPr>
                <w:webHidden/>
              </w:rPr>
              <w:fldChar w:fldCharType="separate"/>
            </w:r>
            <w:r w:rsidR="00356A3F" w:rsidRPr="00356A3F">
              <w:rPr>
                <w:webHidden/>
              </w:rPr>
              <w:t>22</w:t>
            </w:r>
            <w:r w:rsidR="007F5932" w:rsidRPr="00356A3F">
              <w:rPr>
                <w:webHidden/>
              </w:rPr>
              <w:fldChar w:fldCharType="end"/>
            </w:r>
          </w:hyperlink>
        </w:p>
        <w:p w14:paraId="52F71295" w14:textId="77777777" w:rsidR="007F5932" w:rsidRPr="00356A3F" w:rsidRDefault="00820564">
          <w:pPr>
            <w:pStyle w:val="Verzeichnis3"/>
            <w:rPr>
              <w:rFonts w:eastAsiaTheme="minorEastAsia"/>
            </w:rPr>
          </w:pPr>
          <w:hyperlink w:anchor="_Toc93523294" w:history="1">
            <w:r w:rsidR="007F5932" w:rsidRPr="00356A3F">
              <w:rPr>
                <w:rStyle w:val="Hyperlink"/>
                <w:lang w:val="de-DE"/>
              </w:rPr>
              <w:t>3.2.7</w:t>
            </w:r>
            <w:r w:rsidR="007F5932" w:rsidRPr="00356A3F">
              <w:rPr>
                <w:rFonts w:eastAsiaTheme="minorEastAsia"/>
              </w:rPr>
              <w:tab/>
            </w:r>
            <w:r w:rsidR="007F5932" w:rsidRPr="00356A3F">
              <w:rPr>
                <w:rStyle w:val="Hyperlink"/>
                <w:lang w:val="de-DE"/>
              </w:rPr>
              <w:t>Indikationen für Umstellung auf Zweitlinientherapie</w:t>
            </w:r>
            <w:r w:rsidR="007F5932" w:rsidRPr="00356A3F">
              <w:rPr>
                <w:webHidden/>
              </w:rPr>
              <w:tab/>
            </w:r>
            <w:r w:rsidR="007F5932" w:rsidRPr="00356A3F">
              <w:rPr>
                <w:webHidden/>
              </w:rPr>
              <w:fldChar w:fldCharType="begin"/>
            </w:r>
            <w:r w:rsidR="007F5932" w:rsidRPr="00356A3F">
              <w:rPr>
                <w:webHidden/>
              </w:rPr>
              <w:instrText xml:space="preserve"> PAGEREF _Toc93523294 \h </w:instrText>
            </w:r>
            <w:r w:rsidR="007F5932" w:rsidRPr="00356A3F">
              <w:rPr>
                <w:webHidden/>
              </w:rPr>
            </w:r>
            <w:r w:rsidR="007F5932" w:rsidRPr="00356A3F">
              <w:rPr>
                <w:webHidden/>
              </w:rPr>
              <w:fldChar w:fldCharType="separate"/>
            </w:r>
            <w:r w:rsidR="00356A3F" w:rsidRPr="00356A3F">
              <w:rPr>
                <w:webHidden/>
              </w:rPr>
              <w:t>23</w:t>
            </w:r>
            <w:r w:rsidR="007F5932" w:rsidRPr="00356A3F">
              <w:rPr>
                <w:webHidden/>
              </w:rPr>
              <w:fldChar w:fldCharType="end"/>
            </w:r>
          </w:hyperlink>
        </w:p>
        <w:p w14:paraId="6B90CBE6" w14:textId="77777777" w:rsidR="007F5932" w:rsidRPr="00356A3F" w:rsidRDefault="00820564">
          <w:pPr>
            <w:pStyle w:val="Verzeichnis3"/>
            <w:rPr>
              <w:rFonts w:eastAsiaTheme="minorEastAsia"/>
            </w:rPr>
          </w:pPr>
          <w:hyperlink w:anchor="_Toc93523295" w:history="1">
            <w:r w:rsidR="007F5932" w:rsidRPr="00356A3F">
              <w:rPr>
                <w:rStyle w:val="Hyperlink"/>
                <w:lang w:val="de-DE"/>
              </w:rPr>
              <w:t>3.2.8</w:t>
            </w:r>
            <w:r w:rsidR="007F5932" w:rsidRPr="00356A3F">
              <w:rPr>
                <w:rFonts w:eastAsiaTheme="minorEastAsia"/>
              </w:rPr>
              <w:tab/>
            </w:r>
            <w:r w:rsidR="007F5932" w:rsidRPr="00356A3F">
              <w:rPr>
                <w:rStyle w:val="Hyperlink"/>
                <w:lang w:val="de-DE"/>
              </w:rPr>
              <w:t>Oligometastasiertes CRC</w:t>
            </w:r>
            <w:r w:rsidR="007F5932" w:rsidRPr="00356A3F">
              <w:rPr>
                <w:webHidden/>
              </w:rPr>
              <w:tab/>
            </w:r>
            <w:r w:rsidR="007F5932" w:rsidRPr="00356A3F">
              <w:rPr>
                <w:webHidden/>
              </w:rPr>
              <w:fldChar w:fldCharType="begin"/>
            </w:r>
            <w:r w:rsidR="007F5932" w:rsidRPr="00356A3F">
              <w:rPr>
                <w:webHidden/>
              </w:rPr>
              <w:instrText xml:space="preserve"> PAGEREF _Toc93523295 \h </w:instrText>
            </w:r>
            <w:r w:rsidR="007F5932" w:rsidRPr="00356A3F">
              <w:rPr>
                <w:webHidden/>
              </w:rPr>
            </w:r>
            <w:r w:rsidR="007F5932" w:rsidRPr="00356A3F">
              <w:rPr>
                <w:webHidden/>
              </w:rPr>
              <w:fldChar w:fldCharType="separate"/>
            </w:r>
            <w:r w:rsidR="00356A3F" w:rsidRPr="00356A3F">
              <w:rPr>
                <w:webHidden/>
              </w:rPr>
              <w:t>23</w:t>
            </w:r>
            <w:r w:rsidR="007F5932" w:rsidRPr="00356A3F">
              <w:rPr>
                <w:webHidden/>
              </w:rPr>
              <w:fldChar w:fldCharType="end"/>
            </w:r>
          </w:hyperlink>
        </w:p>
        <w:p w14:paraId="2CEB145E" w14:textId="77777777" w:rsidR="007F5932" w:rsidRPr="00356A3F" w:rsidRDefault="00820564" w:rsidP="00D6108E">
          <w:pPr>
            <w:pStyle w:val="Verzeichnis2"/>
            <w:rPr>
              <w:rFonts w:eastAsiaTheme="minorEastAsia" w:cstheme="minorHAnsi"/>
              <w:lang w:val="de-AT"/>
            </w:rPr>
          </w:pPr>
          <w:hyperlink w:anchor="_Toc93523296" w:history="1">
            <w:r w:rsidR="007F5932" w:rsidRPr="00356A3F">
              <w:rPr>
                <w:rStyle w:val="Hyperlink"/>
                <w:rFonts w:cstheme="minorHAnsi"/>
              </w:rPr>
              <w:t>3.3</w:t>
            </w:r>
            <w:r w:rsidR="007F5932" w:rsidRPr="00356A3F">
              <w:rPr>
                <w:rFonts w:eastAsiaTheme="minorEastAsia" w:cstheme="minorHAnsi"/>
                <w:lang w:val="de-AT"/>
              </w:rPr>
              <w:tab/>
            </w:r>
            <w:r w:rsidR="007F5932" w:rsidRPr="00356A3F">
              <w:rPr>
                <w:rStyle w:val="Hyperlink"/>
                <w:rFonts w:cstheme="minorHAnsi"/>
              </w:rPr>
              <w:t>Lokalablative Therapien</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_Toc93523296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24</w:t>
            </w:r>
            <w:r w:rsidR="007F5932" w:rsidRPr="00356A3F">
              <w:rPr>
                <w:rFonts w:cstheme="minorHAnsi"/>
                <w:webHidden/>
              </w:rPr>
              <w:fldChar w:fldCharType="end"/>
            </w:r>
          </w:hyperlink>
        </w:p>
        <w:p w14:paraId="51791D82" w14:textId="77777777" w:rsidR="007F5932" w:rsidRPr="00356A3F" w:rsidRDefault="00820564" w:rsidP="00D6108E">
          <w:pPr>
            <w:pStyle w:val="Verzeichnis2"/>
            <w:rPr>
              <w:rFonts w:eastAsiaTheme="minorEastAsia" w:cstheme="minorHAnsi"/>
              <w:lang w:val="de-AT"/>
            </w:rPr>
          </w:pPr>
          <w:hyperlink w:anchor="_Toc93523297" w:history="1">
            <w:r w:rsidR="007F5932" w:rsidRPr="00356A3F">
              <w:rPr>
                <w:rStyle w:val="Hyperlink"/>
                <w:rFonts w:cstheme="minorHAnsi"/>
              </w:rPr>
              <w:t>3.4</w:t>
            </w:r>
            <w:r w:rsidR="007F5932" w:rsidRPr="00356A3F">
              <w:rPr>
                <w:rFonts w:eastAsiaTheme="minorEastAsia" w:cstheme="minorHAnsi"/>
                <w:lang w:val="de-AT"/>
              </w:rPr>
              <w:tab/>
            </w:r>
            <w:r w:rsidR="007F5932" w:rsidRPr="00356A3F">
              <w:rPr>
                <w:rStyle w:val="Hyperlink"/>
                <w:rFonts w:cstheme="minorHAnsi"/>
              </w:rPr>
              <w:t>Rektumkarzinom, nicht metastasiert</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_Toc93523297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25</w:t>
            </w:r>
            <w:r w:rsidR="007F5932" w:rsidRPr="00356A3F">
              <w:rPr>
                <w:rFonts w:cstheme="minorHAnsi"/>
                <w:webHidden/>
              </w:rPr>
              <w:fldChar w:fldCharType="end"/>
            </w:r>
          </w:hyperlink>
        </w:p>
        <w:p w14:paraId="2E6DE962" w14:textId="77777777" w:rsidR="007F5932" w:rsidRPr="00356A3F" w:rsidRDefault="00820564" w:rsidP="00D6108E">
          <w:pPr>
            <w:pStyle w:val="Verzeichnis2"/>
            <w:rPr>
              <w:rFonts w:eastAsiaTheme="minorEastAsia" w:cstheme="minorHAnsi"/>
              <w:lang w:val="de-AT"/>
            </w:rPr>
          </w:pPr>
          <w:hyperlink w:anchor="_Toc93523298" w:history="1">
            <w:r w:rsidR="007F5932" w:rsidRPr="00356A3F">
              <w:rPr>
                <w:rStyle w:val="Hyperlink"/>
                <w:rFonts w:cstheme="minorHAnsi"/>
              </w:rPr>
              <w:t>3.5</w:t>
            </w:r>
            <w:r w:rsidR="007F5932" w:rsidRPr="00356A3F">
              <w:rPr>
                <w:rFonts w:eastAsiaTheme="minorEastAsia" w:cstheme="minorHAnsi"/>
                <w:lang w:val="de-AT"/>
              </w:rPr>
              <w:tab/>
            </w:r>
            <w:r w:rsidR="007F5932" w:rsidRPr="00356A3F">
              <w:rPr>
                <w:rStyle w:val="Hyperlink"/>
                <w:rFonts w:cstheme="minorHAnsi"/>
              </w:rPr>
              <w:t>Indikationen für postoperative Chemoradiotherapie</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_Toc93523298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26</w:t>
            </w:r>
            <w:r w:rsidR="007F5932" w:rsidRPr="00356A3F">
              <w:rPr>
                <w:rFonts w:cstheme="minorHAnsi"/>
                <w:webHidden/>
              </w:rPr>
              <w:fldChar w:fldCharType="end"/>
            </w:r>
          </w:hyperlink>
        </w:p>
        <w:p w14:paraId="499F1052" w14:textId="77777777" w:rsidR="007F5932" w:rsidRPr="00356A3F" w:rsidRDefault="00820564" w:rsidP="00D6108E">
          <w:pPr>
            <w:pStyle w:val="Verzeichnis2"/>
            <w:rPr>
              <w:rFonts w:eastAsiaTheme="minorEastAsia" w:cstheme="minorHAnsi"/>
              <w:lang w:val="de-AT"/>
            </w:rPr>
          </w:pPr>
          <w:hyperlink w:anchor="_Toc93523299" w:history="1">
            <w:r w:rsidR="007F5932" w:rsidRPr="00356A3F">
              <w:rPr>
                <w:rStyle w:val="Hyperlink"/>
                <w:rFonts w:cstheme="minorHAnsi"/>
              </w:rPr>
              <w:t>3.6</w:t>
            </w:r>
            <w:r w:rsidR="007F5932" w:rsidRPr="00356A3F">
              <w:rPr>
                <w:rFonts w:eastAsiaTheme="minorEastAsia" w:cstheme="minorHAnsi"/>
                <w:lang w:val="de-AT"/>
              </w:rPr>
              <w:tab/>
            </w:r>
            <w:r w:rsidR="007F5932" w:rsidRPr="00356A3F">
              <w:rPr>
                <w:rStyle w:val="Hyperlink"/>
                <w:rFonts w:cstheme="minorHAnsi"/>
              </w:rPr>
              <w:t>Anmerkungen zum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_Toc93523299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27</w:t>
            </w:r>
            <w:r w:rsidR="007F5932" w:rsidRPr="00356A3F">
              <w:rPr>
                <w:rFonts w:cstheme="minorHAnsi"/>
                <w:webHidden/>
              </w:rPr>
              <w:fldChar w:fldCharType="end"/>
            </w:r>
          </w:hyperlink>
        </w:p>
        <w:p w14:paraId="7641EAB5" w14:textId="77777777" w:rsidR="007F5932" w:rsidRPr="00356A3F" w:rsidRDefault="00820564" w:rsidP="00D6108E">
          <w:pPr>
            <w:pStyle w:val="Verzeichnis2"/>
            <w:rPr>
              <w:rFonts w:eastAsiaTheme="minorEastAsia" w:cstheme="minorHAnsi"/>
              <w:lang w:val="de-AT"/>
            </w:rPr>
          </w:pPr>
          <w:hyperlink w:anchor="_Toc93523300" w:history="1">
            <w:r w:rsidR="007F5932" w:rsidRPr="00356A3F">
              <w:rPr>
                <w:rStyle w:val="Hyperlink"/>
                <w:rFonts w:cstheme="minorHAnsi"/>
              </w:rPr>
              <w:t>3.7</w:t>
            </w:r>
            <w:r w:rsidR="007F5932" w:rsidRPr="00356A3F">
              <w:rPr>
                <w:rFonts w:eastAsiaTheme="minorEastAsia" w:cstheme="minorHAnsi"/>
                <w:lang w:val="de-AT"/>
              </w:rPr>
              <w:tab/>
            </w:r>
            <w:r w:rsidR="007F5932" w:rsidRPr="00356A3F">
              <w:rPr>
                <w:rStyle w:val="Hyperlink"/>
                <w:rFonts w:cstheme="minorHAnsi"/>
              </w:rPr>
              <w:t>Anmerkungen Radiologie beim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_Toc93523300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28</w:t>
            </w:r>
            <w:r w:rsidR="007F5932" w:rsidRPr="00356A3F">
              <w:rPr>
                <w:rFonts w:cstheme="minorHAnsi"/>
                <w:webHidden/>
              </w:rPr>
              <w:fldChar w:fldCharType="end"/>
            </w:r>
          </w:hyperlink>
        </w:p>
        <w:p w14:paraId="59D6288C" w14:textId="77777777" w:rsidR="007F5932" w:rsidRPr="00356A3F" w:rsidRDefault="00820564" w:rsidP="00D6108E">
          <w:pPr>
            <w:pStyle w:val="Verzeichnis2"/>
            <w:rPr>
              <w:rFonts w:eastAsiaTheme="minorEastAsia" w:cstheme="minorHAnsi"/>
              <w:lang w:val="de-AT"/>
            </w:rPr>
          </w:pPr>
          <w:hyperlink w:anchor="_Toc93523301" w:history="1">
            <w:r w:rsidR="007F5932" w:rsidRPr="00356A3F">
              <w:rPr>
                <w:rStyle w:val="Hyperlink"/>
                <w:rFonts w:cstheme="minorHAnsi"/>
              </w:rPr>
              <w:t>3.8</w:t>
            </w:r>
            <w:r w:rsidR="007F5932" w:rsidRPr="00356A3F">
              <w:rPr>
                <w:rFonts w:eastAsiaTheme="minorEastAsia" w:cstheme="minorHAnsi"/>
                <w:lang w:val="de-AT"/>
              </w:rPr>
              <w:tab/>
            </w:r>
            <w:r w:rsidR="007F5932" w:rsidRPr="00356A3F">
              <w:rPr>
                <w:rStyle w:val="Hyperlink"/>
                <w:rFonts w:cstheme="minorHAnsi"/>
              </w:rPr>
              <w:t>Timing der Operation nach Bestrahlung</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_Toc93523301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29</w:t>
            </w:r>
            <w:r w:rsidR="007F5932" w:rsidRPr="00356A3F">
              <w:rPr>
                <w:rFonts w:cstheme="minorHAnsi"/>
                <w:webHidden/>
              </w:rPr>
              <w:fldChar w:fldCharType="end"/>
            </w:r>
          </w:hyperlink>
        </w:p>
        <w:p w14:paraId="07DE7A60" w14:textId="77777777" w:rsidR="007F5932" w:rsidRPr="00356A3F" w:rsidRDefault="00820564" w:rsidP="00D6108E">
          <w:pPr>
            <w:pStyle w:val="Verzeichnis2"/>
            <w:rPr>
              <w:rFonts w:eastAsiaTheme="minorEastAsia" w:cstheme="minorHAnsi"/>
              <w:lang w:val="de-AT"/>
            </w:rPr>
          </w:pPr>
          <w:hyperlink w:anchor="_Toc93523302" w:history="1">
            <w:r w:rsidR="007F5932" w:rsidRPr="00356A3F">
              <w:rPr>
                <w:rStyle w:val="Hyperlink"/>
                <w:rFonts w:cstheme="minorHAnsi"/>
              </w:rPr>
              <w:t>3.9</w:t>
            </w:r>
            <w:r w:rsidR="007F5932" w:rsidRPr="00356A3F">
              <w:rPr>
                <w:rFonts w:eastAsiaTheme="minorEastAsia" w:cstheme="minorHAnsi"/>
                <w:lang w:val="de-AT"/>
              </w:rPr>
              <w:tab/>
            </w:r>
            <w:r w:rsidR="007F5932" w:rsidRPr="00356A3F">
              <w:rPr>
                <w:rStyle w:val="Hyperlink"/>
                <w:rFonts w:cstheme="minorHAnsi"/>
              </w:rPr>
              <w:t>Watch&amp;Wait-Konzept beim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_Toc93523302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29</w:t>
            </w:r>
            <w:r w:rsidR="007F5932" w:rsidRPr="00356A3F">
              <w:rPr>
                <w:rFonts w:cstheme="minorHAnsi"/>
                <w:webHidden/>
              </w:rPr>
              <w:fldChar w:fldCharType="end"/>
            </w:r>
          </w:hyperlink>
        </w:p>
        <w:p w14:paraId="7D095D7C" w14:textId="77777777" w:rsidR="007F5932" w:rsidRPr="00356A3F" w:rsidRDefault="00820564" w:rsidP="00D6108E">
          <w:pPr>
            <w:pStyle w:val="Verzeichnis2"/>
            <w:rPr>
              <w:rFonts w:eastAsiaTheme="minorEastAsia" w:cstheme="minorHAnsi"/>
              <w:lang w:val="de-AT"/>
            </w:rPr>
          </w:pPr>
          <w:hyperlink w:anchor="_Toc93523303" w:history="1">
            <w:r w:rsidR="007F5932" w:rsidRPr="00356A3F">
              <w:rPr>
                <w:rStyle w:val="Hyperlink"/>
                <w:rFonts w:cstheme="minorHAnsi"/>
              </w:rPr>
              <w:t>3.10</w:t>
            </w:r>
            <w:r w:rsidR="007F5932" w:rsidRPr="00356A3F">
              <w:rPr>
                <w:rFonts w:eastAsiaTheme="minorEastAsia" w:cstheme="minorHAnsi"/>
                <w:lang w:val="de-AT"/>
              </w:rPr>
              <w:tab/>
            </w:r>
            <w:r w:rsidR="007F5932" w:rsidRPr="00356A3F">
              <w:rPr>
                <w:rStyle w:val="Hyperlink"/>
                <w:rFonts w:cstheme="minorHAnsi"/>
              </w:rPr>
              <w:t>TNT (totale neoadjuvante Therapie) beim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_Toc93523303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31</w:t>
            </w:r>
            <w:r w:rsidR="007F5932" w:rsidRPr="00356A3F">
              <w:rPr>
                <w:rFonts w:cstheme="minorHAnsi"/>
                <w:webHidden/>
              </w:rPr>
              <w:fldChar w:fldCharType="end"/>
            </w:r>
          </w:hyperlink>
        </w:p>
        <w:p w14:paraId="6B54491E" w14:textId="77777777" w:rsidR="007F5932" w:rsidRPr="00356A3F" w:rsidRDefault="00820564" w:rsidP="00D6108E">
          <w:pPr>
            <w:pStyle w:val="Verzeichnis2"/>
            <w:rPr>
              <w:rFonts w:eastAsiaTheme="minorEastAsia" w:cstheme="minorHAnsi"/>
              <w:lang w:val="de-AT"/>
            </w:rPr>
          </w:pPr>
          <w:hyperlink w:anchor="_Toc93523304" w:history="1">
            <w:r w:rsidR="007F5932" w:rsidRPr="00356A3F">
              <w:rPr>
                <w:rStyle w:val="Hyperlink"/>
                <w:rFonts w:cstheme="minorHAnsi"/>
              </w:rPr>
              <w:t>3.11</w:t>
            </w:r>
            <w:r w:rsidR="007F5932" w:rsidRPr="00356A3F">
              <w:rPr>
                <w:rFonts w:eastAsiaTheme="minorEastAsia" w:cstheme="minorHAnsi"/>
                <w:lang w:val="de-AT"/>
              </w:rPr>
              <w:tab/>
            </w:r>
            <w:r w:rsidR="007F5932" w:rsidRPr="00356A3F">
              <w:rPr>
                <w:rStyle w:val="Hyperlink"/>
                <w:rFonts w:cstheme="minorHAnsi"/>
              </w:rPr>
              <w:t>Anmerkungen adjuvante Chemotherapie beim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_Toc93523304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32</w:t>
            </w:r>
            <w:r w:rsidR="007F5932" w:rsidRPr="00356A3F">
              <w:rPr>
                <w:rFonts w:cstheme="minorHAnsi"/>
                <w:webHidden/>
              </w:rPr>
              <w:fldChar w:fldCharType="end"/>
            </w:r>
          </w:hyperlink>
        </w:p>
        <w:p w14:paraId="1B85F378" w14:textId="77777777" w:rsidR="007F5932" w:rsidRPr="00356A3F" w:rsidRDefault="00820564" w:rsidP="00D6108E">
          <w:pPr>
            <w:pStyle w:val="Verzeichnis2"/>
            <w:rPr>
              <w:rFonts w:eastAsiaTheme="minorEastAsia" w:cstheme="minorHAnsi"/>
              <w:lang w:val="de-AT"/>
            </w:rPr>
          </w:pPr>
          <w:hyperlink w:anchor="_Toc93523305" w:history="1">
            <w:r w:rsidR="007F5932" w:rsidRPr="00356A3F">
              <w:rPr>
                <w:rStyle w:val="Hyperlink"/>
                <w:rFonts w:cstheme="minorHAnsi"/>
              </w:rPr>
              <w:t>3.12</w:t>
            </w:r>
            <w:r w:rsidR="007F5932" w:rsidRPr="00356A3F">
              <w:rPr>
                <w:rFonts w:eastAsiaTheme="minorEastAsia" w:cstheme="minorHAnsi"/>
                <w:lang w:val="de-AT"/>
              </w:rPr>
              <w:tab/>
            </w:r>
            <w:r w:rsidR="007F5932" w:rsidRPr="00356A3F">
              <w:rPr>
                <w:rStyle w:val="Hyperlink"/>
                <w:rFonts w:cstheme="minorHAnsi"/>
              </w:rPr>
              <w:t>Rektumkarzinom, synchron metastasiert</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_Toc93523305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33</w:t>
            </w:r>
            <w:r w:rsidR="007F5932" w:rsidRPr="00356A3F">
              <w:rPr>
                <w:rFonts w:cstheme="minorHAnsi"/>
                <w:webHidden/>
              </w:rPr>
              <w:fldChar w:fldCharType="end"/>
            </w:r>
          </w:hyperlink>
        </w:p>
        <w:p w14:paraId="7CDA07E6" w14:textId="77777777" w:rsidR="007F5932" w:rsidRPr="00356A3F" w:rsidRDefault="00820564" w:rsidP="00356A3F">
          <w:pPr>
            <w:pStyle w:val="Verzeichnis1"/>
            <w:rPr>
              <w:rFonts w:eastAsiaTheme="minorEastAsia"/>
              <w:bCs/>
              <w:kern w:val="0"/>
              <w:lang w:val="de-AT" w:eastAsia="de-AT"/>
            </w:rPr>
          </w:pPr>
          <w:hyperlink w:anchor="_Toc93523306" w:history="1">
            <w:r w:rsidR="007F5932" w:rsidRPr="00356A3F">
              <w:rPr>
                <w:rStyle w:val="Hyperlink"/>
                <w:b/>
              </w:rPr>
              <w:t>4</w:t>
            </w:r>
            <w:r w:rsidR="007F5932" w:rsidRPr="00356A3F">
              <w:rPr>
                <w:rFonts w:eastAsiaTheme="minorEastAsia"/>
                <w:kern w:val="0"/>
                <w:lang w:val="de-AT" w:eastAsia="de-AT"/>
              </w:rPr>
              <w:tab/>
            </w:r>
            <w:r w:rsidR="007F5932" w:rsidRPr="00356A3F">
              <w:rPr>
                <w:rStyle w:val="Hyperlink"/>
                <w:b/>
              </w:rPr>
              <w:t>Besondere klinische Situationen</w:t>
            </w:r>
            <w:r w:rsidR="007F5932" w:rsidRPr="00356A3F">
              <w:rPr>
                <w:webHidden/>
              </w:rPr>
              <w:tab/>
            </w:r>
            <w:r w:rsidR="007F5932" w:rsidRPr="00356A3F">
              <w:rPr>
                <w:bCs/>
                <w:webHidden/>
              </w:rPr>
              <w:fldChar w:fldCharType="begin"/>
            </w:r>
            <w:r w:rsidR="007F5932" w:rsidRPr="00356A3F">
              <w:rPr>
                <w:webHidden/>
              </w:rPr>
              <w:instrText xml:space="preserve"> PAGEREF _Toc93523306 \h </w:instrText>
            </w:r>
            <w:r w:rsidR="007F5932" w:rsidRPr="00356A3F">
              <w:rPr>
                <w:bCs/>
                <w:webHidden/>
              </w:rPr>
            </w:r>
            <w:r w:rsidR="007F5932" w:rsidRPr="00356A3F">
              <w:rPr>
                <w:bCs/>
                <w:webHidden/>
              </w:rPr>
              <w:fldChar w:fldCharType="separate"/>
            </w:r>
            <w:r w:rsidR="00356A3F" w:rsidRPr="00356A3F">
              <w:rPr>
                <w:bCs/>
                <w:webHidden/>
              </w:rPr>
              <w:t>34</w:t>
            </w:r>
            <w:r w:rsidR="007F5932" w:rsidRPr="00356A3F">
              <w:rPr>
                <w:bCs/>
                <w:webHidden/>
              </w:rPr>
              <w:fldChar w:fldCharType="end"/>
            </w:r>
          </w:hyperlink>
        </w:p>
        <w:p w14:paraId="536E036E" w14:textId="77777777" w:rsidR="007F5932" w:rsidRPr="00356A3F" w:rsidRDefault="00820564" w:rsidP="00D6108E">
          <w:pPr>
            <w:pStyle w:val="Verzeichnis2"/>
            <w:rPr>
              <w:rFonts w:eastAsiaTheme="minorEastAsia" w:cstheme="minorHAnsi"/>
              <w:bCs w:val="0"/>
              <w:lang w:val="de-AT"/>
            </w:rPr>
          </w:pPr>
          <w:hyperlink w:anchor="_Toc93523307" w:history="1">
            <w:r w:rsidR="007F5932" w:rsidRPr="00356A3F">
              <w:rPr>
                <w:rStyle w:val="Hyperlink"/>
                <w:rFonts w:cstheme="minorHAnsi"/>
                <w:bCs w:val="0"/>
              </w:rPr>
              <w:t>4.1</w:t>
            </w:r>
            <w:r w:rsidR="007F5932" w:rsidRPr="00356A3F">
              <w:rPr>
                <w:rFonts w:eastAsiaTheme="minorEastAsia" w:cstheme="minorHAnsi"/>
                <w:bCs w:val="0"/>
                <w:lang w:val="de-AT"/>
              </w:rPr>
              <w:tab/>
            </w:r>
            <w:r w:rsidR="007F5932" w:rsidRPr="00356A3F">
              <w:rPr>
                <w:rStyle w:val="Hyperlink"/>
                <w:rFonts w:cstheme="minorHAnsi"/>
                <w:bCs w:val="0"/>
              </w:rPr>
              <w:t>Dauer der adjuvanten Chemotherapie beim Stadium-III Colonkarzinom</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_Toc93523307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34</w:t>
            </w:r>
            <w:r w:rsidR="007F5932" w:rsidRPr="00356A3F">
              <w:rPr>
                <w:rFonts w:cstheme="minorHAnsi"/>
                <w:bCs w:val="0"/>
                <w:webHidden/>
              </w:rPr>
              <w:fldChar w:fldCharType="end"/>
            </w:r>
          </w:hyperlink>
        </w:p>
        <w:p w14:paraId="3E867CFC" w14:textId="77777777" w:rsidR="007F5932" w:rsidRPr="00356A3F" w:rsidRDefault="00820564" w:rsidP="00D6108E">
          <w:pPr>
            <w:pStyle w:val="Verzeichnis2"/>
            <w:rPr>
              <w:rFonts w:eastAsiaTheme="minorEastAsia" w:cstheme="minorHAnsi"/>
              <w:bCs w:val="0"/>
              <w:lang w:val="de-AT"/>
            </w:rPr>
          </w:pPr>
          <w:hyperlink w:anchor="_Toc93523308" w:history="1">
            <w:r w:rsidR="007F5932" w:rsidRPr="00356A3F">
              <w:rPr>
                <w:rStyle w:val="Hyperlink"/>
                <w:rFonts w:cstheme="minorHAnsi"/>
                <w:bCs w:val="0"/>
              </w:rPr>
              <w:t>4.2</w:t>
            </w:r>
            <w:r w:rsidR="007F5932" w:rsidRPr="00356A3F">
              <w:rPr>
                <w:rFonts w:eastAsiaTheme="minorEastAsia" w:cstheme="minorHAnsi"/>
                <w:bCs w:val="0"/>
                <w:lang w:val="de-AT"/>
              </w:rPr>
              <w:tab/>
            </w:r>
            <w:r w:rsidR="007F5932" w:rsidRPr="00356A3F">
              <w:rPr>
                <w:rStyle w:val="Hyperlink"/>
                <w:rFonts w:cstheme="minorHAnsi"/>
                <w:bCs w:val="0"/>
              </w:rPr>
              <w:t>Intensive Erstlinientherapie</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_Toc93523308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35</w:t>
            </w:r>
            <w:r w:rsidR="007F5932" w:rsidRPr="00356A3F">
              <w:rPr>
                <w:rFonts w:cstheme="minorHAnsi"/>
                <w:bCs w:val="0"/>
                <w:webHidden/>
              </w:rPr>
              <w:fldChar w:fldCharType="end"/>
            </w:r>
          </w:hyperlink>
        </w:p>
        <w:p w14:paraId="4875AA36" w14:textId="77777777" w:rsidR="007F5932" w:rsidRPr="00356A3F" w:rsidRDefault="00820564" w:rsidP="00D6108E">
          <w:pPr>
            <w:pStyle w:val="Verzeichnis2"/>
            <w:rPr>
              <w:rFonts w:eastAsiaTheme="minorEastAsia" w:cstheme="minorHAnsi"/>
              <w:bCs w:val="0"/>
              <w:lang w:val="de-AT"/>
            </w:rPr>
          </w:pPr>
          <w:hyperlink w:anchor="_Toc93523309" w:history="1">
            <w:r w:rsidR="007F5932" w:rsidRPr="00356A3F">
              <w:rPr>
                <w:rStyle w:val="Hyperlink"/>
                <w:rFonts w:cstheme="minorHAnsi"/>
                <w:bCs w:val="0"/>
              </w:rPr>
              <w:t>4.3</w:t>
            </w:r>
            <w:r w:rsidR="007F5932" w:rsidRPr="00356A3F">
              <w:rPr>
                <w:rFonts w:eastAsiaTheme="minorEastAsia" w:cstheme="minorHAnsi"/>
                <w:bCs w:val="0"/>
                <w:lang w:val="de-AT"/>
              </w:rPr>
              <w:tab/>
            </w:r>
            <w:r w:rsidR="007F5932" w:rsidRPr="00356A3F">
              <w:rPr>
                <w:rStyle w:val="Hyperlink"/>
                <w:rFonts w:cstheme="minorHAnsi"/>
                <w:bCs w:val="0"/>
              </w:rPr>
              <w:t>Immuntherapie beim metastasierten CRC</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_Toc93523309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36</w:t>
            </w:r>
            <w:r w:rsidR="007F5932" w:rsidRPr="00356A3F">
              <w:rPr>
                <w:rFonts w:cstheme="minorHAnsi"/>
                <w:bCs w:val="0"/>
                <w:webHidden/>
              </w:rPr>
              <w:fldChar w:fldCharType="end"/>
            </w:r>
          </w:hyperlink>
        </w:p>
        <w:p w14:paraId="650FAB36" w14:textId="77777777" w:rsidR="007F5932" w:rsidRPr="00356A3F" w:rsidRDefault="00820564" w:rsidP="00D6108E">
          <w:pPr>
            <w:pStyle w:val="Verzeichnis2"/>
            <w:rPr>
              <w:rFonts w:eastAsiaTheme="minorEastAsia" w:cstheme="minorHAnsi"/>
              <w:bCs w:val="0"/>
              <w:lang w:val="de-AT"/>
            </w:rPr>
          </w:pPr>
          <w:hyperlink w:anchor="_Toc93523310" w:history="1">
            <w:r w:rsidR="007F5932" w:rsidRPr="00356A3F">
              <w:rPr>
                <w:rStyle w:val="Hyperlink"/>
                <w:rFonts w:cstheme="minorHAnsi"/>
                <w:bCs w:val="0"/>
              </w:rPr>
              <w:t>4.4</w:t>
            </w:r>
            <w:r w:rsidR="007F5932" w:rsidRPr="00356A3F">
              <w:rPr>
                <w:rFonts w:eastAsiaTheme="minorEastAsia" w:cstheme="minorHAnsi"/>
                <w:bCs w:val="0"/>
                <w:lang w:val="de-AT"/>
              </w:rPr>
              <w:tab/>
            </w:r>
            <w:r w:rsidR="007F5932" w:rsidRPr="00356A3F">
              <w:rPr>
                <w:rStyle w:val="Hyperlink"/>
                <w:rFonts w:cstheme="minorHAnsi"/>
                <w:bCs w:val="0"/>
              </w:rPr>
              <w:t>KRAS-G12C-Mutation:</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_Toc93523310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37</w:t>
            </w:r>
            <w:r w:rsidR="007F5932" w:rsidRPr="00356A3F">
              <w:rPr>
                <w:rFonts w:cstheme="minorHAnsi"/>
                <w:bCs w:val="0"/>
                <w:webHidden/>
              </w:rPr>
              <w:fldChar w:fldCharType="end"/>
            </w:r>
          </w:hyperlink>
        </w:p>
        <w:p w14:paraId="25282F67" w14:textId="77777777" w:rsidR="007F5932" w:rsidRPr="00356A3F" w:rsidRDefault="00820564" w:rsidP="00D6108E">
          <w:pPr>
            <w:pStyle w:val="Verzeichnis2"/>
            <w:rPr>
              <w:rFonts w:eastAsiaTheme="minorEastAsia" w:cstheme="minorHAnsi"/>
              <w:bCs w:val="0"/>
              <w:lang w:val="de-AT"/>
            </w:rPr>
          </w:pPr>
          <w:hyperlink w:anchor="_Toc93523311" w:history="1">
            <w:r w:rsidR="007F5932" w:rsidRPr="00356A3F">
              <w:rPr>
                <w:rStyle w:val="Hyperlink"/>
                <w:rFonts w:cstheme="minorHAnsi"/>
                <w:bCs w:val="0"/>
              </w:rPr>
              <w:t>4.5</w:t>
            </w:r>
            <w:r w:rsidR="007F5932" w:rsidRPr="00356A3F">
              <w:rPr>
                <w:rFonts w:eastAsiaTheme="minorEastAsia" w:cstheme="minorHAnsi"/>
                <w:bCs w:val="0"/>
                <w:lang w:val="de-AT"/>
              </w:rPr>
              <w:tab/>
            </w:r>
            <w:r w:rsidR="007F5932" w:rsidRPr="00356A3F">
              <w:rPr>
                <w:rStyle w:val="Hyperlink"/>
                <w:rFonts w:cstheme="minorHAnsi"/>
                <w:bCs w:val="0"/>
              </w:rPr>
              <w:t>BRAF-Inhibitoren beim BRAF-mutierten, metastasierten CRC</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_Toc93523311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38</w:t>
            </w:r>
            <w:r w:rsidR="007F5932" w:rsidRPr="00356A3F">
              <w:rPr>
                <w:rFonts w:cstheme="minorHAnsi"/>
                <w:bCs w:val="0"/>
                <w:webHidden/>
              </w:rPr>
              <w:fldChar w:fldCharType="end"/>
            </w:r>
          </w:hyperlink>
        </w:p>
        <w:p w14:paraId="11AF54C4" w14:textId="77777777" w:rsidR="007F5932" w:rsidRPr="00356A3F" w:rsidRDefault="00820564" w:rsidP="00D6108E">
          <w:pPr>
            <w:pStyle w:val="Verzeichnis2"/>
            <w:rPr>
              <w:rFonts w:eastAsiaTheme="minorEastAsia" w:cstheme="minorHAnsi"/>
              <w:bCs w:val="0"/>
              <w:lang w:val="de-AT"/>
            </w:rPr>
          </w:pPr>
          <w:hyperlink w:anchor="_Toc93523312" w:history="1">
            <w:r w:rsidR="007F5932" w:rsidRPr="00356A3F">
              <w:rPr>
                <w:rStyle w:val="Hyperlink"/>
                <w:rFonts w:eastAsiaTheme="minorHAnsi" w:cstheme="minorHAnsi"/>
                <w:bCs w:val="0"/>
              </w:rPr>
              <w:t>4.6</w:t>
            </w:r>
            <w:r w:rsidR="007F5932" w:rsidRPr="00356A3F">
              <w:rPr>
                <w:rFonts w:eastAsiaTheme="minorEastAsia" w:cstheme="minorHAnsi"/>
                <w:bCs w:val="0"/>
                <w:lang w:val="de-AT"/>
              </w:rPr>
              <w:tab/>
            </w:r>
            <w:r w:rsidR="007F5932" w:rsidRPr="00356A3F">
              <w:rPr>
                <w:rStyle w:val="Hyperlink"/>
                <w:rFonts w:eastAsiaTheme="minorHAnsi" w:cstheme="minorHAnsi"/>
                <w:bCs w:val="0"/>
              </w:rPr>
              <w:t>Lokalisation des Primärtumors beim metastasierten CRC</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_Toc93523312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39</w:t>
            </w:r>
            <w:r w:rsidR="007F5932" w:rsidRPr="00356A3F">
              <w:rPr>
                <w:rFonts w:cstheme="minorHAnsi"/>
                <w:bCs w:val="0"/>
                <w:webHidden/>
              </w:rPr>
              <w:fldChar w:fldCharType="end"/>
            </w:r>
          </w:hyperlink>
        </w:p>
        <w:p w14:paraId="0E53AE96" w14:textId="77777777" w:rsidR="007F5932" w:rsidRPr="00356A3F" w:rsidRDefault="00820564" w:rsidP="00D6108E">
          <w:pPr>
            <w:pStyle w:val="Verzeichnis2"/>
            <w:rPr>
              <w:rFonts w:eastAsiaTheme="minorEastAsia" w:cstheme="minorHAnsi"/>
              <w:bCs w:val="0"/>
              <w:lang w:val="de-AT"/>
            </w:rPr>
          </w:pPr>
          <w:hyperlink w:anchor="_Toc93523313" w:history="1">
            <w:r w:rsidR="007F5932" w:rsidRPr="00356A3F">
              <w:rPr>
                <w:rStyle w:val="Hyperlink"/>
                <w:rFonts w:eastAsiaTheme="minorHAnsi" w:cstheme="minorHAnsi"/>
                <w:bCs w:val="0"/>
              </w:rPr>
              <w:t>4.7</w:t>
            </w:r>
            <w:r w:rsidR="007F5932" w:rsidRPr="00356A3F">
              <w:rPr>
                <w:rFonts w:eastAsiaTheme="minorEastAsia" w:cstheme="minorHAnsi"/>
                <w:bCs w:val="0"/>
                <w:lang w:val="de-AT"/>
              </w:rPr>
              <w:tab/>
            </w:r>
            <w:r w:rsidR="007F5932" w:rsidRPr="00356A3F">
              <w:rPr>
                <w:rStyle w:val="Hyperlink"/>
                <w:rFonts w:eastAsiaTheme="minorHAnsi" w:cstheme="minorHAnsi"/>
                <w:bCs w:val="0"/>
              </w:rPr>
              <w:t>HER2-Amplifikation beim metastasierten CRC</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_Toc93523313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39</w:t>
            </w:r>
            <w:r w:rsidR="007F5932" w:rsidRPr="00356A3F">
              <w:rPr>
                <w:rFonts w:cstheme="minorHAnsi"/>
                <w:bCs w:val="0"/>
                <w:webHidden/>
              </w:rPr>
              <w:fldChar w:fldCharType="end"/>
            </w:r>
          </w:hyperlink>
        </w:p>
        <w:p w14:paraId="3B5D59A1" w14:textId="77777777" w:rsidR="007F5932" w:rsidRPr="00356A3F" w:rsidRDefault="00820564" w:rsidP="00D6108E">
          <w:pPr>
            <w:pStyle w:val="Verzeichnis2"/>
            <w:rPr>
              <w:rFonts w:eastAsiaTheme="minorEastAsia" w:cstheme="minorHAnsi"/>
              <w:bCs w:val="0"/>
              <w:lang w:val="de-AT"/>
            </w:rPr>
          </w:pPr>
          <w:hyperlink w:anchor="_Toc93523314" w:history="1">
            <w:r w:rsidR="007F5932" w:rsidRPr="00356A3F">
              <w:rPr>
                <w:rStyle w:val="Hyperlink"/>
                <w:rFonts w:cstheme="minorHAnsi"/>
                <w:bCs w:val="0"/>
              </w:rPr>
              <w:t>4.8</w:t>
            </w:r>
            <w:r w:rsidR="007F5932" w:rsidRPr="00356A3F">
              <w:rPr>
                <w:rFonts w:eastAsiaTheme="minorEastAsia" w:cstheme="minorHAnsi"/>
                <w:bCs w:val="0"/>
                <w:lang w:val="de-AT"/>
              </w:rPr>
              <w:tab/>
            </w:r>
            <w:r w:rsidR="007F5932" w:rsidRPr="00356A3F">
              <w:rPr>
                <w:rStyle w:val="Hyperlink"/>
                <w:rFonts w:cstheme="minorHAnsi"/>
                <w:bCs w:val="0"/>
              </w:rPr>
              <w:t>ASS und NSAR beim CRC</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_Toc93523314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40</w:t>
            </w:r>
            <w:r w:rsidR="007F5932" w:rsidRPr="00356A3F">
              <w:rPr>
                <w:rFonts w:cstheme="minorHAnsi"/>
                <w:bCs w:val="0"/>
                <w:webHidden/>
              </w:rPr>
              <w:fldChar w:fldCharType="end"/>
            </w:r>
          </w:hyperlink>
        </w:p>
        <w:p w14:paraId="0744449E" w14:textId="77777777" w:rsidR="007F5932" w:rsidRPr="00356A3F" w:rsidRDefault="00820564" w:rsidP="00D6108E">
          <w:pPr>
            <w:pStyle w:val="Verzeichnis2"/>
            <w:rPr>
              <w:rFonts w:eastAsiaTheme="minorEastAsia" w:cstheme="minorHAnsi"/>
              <w:bCs w:val="0"/>
              <w:lang w:val="de-AT"/>
            </w:rPr>
          </w:pPr>
          <w:hyperlink w:anchor="_Toc93523315" w:history="1">
            <w:r w:rsidR="007F5932" w:rsidRPr="00356A3F">
              <w:rPr>
                <w:rStyle w:val="Hyperlink"/>
                <w:rFonts w:cstheme="minorHAnsi"/>
                <w:bCs w:val="0"/>
              </w:rPr>
              <w:t>4.9</w:t>
            </w:r>
            <w:r w:rsidR="007F5932" w:rsidRPr="00356A3F">
              <w:rPr>
                <w:rFonts w:eastAsiaTheme="minorEastAsia" w:cstheme="minorHAnsi"/>
                <w:bCs w:val="0"/>
                <w:lang w:val="de-AT"/>
              </w:rPr>
              <w:tab/>
            </w:r>
            <w:r w:rsidR="007F5932" w:rsidRPr="00356A3F">
              <w:rPr>
                <w:rStyle w:val="Hyperlink"/>
                <w:rFonts w:cstheme="minorHAnsi"/>
                <w:bCs w:val="0"/>
              </w:rPr>
              <w:t>Protonenpumpenhemmer und Capecitabin</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_Toc93523315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40</w:t>
            </w:r>
            <w:r w:rsidR="007F5932" w:rsidRPr="00356A3F">
              <w:rPr>
                <w:rFonts w:cstheme="minorHAnsi"/>
                <w:bCs w:val="0"/>
                <w:webHidden/>
              </w:rPr>
              <w:fldChar w:fldCharType="end"/>
            </w:r>
          </w:hyperlink>
        </w:p>
        <w:p w14:paraId="61090DAE" w14:textId="77777777" w:rsidR="007F5932" w:rsidRPr="00356A3F" w:rsidRDefault="00820564" w:rsidP="00D6108E">
          <w:pPr>
            <w:pStyle w:val="Verzeichnis2"/>
            <w:rPr>
              <w:rFonts w:eastAsiaTheme="minorEastAsia" w:cstheme="minorHAnsi"/>
              <w:bCs w:val="0"/>
              <w:lang w:val="de-AT"/>
            </w:rPr>
          </w:pPr>
          <w:hyperlink w:anchor="_Toc93523316" w:history="1">
            <w:r w:rsidR="007F5932" w:rsidRPr="00356A3F">
              <w:rPr>
                <w:rStyle w:val="Hyperlink"/>
                <w:rFonts w:cstheme="minorHAnsi"/>
                <w:bCs w:val="0"/>
              </w:rPr>
              <w:t>4.10</w:t>
            </w:r>
            <w:r w:rsidR="007F5932" w:rsidRPr="00356A3F">
              <w:rPr>
                <w:rFonts w:eastAsiaTheme="minorEastAsia" w:cstheme="minorHAnsi"/>
                <w:bCs w:val="0"/>
                <w:lang w:val="de-AT"/>
              </w:rPr>
              <w:tab/>
            </w:r>
            <w:r w:rsidR="007F5932" w:rsidRPr="00356A3F">
              <w:rPr>
                <w:rStyle w:val="Hyperlink"/>
                <w:rFonts w:cstheme="minorHAnsi"/>
                <w:bCs w:val="0"/>
              </w:rPr>
              <w:t>Alternative Dosierung Regorafenib beim 1. Zyklus</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_Toc93523316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41</w:t>
            </w:r>
            <w:r w:rsidR="007F5932" w:rsidRPr="00356A3F">
              <w:rPr>
                <w:rFonts w:cstheme="minorHAnsi"/>
                <w:bCs w:val="0"/>
                <w:webHidden/>
              </w:rPr>
              <w:fldChar w:fldCharType="end"/>
            </w:r>
          </w:hyperlink>
        </w:p>
        <w:p w14:paraId="335EB377" w14:textId="77777777" w:rsidR="007F5932" w:rsidRPr="00356A3F" w:rsidRDefault="00820564" w:rsidP="00356A3F">
          <w:pPr>
            <w:pStyle w:val="Verzeichnis1"/>
            <w:rPr>
              <w:rFonts w:eastAsiaTheme="minorEastAsia"/>
              <w:bCs/>
              <w:kern w:val="0"/>
              <w:lang w:val="de-AT" w:eastAsia="de-AT"/>
            </w:rPr>
          </w:pPr>
          <w:hyperlink w:anchor="_Toc93523317" w:history="1">
            <w:r w:rsidR="007F5932" w:rsidRPr="00356A3F">
              <w:rPr>
                <w:rStyle w:val="Hyperlink"/>
                <w:b/>
              </w:rPr>
              <w:t>5</w:t>
            </w:r>
            <w:r w:rsidR="007F5932" w:rsidRPr="00356A3F">
              <w:rPr>
                <w:rFonts w:eastAsiaTheme="minorEastAsia"/>
                <w:kern w:val="0"/>
                <w:lang w:val="de-AT" w:eastAsia="de-AT"/>
              </w:rPr>
              <w:tab/>
            </w:r>
            <w:r w:rsidR="007F5932" w:rsidRPr="00356A3F">
              <w:rPr>
                <w:rStyle w:val="Hyperlink"/>
                <w:b/>
              </w:rPr>
              <w:t>Verlaufskontrolle und Nachsorge</w:t>
            </w:r>
            <w:r w:rsidR="007F5932" w:rsidRPr="00356A3F">
              <w:rPr>
                <w:webHidden/>
              </w:rPr>
              <w:tab/>
            </w:r>
            <w:r w:rsidR="007F5932" w:rsidRPr="00356A3F">
              <w:rPr>
                <w:webHidden/>
              </w:rPr>
              <w:fldChar w:fldCharType="begin"/>
            </w:r>
            <w:r w:rsidR="007F5932" w:rsidRPr="00356A3F">
              <w:rPr>
                <w:webHidden/>
              </w:rPr>
              <w:instrText xml:space="preserve"> PAGEREF _Toc93523317 \h </w:instrText>
            </w:r>
            <w:r w:rsidR="007F5932" w:rsidRPr="00356A3F">
              <w:rPr>
                <w:webHidden/>
              </w:rPr>
            </w:r>
            <w:r w:rsidR="007F5932" w:rsidRPr="00356A3F">
              <w:rPr>
                <w:webHidden/>
              </w:rPr>
              <w:fldChar w:fldCharType="separate"/>
            </w:r>
            <w:r w:rsidR="00356A3F" w:rsidRPr="00356A3F">
              <w:rPr>
                <w:webHidden/>
              </w:rPr>
              <w:t>42</w:t>
            </w:r>
            <w:r w:rsidR="007F5932" w:rsidRPr="00356A3F">
              <w:rPr>
                <w:webHidden/>
              </w:rPr>
              <w:fldChar w:fldCharType="end"/>
            </w:r>
          </w:hyperlink>
        </w:p>
        <w:p w14:paraId="53179B3F" w14:textId="77777777" w:rsidR="007F5932" w:rsidRPr="00356A3F" w:rsidRDefault="00820564" w:rsidP="00D6108E">
          <w:pPr>
            <w:pStyle w:val="Verzeichnis2"/>
            <w:rPr>
              <w:rFonts w:eastAsiaTheme="minorEastAsia" w:cstheme="minorHAnsi"/>
              <w:lang w:val="de-AT"/>
            </w:rPr>
          </w:pPr>
          <w:hyperlink w:anchor="_Toc93523318" w:history="1">
            <w:r w:rsidR="007F5932" w:rsidRPr="00356A3F">
              <w:rPr>
                <w:rStyle w:val="Hyperlink"/>
                <w:rFonts w:cstheme="minorHAnsi"/>
              </w:rPr>
              <w:t>5.1</w:t>
            </w:r>
            <w:r w:rsidR="007F5932" w:rsidRPr="00356A3F">
              <w:rPr>
                <w:rFonts w:eastAsiaTheme="minorEastAsia" w:cstheme="minorHAnsi"/>
                <w:lang w:val="de-AT"/>
              </w:rPr>
              <w:tab/>
            </w:r>
            <w:r w:rsidR="007F5932" w:rsidRPr="00356A3F">
              <w:rPr>
                <w:rStyle w:val="Hyperlink"/>
                <w:rFonts w:cstheme="minorHAnsi"/>
              </w:rPr>
              <w:t>Nachsorge Colonkarzinom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_Toc93523318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42</w:t>
            </w:r>
            <w:r w:rsidR="007F5932" w:rsidRPr="00356A3F">
              <w:rPr>
                <w:rFonts w:cstheme="minorHAnsi"/>
                <w:webHidden/>
              </w:rPr>
              <w:fldChar w:fldCharType="end"/>
            </w:r>
          </w:hyperlink>
        </w:p>
        <w:p w14:paraId="4BAB9082" w14:textId="77777777" w:rsidR="007F5932" w:rsidRPr="00356A3F" w:rsidRDefault="00820564" w:rsidP="00D6108E">
          <w:pPr>
            <w:pStyle w:val="Verzeichnis2"/>
            <w:rPr>
              <w:rFonts w:eastAsiaTheme="minorEastAsia" w:cstheme="minorHAnsi"/>
              <w:lang w:val="de-AT"/>
            </w:rPr>
          </w:pPr>
          <w:hyperlink w:anchor="_Toc93523319" w:history="1">
            <w:r w:rsidR="007F5932" w:rsidRPr="00356A3F">
              <w:rPr>
                <w:rStyle w:val="Hyperlink"/>
                <w:rFonts w:cstheme="minorHAnsi"/>
              </w:rPr>
              <w:t>5.2</w:t>
            </w:r>
            <w:r w:rsidR="007F5932" w:rsidRPr="00356A3F">
              <w:rPr>
                <w:rFonts w:eastAsiaTheme="minorEastAsia" w:cstheme="minorHAnsi"/>
                <w:lang w:val="de-AT"/>
              </w:rPr>
              <w:tab/>
            </w:r>
            <w:r w:rsidR="007F5932" w:rsidRPr="00356A3F">
              <w:rPr>
                <w:rStyle w:val="Hyperlink"/>
                <w:rFonts w:cstheme="minorHAnsi"/>
              </w:rPr>
              <w:t>Nachsorge Rektumkarzinom</w:t>
            </w:r>
            <w:r w:rsidR="007F5932" w:rsidRPr="00356A3F">
              <w:rPr>
                <w:rFonts w:cstheme="minorHAnsi"/>
                <w:webHidden/>
              </w:rPr>
              <w:tab/>
            </w:r>
            <w:r w:rsidR="007F5932" w:rsidRPr="00356A3F">
              <w:rPr>
                <w:rFonts w:cstheme="minorHAnsi"/>
                <w:webHidden/>
              </w:rPr>
              <w:fldChar w:fldCharType="begin"/>
            </w:r>
            <w:r w:rsidR="007F5932" w:rsidRPr="00356A3F">
              <w:rPr>
                <w:rFonts w:cstheme="minorHAnsi"/>
                <w:webHidden/>
              </w:rPr>
              <w:instrText xml:space="preserve"> PAGEREF _Toc93523319 \h </w:instrText>
            </w:r>
            <w:r w:rsidR="007F5932" w:rsidRPr="00356A3F">
              <w:rPr>
                <w:rFonts w:cstheme="minorHAnsi"/>
                <w:webHidden/>
              </w:rPr>
            </w:r>
            <w:r w:rsidR="007F5932" w:rsidRPr="00356A3F">
              <w:rPr>
                <w:rFonts w:cstheme="minorHAnsi"/>
                <w:webHidden/>
              </w:rPr>
              <w:fldChar w:fldCharType="separate"/>
            </w:r>
            <w:r w:rsidR="00356A3F" w:rsidRPr="00356A3F">
              <w:rPr>
                <w:rFonts w:cstheme="minorHAnsi"/>
                <w:webHidden/>
              </w:rPr>
              <w:t>43</w:t>
            </w:r>
            <w:r w:rsidR="007F5932" w:rsidRPr="00356A3F">
              <w:rPr>
                <w:rFonts w:cstheme="minorHAnsi"/>
                <w:webHidden/>
              </w:rPr>
              <w:fldChar w:fldCharType="end"/>
            </w:r>
          </w:hyperlink>
        </w:p>
        <w:p w14:paraId="0FD3B627" w14:textId="77777777" w:rsidR="007F5932" w:rsidRPr="00356A3F" w:rsidRDefault="00820564" w:rsidP="00356A3F">
          <w:pPr>
            <w:pStyle w:val="Verzeichnis1"/>
            <w:rPr>
              <w:rFonts w:eastAsiaTheme="minorEastAsia"/>
              <w:b/>
              <w:bCs/>
              <w:kern w:val="0"/>
              <w:lang w:val="de-AT" w:eastAsia="de-AT"/>
            </w:rPr>
          </w:pPr>
          <w:hyperlink w:anchor="_Toc93523320" w:history="1">
            <w:r w:rsidR="007F5932" w:rsidRPr="00356A3F">
              <w:rPr>
                <w:rStyle w:val="Hyperlink"/>
              </w:rPr>
              <w:t>6</w:t>
            </w:r>
            <w:r w:rsidR="007F5932" w:rsidRPr="00356A3F">
              <w:rPr>
                <w:rFonts w:eastAsiaTheme="minorEastAsia"/>
                <w:kern w:val="0"/>
                <w:lang w:val="de-AT" w:eastAsia="de-AT"/>
              </w:rPr>
              <w:tab/>
            </w:r>
            <w:r w:rsidR="007F5932" w:rsidRPr="00356A3F">
              <w:rPr>
                <w:rStyle w:val="Hyperlink"/>
              </w:rPr>
              <w:t>Dokumentation und Qualitätsparameter</w:t>
            </w:r>
            <w:r w:rsidR="007F5932" w:rsidRPr="00356A3F">
              <w:rPr>
                <w:webHidden/>
              </w:rPr>
              <w:tab/>
            </w:r>
            <w:r w:rsidR="007F5932" w:rsidRPr="00356A3F">
              <w:rPr>
                <w:webHidden/>
              </w:rPr>
              <w:fldChar w:fldCharType="begin"/>
            </w:r>
            <w:r w:rsidR="007F5932" w:rsidRPr="00356A3F">
              <w:rPr>
                <w:webHidden/>
              </w:rPr>
              <w:instrText xml:space="preserve"> PAGEREF _Toc93523320 \h </w:instrText>
            </w:r>
            <w:r w:rsidR="007F5932" w:rsidRPr="00356A3F">
              <w:rPr>
                <w:webHidden/>
              </w:rPr>
            </w:r>
            <w:r w:rsidR="007F5932" w:rsidRPr="00356A3F">
              <w:rPr>
                <w:webHidden/>
              </w:rPr>
              <w:fldChar w:fldCharType="separate"/>
            </w:r>
            <w:r w:rsidR="00356A3F" w:rsidRPr="00356A3F">
              <w:rPr>
                <w:webHidden/>
              </w:rPr>
              <w:t>44</w:t>
            </w:r>
            <w:r w:rsidR="007F5932" w:rsidRPr="00356A3F">
              <w:rPr>
                <w:webHidden/>
              </w:rPr>
              <w:fldChar w:fldCharType="end"/>
            </w:r>
          </w:hyperlink>
        </w:p>
        <w:p w14:paraId="47FFB15C" w14:textId="77777777" w:rsidR="007F5932" w:rsidRPr="00356A3F" w:rsidRDefault="00820564" w:rsidP="00356A3F">
          <w:pPr>
            <w:pStyle w:val="Verzeichnis1"/>
            <w:rPr>
              <w:rFonts w:eastAsiaTheme="minorEastAsia"/>
              <w:b/>
              <w:bCs/>
              <w:kern w:val="0"/>
              <w:lang w:val="de-AT" w:eastAsia="de-AT"/>
            </w:rPr>
          </w:pPr>
          <w:hyperlink w:anchor="_Toc93523321" w:history="1">
            <w:r w:rsidR="007F5932" w:rsidRPr="00356A3F">
              <w:rPr>
                <w:rStyle w:val="Hyperlink"/>
              </w:rPr>
              <w:t>7</w:t>
            </w:r>
            <w:r w:rsidR="007F5932" w:rsidRPr="00356A3F">
              <w:rPr>
                <w:rFonts w:eastAsiaTheme="minorEastAsia"/>
                <w:kern w:val="0"/>
                <w:lang w:val="de-AT" w:eastAsia="de-AT"/>
              </w:rPr>
              <w:tab/>
            </w:r>
            <w:r w:rsidR="007F5932" w:rsidRPr="00356A3F">
              <w:rPr>
                <w:rStyle w:val="Hyperlink"/>
              </w:rPr>
              <w:t>Literatur/Quellenangaben</w:t>
            </w:r>
            <w:r w:rsidR="007F5932" w:rsidRPr="00356A3F">
              <w:rPr>
                <w:webHidden/>
              </w:rPr>
              <w:tab/>
            </w:r>
            <w:r w:rsidR="007F5932" w:rsidRPr="00356A3F">
              <w:rPr>
                <w:webHidden/>
              </w:rPr>
              <w:fldChar w:fldCharType="begin"/>
            </w:r>
            <w:r w:rsidR="007F5932" w:rsidRPr="00356A3F">
              <w:rPr>
                <w:webHidden/>
              </w:rPr>
              <w:instrText xml:space="preserve"> PAGEREF _Toc93523321 \h </w:instrText>
            </w:r>
            <w:r w:rsidR="007F5932" w:rsidRPr="00356A3F">
              <w:rPr>
                <w:webHidden/>
              </w:rPr>
            </w:r>
            <w:r w:rsidR="007F5932" w:rsidRPr="00356A3F">
              <w:rPr>
                <w:webHidden/>
              </w:rPr>
              <w:fldChar w:fldCharType="separate"/>
            </w:r>
            <w:r w:rsidR="00356A3F" w:rsidRPr="00356A3F">
              <w:rPr>
                <w:webHidden/>
              </w:rPr>
              <w:t>44</w:t>
            </w:r>
            <w:r w:rsidR="007F5932" w:rsidRPr="00356A3F">
              <w:rPr>
                <w:webHidden/>
              </w:rPr>
              <w:fldChar w:fldCharType="end"/>
            </w:r>
          </w:hyperlink>
        </w:p>
        <w:p w14:paraId="3744034B" w14:textId="77777777" w:rsidR="007F5932" w:rsidRPr="00356A3F" w:rsidRDefault="00820564" w:rsidP="00356A3F">
          <w:pPr>
            <w:pStyle w:val="Verzeichnis1"/>
            <w:rPr>
              <w:rFonts w:eastAsiaTheme="minorEastAsia"/>
              <w:b/>
              <w:bCs/>
              <w:kern w:val="0"/>
              <w:lang w:val="de-AT" w:eastAsia="de-AT"/>
            </w:rPr>
          </w:pPr>
          <w:hyperlink w:anchor="_Toc93523322" w:history="1">
            <w:r w:rsidR="007F5932" w:rsidRPr="00356A3F">
              <w:rPr>
                <w:rStyle w:val="Hyperlink"/>
              </w:rPr>
              <w:t>Anhang: Chemotherapieprotokolle</w:t>
            </w:r>
            <w:r w:rsidR="007F5932" w:rsidRPr="00356A3F">
              <w:rPr>
                <w:webHidden/>
              </w:rPr>
              <w:tab/>
            </w:r>
            <w:r w:rsidR="007F5932" w:rsidRPr="00356A3F">
              <w:rPr>
                <w:b/>
                <w:bCs/>
                <w:webHidden/>
              </w:rPr>
              <w:fldChar w:fldCharType="begin"/>
            </w:r>
            <w:r w:rsidR="007F5932" w:rsidRPr="00356A3F">
              <w:rPr>
                <w:webHidden/>
              </w:rPr>
              <w:instrText xml:space="preserve"> PAGEREF _Toc93523322 \h </w:instrText>
            </w:r>
            <w:r w:rsidR="007F5932" w:rsidRPr="00356A3F">
              <w:rPr>
                <w:b/>
                <w:bCs/>
                <w:webHidden/>
              </w:rPr>
            </w:r>
            <w:r w:rsidR="007F5932" w:rsidRPr="00356A3F">
              <w:rPr>
                <w:b/>
                <w:bCs/>
                <w:webHidden/>
              </w:rPr>
              <w:fldChar w:fldCharType="separate"/>
            </w:r>
            <w:r w:rsidR="00356A3F" w:rsidRPr="00356A3F">
              <w:rPr>
                <w:b/>
                <w:bCs/>
                <w:webHidden/>
              </w:rPr>
              <w:t>46</w:t>
            </w:r>
            <w:r w:rsidR="007F5932" w:rsidRPr="00356A3F">
              <w:rPr>
                <w:b/>
                <w:bCs/>
                <w:webHidden/>
              </w:rPr>
              <w:fldChar w:fldCharType="end"/>
            </w:r>
          </w:hyperlink>
        </w:p>
        <w:p w14:paraId="473F2B2A" w14:textId="77777777" w:rsidR="007F5932" w:rsidRPr="00356A3F" w:rsidRDefault="00820564" w:rsidP="00356A3F">
          <w:pPr>
            <w:pStyle w:val="Verzeichnis1"/>
            <w:rPr>
              <w:rFonts w:eastAsiaTheme="minorEastAsia"/>
              <w:b/>
              <w:bCs/>
              <w:kern w:val="0"/>
              <w:lang w:val="de-AT" w:eastAsia="de-AT"/>
            </w:rPr>
          </w:pPr>
          <w:hyperlink w:anchor="_Toc93523323" w:history="1">
            <w:r w:rsidR="007F5932" w:rsidRPr="00356A3F">
              <w:rPr>
                <w:rStyle w:val="Hyperlink"/>
              </w:rPr>
              <w:t>Anhang: Studienblatt</w:t>
            </w:r>
            <w:r w:rsidR="007F5932" w:rsidRPr="00356A3F">
              <w:rPr>
                <w:webHidden/>
              </w:rPr>
              <w:tab/>
            </w:r>
            <w:r w:rsidR="007F5932" w:rsidRPr="00356A3F">
              <w:rPr>
                <w:b/>
                <w:bCs/>
                <w:webHidden/>
              </w:rPr>
              <w:fldChar w:fldCharType="begin"/>
            </w:r>
            <w:r w:rsidR="007F5932" w:rsidRPr="00356A3F">
              <w:rPr>
                <w:webHidden/>
              </w:rPr>
              <w:instrText xml:space="preserve"> PAGEREF _Toc93523323 \h </w:instrText>
            </w:r>
            <w:r w:rsidR="007F5932" w:rsidRPr="00356A3F">
              <w:rPr>
                <w:b/>
                <w:bCs/>
                <w:webHidden/>
              </w:rPr>
            </w:r>
            <w:r w:rsidR="007F5932" w:rsidRPr="00356A3F">
              <w:rPr>
                <w:b/>
                <w:bCs/>
                <w:webHidden/>
              </w:rPr>
              <w:fldChar w:fldCharType="separate"/>
            </w:r>
            <w:r w:rsidR="00356A3F" w:rsidRPr="00356A3F">
              <w:rPr>
                <w:b/>
                <w:bCs/>
                <w:webHidden/>
              </w:rPr>
              <w:t>51</w:t>
            </w:r>
            <w:r w:rsidR="007F5932" w:rsidRPr="00356A3F">
              <w:rPr>
                <w:b/>
                <w:bCs/>
                <w:webHidden/>
              </w:rPr>
              <w:fldChar w:fldCharType="end"/>
            </w:r>
          </w:hyperlink>
        </w:p>
        <w:p w14:paraId="5D67B8B5" w14:textId="77777777" w:rsidR="007F5932" w:rsidRPr="00356A3F" w:rsidRDefault="00820564" w:rsidP="00D6108E">
          <w:pPr>
            <w:pStyle w:val="Verzeichnis2"/>
            <w:rPr>
              <w:rFonts w:eastAsiaTheme="minorEastAsia" w:cstheme="minorHAnsi"/>
              <w:bCs w:val="0"/>
              <w:lang w:val="de-AT"/>
            </w:rPr>
          </w:pPr>
          <w:hyperlink w:anchor="_Toc93523324" w:history="1">
            <w:r w:rsidR="007F5932" w:rsidRPr="00356A3F">
              <w:rPr>
                <w:rStyle w:val="Hyperlink"/>
                <w:rFonts w:cstheme="minorHAnsi"/>
                <w:bCs w:val="0"/>
              </w:rPr>
              <w:t xml:space="preserve">Studie </w:t>
            </w:r>
            <w:r w:rsidR="007F5932" w:rsidRPr="00356A3F">
              <w:rPr>
                <w:rStyle w:val="Hyperlink"/>
                <w:rFonts w:cstheme="minorHAnsi"/>
                <w:bCs w:val="0"/>
                <w:lang w:val="en-US"/>
              </w:rPr>
              <w:t>Fire-4 – AIO-KRK-0114 (</w:t>
            </w:r>
            <w:r w:rsidR="007F5932" w:rsidRPr="00356A3F">
              <w:rPr>
                <w:rStyle w:val="Hyperlink"/>
                <w:rFonts w:cstheme="minorHAnsi"/>
                <w:bCs w:val="0"/>
              </w:rPr>
              <w:t>KH Steyr)</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_Toc93523324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51</w:t>
            </w:r>
            <w:r w:rsidR="007F5932" w:rsidRPr="00356A3F">
              <w:rPr>
                <w:rFonts w:cstheme="minorHAnsi"/>
                <w:bCs w:val="0"/>
                <w:webHidden/>
              </w:rPr>
              <w:fldChar w:fldCharType="end"/>
            </w:r>
          </w:hyperlink>
        </w:p>
        <w:p w14:paraId="6F25D869" w14:textId="77777777" w:rsidR="007F5932" w:rsidRPr="00356A3F" w:rsidRDefault="00820564" w:rsidP="00D6108E">
          <w:pPr>
            <w:pStyle w:val="Verzeichnis2"/>
            <w:rPr>
              <w:rFonts w:eastAsiaTheme="minorEastAsia" w:cstheme="minorHAnsi"/>
              <w:bCs w:val="0"/>
              <w:lang w:val="de-AT"/>
            </w:rPr>
          </w:pPr>
          <w:hyperlink w:anchor="_Toc93523325" w:history="1">
            <w:r w:rsidR="007F5932" w:rsidRPr="00356A3F">
              <w:rPr>
                <w:rStyle w:val="Hyperlink"/>
                <w:rFonts w:cstheme="minorHAnsi"/>
                <w:bCs w:val="0"/>
              </w:rPr>
              <w:t xml:space="preserve">Studie </w:t>
            </w:r>
            <w:r w:rsidR="007F5932" w:rsidRPr="00356A3F">
              <w:rPr>
                <w:rStyle w:val="Hyperlink"/>
                <w:rFonts w:cstheme="minorHAnsi"/>
                <w:bCs w:val="0"/>
                <w:lang w:val="en-US"/>
              </w:rPr>
              <w:t>CheckMate 8HW (BHS Linz)</w:t>
            </w:r>
            <w:r w:rsidR="007F5932" w:rsidRPr="00356A3F">
              <w:rPr>
                <w:rFonts w:cstheme="minorHAnsi"/>
                <w:bCs w:val="0"/>
                <w:webHidden/>
              </w:rPr>
              <w:tab/>
            </w:r>
            <w:r w:rsidR="007F5932" w:rsidRPr="00356A3F">
              <w:rPr>
                <w:rFonts w:cstheme="minorHAnsi"/>
                <w:bCs w:val="0"/>
                <w:webHidden/>
              </w:rPr>
              <w:fldChar w:fldCharType="begin"/>
            </w:r>
            <w:r w:rsidR="007F5932" w:rsidRPr="00356A3F">
              <w:rPr>
                <w:rFonts w:cstheme="minorHAnsi"/>
                <w:bCs w:val="0"/>
                <w:webHidden/>
              </w:rPr>
              <w:instrText xml:space="preserve"> PAGEREF _Toc93523325 \h </w:instrText>
            </w:r>
            <w:r w:rsidR="007F5932" w:rsidRPr="00356A3F">
              <w:rPr>
                <w:rFonts w:cstheme="minorHAnsi"/>
                <w:bCs w:val="0"/>
                <w:webHidden/>
              </w:rPr>
            </w:r>
            <w:r w:rsidR="007F5932" w:rsidRPr="00356A3F">
              <w:rPr>
                <w:rFonts w:cstheme="minorHAnsi"/>
                <w:bCs w:val="0"/>
                <w:webHidden/>
              </w:rPr>
              <w:fldChar w:fldCharType="separate"/>
            </w:r>
            <w:r w:rsidR="00356A3F" w:rsidRPr="00356A3F">
              <w:rPr>
                <w:rFonts w:cstheme="minorHAnsi"/>
                <w:bCs w:val="0"/>
                <w:webHidden/>
              </w:rPr>
              <w:t>51</w:t>
            </w:r>
            <w:r w:rsidR="007F5932" w:rsidRPr="00356A3F">
              <w:rPr>
                <w:rFonts w:cstheme="minorHAnsi"/>
                <w:bCs w:val="0"/>
                <w:webHidden/>
              </w:rPr>
              <w:fldChar w:fldCharType="end"/>
            </w:r>
          </w:hyperlink>
        </w:p>
        <w:p w14:paraId="19EC1A20" w14:textId="77777777" w:rsidR="007F5932" w:rsidRPr="00356A3F" w:rsidRDefault="00820564" w:rsidP="00356A3F">
          <w:pPr>
            <w:pStyle w:val="Verzeichnis1"/>
            <w:rPr>
              <w:rFonts w:eastAsiaTheme="minorEastAsia"/>
              <w:b/>
              <w:bCs/>
              <w:kern w:val="0"/>
              <w:lang w:val="de-AT" w:eastAsia="de-AT"/>
            </w:rPr>
          </w:pPr>
          <w:hyperlink w:anchor="_Toc93523326" w:history="1">
            <w:r w:rsidR="007F5932" w:rsidRPr="00356A3F">
              <w:rPr>
                <w:rStyle w:val="Hyperlink"/>
              </w:rPr>
              <w:t>Anhang: Wirtschaftliche Analyse (optional)</w:t>
            </w:r>
            <w:r w:rsidR="007F5932" w:rsidRPr="00356A3F">
              <w:rPr>
                <w:webHidden/>
              </w:rPr>
              <w:tab/>
            </w:r>
            <w:r w:rsidR="007F5932" w:rsidRPr="00356A3F">
              <w:rPr>
                <w:b/>
                <w:bCs/>
                <w:webHidden/>
              </w:rPr>
              <w:fldChar w:fldCharType="begin"/>
            </w:r>
            <w:r w:rsidR="007F5932" w:rsidRPr="00356A3F">
              <w:rPr>
                <w:webHidden/>
              </w:rPr>
              <w:instrText xml:space="preserve"> PAGEREF _Toc93523326 \h </w:instrText>
            </w:r>
            <w:r w:rsidR="007F5932" w:rsidRPr="00356A3F">
              <w:rPr>
                <w:b/>
                <w:bCs/>
                <w:webHidden/>
              </w:rPr>
            </w:r>
            <w:r w:rsidR="007F5932" w:rsidRPr="00356A3F">
              <w:rPr>
                <w:b/>
                <w:bCs/>
                <w:webHidden/>
              </w:rPr>
              <w:fldChar w:fldCharType="separate"/>
            </w:r>
            <w:r w:rsidR="00356A3F" w:rsidRPr="00356A3F">
              <w:rPr>
                <w:b/>
                <w:bCs/>
                <w:webHidden/>
              </w:rPr>
              <w:t>51</w:t>
            </w:r>
            <w:r w:rsidR="007F5932" w:rsidRPr="00356A3F">
              <w:rPr>
                <w:b/>
                <w:bCs/>
                <w:webHidden/>
              </w:rPr>
              <w:fldChar w:fldCharType="end"/>
            </w:r>
          </w:hyperlink>
        </w:p>
        <w:p w14:paraId="11B2F959" w14:textId="77777777" w:rsidR="00ED24ED" w:rsidRPr="00916025" w:rsidRDefault="00822E59" w:rsidP="00742B4E">
          <w:pPr>
            <w:spacing w:line="276" w:lineRule="auto"/>
            <w:rPr>
              <w:rFonts w:asciiTheme="minorHAnsi" w:hAnsiTheme="minorHAnsi" w:cstheme="minorHAnsi"/>
              <w:szCs w:val="22"/>
            </w:rPr>
          </w:pPr>
          <w:r w:rsidRPr="006A0D28">
            <w:rPr>
              <w:rFonts w:asciiTheme="minorHAnsi" w:hAnsiTheme="minorHAnsi" w:cstheme="minorHAnsi"/>
              <w:bCs/>
              <w:szCs w:val="22"/>
              <w:lang w:val="de-DE"/>
            </w:rPr>
            <w:fldChar w:fldCharType="end"/>
          </w:r>
        </w:p>
      </w:sdtContent>
    </w:sdt>
    <w:p w14:paraId="1A1475E5" w14:textId="77777777" w:rsidR="00ED24ED" w:rsidRPr="00A55E2A" w:rsidRDefault="00ED24ED" w:rsidP="00A55E2A">
      <w:pPr>
        <w:spacing w:line="276" w:lineRule="auto"/>
        <w:jc w:val="left"/>
        <w:rPr>
          <w:rFonts w:asciiTheme="minorHAnsi" w:hAnsiTheme="minorHAnsi"/>
          <w:szCs w:val="22"/>
        </w:rPr>
      </w:pPr>
    </w:p>
    <w:p w14:paraId="1DFB8C43" w14:textId="77777777" w:rsidR="00ED24ED" w:rsidRPr="00A55E2A" w:rsidRDefault="00ED24ED" w:rsidP="00A55E2A">
      <w:pPr>
        <w:spacing w:line="276" w:lineRule="auto"/>
        <w:jc w:val="left"/>
        <w:rPr>
          <w:rFonts w:asciiTheme="minorHAnsi" w:hAnsiTheme="minorHAnsi"/>
          <w:szCs w:val="22"/>
        </w:rPr>
      </w:pPr>
    </w:p>
    <w:p w14:paraId="5640B769" w14:textId="77777777" w:rsidR="00ED24ED" w:rsidRPr="00A55E2A" w:rsidRDefault="00ED24ED" w:rsidP="00A55E2A">
      <w:pPr>
        <w:spacing w:line="276" w:lineRule="auto"/>
        <w:jc w:val="left"/>
        <w:rPr>
          <w:rFonts w:asciiTheme="minorHAnsi" w:hAnsiTheme="minorHAnsi"/>
          <w:szCs w:val="22"/>
        </w:rPr>
      </w:pPr>
    </w:p>
    <w:p w14:paraId="0BC92584" w14:textId="77777777" w:rsidR="006D4DAC" w:rsidRPr="00E344D4" w:rsidRDefault="006D4DAC" w:rsidP="007F3064">
      <w:pPr>
        <w:pStyle w:val="berschrift1"/>
      </w:pPr>
      <w:bookmarkStart w:id="1" w:name="_Toc367183615"/>
      <w:bookmarkStart w:id="2" w:name="_Toc367183853"/>
      <w:bookmarkStart w:id="3" w:name="_Toc93523266"/>
      <w:r w:rsidRPr="00E344D4">
        <w:t>1</w:t>
      </w:r>
      <w:r w:rsidRPr="00E344D4">
        <w:tab/>
      </w:r>
      <w:bookmarkEnd w:id="1"/>
      <w:bookmarkEnd w:id="2"/>
      <w:r w:rsidR="0049768A">
        <w:t>Allgemeines</w:t>
      </w:r>
      <w:bookmarkEnd w:id="3"/>
    </w:p>
    <w:p w14:paraId="3EB101C9" w14:textId="77777777" w:rsidR="001066A3" w:rsidRPr="001066A3" w:rsidRDefault="001066A3" w:rsidP="001066A3">
      <w:pPr>
        <w:spacing w:line="276" w:lineRule="auto"/>
        <w:jc w:val="both"/>
        <w:rPr>
          <w:rFonts w:asciiTheme="minorHAnsi" w:hAnsiTheme="minorHAnsi" w:cstheme="minorHAnsi"/>
        </w:rPr>
      </w:pPr>
      <w:r w:rsidRPr="001066A3">
        <w:rPr>
          <w:rFonts w:asciiTheme="minorHAnsi" w:hAnsiTheme="minorHAnsi" w:cstheme="minorHAnsi"/>
        </w:rPr>
        <w:t xml:space="preserve">Grundlagen der Leitlinie CRC sind die </w:t>
      </w:r>
      <w:r w:rsidR="00333C89">
        <w:rPr>
          <w:rFonts w:asciiTheme="minorHAnsi" w:hAnsiTheme="minorHAnsi" w:cstheme="minorHAnsi"/>
        </w:rPr>
        <w:t xml:space="preserve">ESMO-Guidelines </w:t>
      </w:r>
      <w:r w:rsidR="00333C89">
        <w:rPr>
          <w:rFonts w:asciiTheme="minorHAnsi" w:eastAsiaTheme="minorHAnsi" w:hAnsiTheme="minorHAnsi" w:cs="Arial"/>
          <w:noProof/>
          <w:szCs w:val="22"/>
          <w:lang w:eastAsia="de-AT"/>
        </w:rPr>
        <w:t>sowie die</w:t>
      </w:r>
      <w:r w:rsidR="00742B4E">
        <w:rPr>
          <w:rFonts w:asciiTheme="minorHAnsi" w:eastAsiaTheme="minorHAnsi" w:hAnsiTheme="minorHAnsi" w:cs="Arial"/>
          <w:noProof/>
          <w:szCs w:val="22"/>
          <w:lang w:eastAsia="de-AT"/>
        </w:rPr>
        <w:t xml:space="preserve"> </w:t>
      </w:r>
      <w:r w:rsidR="00333C89">
        <w:rPr>
          <w:rFonts w:asciiTheme="minorHAnsi" w:hAnsiTheme="minorHAnsi" w:cstheme="minorHAnsi"/>
        </w:rPr>
        <w:t xml:space="preserve">NCCN- und Onkopedia-Guidelines.  </w:t>
      </w:r>
    </w:p>
    <w:p w14:paraId="279E44C7" w14:textId="77777777" w:rsidR="006D4DAC" w:rsidRPr="00E344D4" w:rsidRDefault="004D2FE8" w:rsidP="004D2FE8">
      <w:pPr>
        <w:pStyle w:val="berschrift1"/>
      </w:pPr>
      <w:bookmarkStart w:id="4" w:name="_Toc93523267"/>
      <w:r>
        <w:lastRenderedPageBreak/>
        <w:t>2</w:t>
      </w:r>
      <w:r>
        <w:tab/>
      </w:r>
      <w:r w:rsidR="0049768A">
        <w:t>Diagnostik und Scoring</w:t>
      </w:r>
      <w:bookmarkEnd w:id="4"/>
    </w:p>
    <w:p w14:paraId="7AF71389" w14:textId="77777777" w:rsidR="004D2FE8" w:rsidRPr="004D2FE8" w:rsidRDefault="004D2FE8" w:rsidP="006C0CAD">
      <w:pPr>
        <w:pStyle w:val="berschrift2"/>
      </w:pPr>
      <w:bookmarkStart w:id="5" w:name="_Toc93523268"/>
      <w:r>
        <w:t>2.1</w:t>
      </w:r>
      <w:r>
        <w:tab/>
        <w:t>Colonkarzinom Neudiagnose</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3185"/>
        <w:gridCol w:w="1985"/>
        <w:gridCol w:w="2551"/>
        <w:gridCol w:w="992"/>
      </w:tblGrid>
      <w:tr w:rsidR="004D2FE8" w:rsidRPr="00FB2B66" w14:paraId="3EA9AB73" w14:textId="77777777" w:rsidTr="004D2FE8">
        <w:tc>
          <w:tcPr>
            <w:tcW w:w="467" w:type="dxa"/>
            <w:shd w:val="clear" w:color="auto" w:fill="92D050"/>
            <w:vAlign w:val="center"/>
          </w:tcPr>
          <w:p w14:paraId="73B55ABD" w14:textId="77777777" w:rsidR="004D2FE8" w:rsidRPr="00FB2B66" w:rsidRDefault="004D2FE8" w:rsidP="004F0EE5">
            <w:pPr>
              <w:spacing w:before="60" w:after="60" w:line="240" w:lineRule="auto"/>
              <w:rPr>
                <w:rFonts w:cs="Arial"/>
                <w:b/>
                <w:szCs w:val="22"/>
                <w:lang w:eastAsia="de-AT"/>
              </w:rPr>
            </w:pPr>
          </w:p>
        </w:tc>
        <w:tc>
          <w:tcPr>
            <w:tcW w:w="5170" w:type="dxa"/>
            <w:gridSpan w:val="2"/>
            <w:shd w:val="clear" w:color="auto" w:fill="92D050"/>
            <w:vAlign w:val="center"/>
          </w:tcPr>
          <w:p w14:paraId="0F66FB20" w14:textId="77777777" w:rsidR="004D2FE8" w:rsidRPr="00FB2B66" w:rsidRDefault="004D2FE8" w:rsidP="004F0EE5">
            <w:pPr>
              <w:spacing w:before="60" w:after="60" w:line="240" w:lineRule="auto"/>
              <w:rPr>
                <w:rFonts w:cs="Arial"/>
                <w:b/>
                <w:szCs w:val="22"/>
                <w:lang w:eastAsia="de-AT"/>
              </w:rPr>
            </w:pPr>
            <w:r w:rsidRPr="004D2FE8">
              <w:rPr>
                <w:rFonts w:cs="Arial"/>
                <w:b/>
                <w:szCs w:val="22"/>
                <w:lang w:eastAsia="de-AT"/>
              </w:rPr>
              <w:t>Checkliste Colonkarzinom Neudiagnose</w:t>
            </w:r>
          </w:p>
        </w:tc>
        <w:tc>
          <w:tcPr>
            <w:tcW w:w="2551" w:type="dxa"/>
            <w:shd w:val="clear" w:color="auto" w:fill="92D050"/>
            <w:vAlign w:val="center"/>
          </w:tcPr>
          <w:p w14:paraId="7CBCB4D7" w14:textId="77777777" w:rsidR="004D2FE8" w:rsidRPr="00FB2B66" w:rsidRDefault="004D2FE8" w:rsidP="004F0EE5">
            <w:pPr>
              <w:spacing w:before="60" w:after="60" w:line="240" w:lineRule="auto"/>
              <w:rPr>
                <w:rFonts w:cs="Arial"/>
                <w:b/>
                <w:szCs w:val="22"/>
                <w:lang w:eastAsia="de-AT"/>
              </w:rPr>
            </w:pPr>
            <w:r w:rsidRPr="00FB2B66">
              <w:rPr>
                <w:rFonts w:cs="Arial"/>
                <w:b/>
                <w:szCs w:val="22"/>
                <w:lang w:eastAsia="de-AT"/>
              </w:rPr>
              <w:t>Befund erhoben</w:t>
            </w:r>
          </w:p>
        </w:tc>
        <w:tc>
          <w:tcPr>
            <w:tcW w:w="992" w:type="dxa"/>
            <w:tcBorders>
              <w:bottom w:val="single" w:sz="4" w:space="0" w:color="auto"/>
            </w:tcBorders>
            <w:shd w:val="clear" w:color="auto" w:fill="92D050"/>
            <w:vAlign w:val="center"/>
          </w:tcPr>
          <w:p w14:paraId="6E72A17A" w14:textId="77777777" w:rsidR="004D2FE8" w:rsidRPr="00FB2B66" w:rsidRDefault="004D2FE8" w:rsidP="004F0EE5">
            <w:pPr>
              <w:spacing w:before="60" w:after="60" w:line="240" w:lineRule="auto"/>
              <w:rPr>
                <w:rFonts w:cs="Arial"/>
                <w:b/>
                <w:szCs w:val="22"/>
                <w:lang w:eastAsia="de-AT"/>
              </w:rPr>
            </w:pPr>
            <w:r w:rsidRPr="00FB2B66">
              <w:rPr>
                <w:rFonts w:cs="Arial"/>
                <w:b/>
                <w:szCs w:val="22"/>
                <w:lang w:eastAsia="de-AT"/>
              </w:rPr>
              <w:t>Hz</w:t>
            </w:r>
          </w:p>
        </w:tc>
      </w:tr>
      <w:tr w:rsidR="004D2FE8" w:rsidRPr="00FB2B66" w14:paraId="704AFDDB" w14:textId="77777777" w:rsidTr="004F0EE5">
        <w:tc>
          <w:tcPr>
            <w:tcW w:w="467" w:type="dxa"/>
            <w:shd w:val="clear" w:color="auto" w:fill="auto"/>
          </w:tcPr>
          <w:p w14:paraId="0E23246F"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5397F00"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Anamnese (inkl. Komorbiditäten) und Status</w:t>
            </w:r>
          </w:p>
        </w:tc>
        <w:tc>
          <w:tcPr>
            <w:tcW w:w="2551" w:type="dxa"/>
            <w:tcBorders>
              <w:bottom w:val="single" w:sz="4" w:space="0" w:color="auto"/>
            </w:tcBorders>
            <w:shd w:val="clear" w:color="auto" w:fill="auto"/>
          </w:tcPr>
          <w:p w14:paraId="39CA2A8C"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1BCF06F7"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0233449C" w14:textId="77777777" w:rsidTr="004F0EE5">
        <w:tc>
          <w:tcPr>
            <w:tcW w:w="467" w:type="dxa"/>
            <w:shd w:val="clear" w:color="auto" w:fill="auto"/>
          </w:tcPr>
          <w:p w14:paraId="07F9A962"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FE3BA98"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 xml:space="preserve">Familienanamnese </w:t>
            </w:r>
          </w:p>
          <w:p w14:paraId="2E7A1038"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 w:val="18"/>
                <w:szCs w:val="22"/>
                <w:lang w:eastAsia="de-AT"/>
              </w:rPr>
              <w:t>(Stammbaum; Risc Assessment)</w:t>
            </w:r>
          </w:p>
        </w:tc>
        <w:tc>
          <w:tcPr>
            <w:tcW w:w="2551" w:type="dxa"/>
            <w:shd w:val="clear" w:color="auto" w:fill="auto"/>
          </w:tcPr>
          <w:p w14:paraId="1BCCF443"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20C35F7F"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524E6D66" w14:textId="77777777" w:rsidTr="004F0EE5">
        <w:trPr>
          <w:trHeight w:val="1578"/>
        </w:trPr>
        <w:tc>
          <w:tcPr>
            <w:tcW w:w="467" w:type="dxa"/>
            <w:shd w:val="clear" w:color="auto" w:fill="auto"/>
          </w:tcPr>
          <w:p w14:paraId="03DBD45D"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auto"/>
          </w:tcPr>
          <w:p w14:paraId="236EB667" w14:textId="77777777" w:rsidR="004D2FE8" w:rsidRPr="00FB2B66" w:rsidRDefault="004D2FE8" w:rsidP="004D2FE8">
            <w:pPr>
              <w:spacing w:before="60" w:after="60" w:line="240" w:lineRule="auto"/>
              <w:jc w:val="left"/>
              <w:rPr>
                <w:rFonts w:cs="Arial"/>
                <w:color w:val="000000"/>
                <w:szCs w:val="22"/>
                <w:lang w:eastAsia="de-AT"/>
              </w:rPr>
            </w:pPr>
            <w:r w:rsidRPr="00FB2B66">
              <w:rPr>
                <w:rFonts w:ascii="Calibri" w:hAnsi="Calibri" w:cs="Calibri"/>
                <w:b/>
                <w:sz w:val="16"/>
                <w:szCs w:val="16"/>
                <w:lang w:eastAsia="de-AT"/>
              </w:rPr>
              <w:t xml:space="preserve"> </w:t>
            </w:r>
            <w:r w:rsidRPr="00FB2B66">
              <w:rPr>
                <w:rFonts w:cs="Arial"/>
                <w:color w:val="000000"/>
                <w:szCs w:val="22"/>
                <w:lang w:eastAsia="de-AT"/>
              </w:rPr>
              <w:t>WHO/ECOG Performance</w:t>
            </w:r>
          </w:p>
        </w:tc>
        <w:tc>
          <w:tcPr>
            <w:tcW w:w="4536" w:type="dxa"/>
            <w:gridSpan w:val="2"/>
            <w:shd w:val="clear" w:color="auto" w:fill="auto"/>
          </w:tcPr>
          <w:p w14:paraId="695843E1" w14:textId="77777777" w:rsidR="004D2FE8" w:rsidRPr="00FB2B66" w:rsidRDefault="004D2FE8" w:rsidP="004D2FE8">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(0) volle Aktivität, normales Leben möglich</w:t>
            </w:r>
          </w:p>
          <w:p w14:paraId="7A3101B6" w14:textId="77777777" w:rsidR="004D2FE8" w:rsidRPr="00FB2B66" w:rsidRDefault="004D2FE8" w:rsidP="004D2FE8">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(1) eingeschränkte Aktivität, leichte Arbeit möglich</w:t>
            </w:r>
          </w:p>
          <w:p w14:paraId="451BAC16" w14:textId="77777777" w:rsidR="004D2FE8" w:rsidRPr="00FB2B66" w:rsidRDefault="004D2FE8" w:rsidP="004D2FE8">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(2) Selbstversorgung möglich, nicht arbeitsfähig, nicht </w:t>
            </w:r>
          </w:p>
          <w:p w14:paraId="51A5A354" w14:textId="77777777" w:rsidR="004D2FE8" w:rsidRPr="00FB2B66" w:rsidRDefault="004D2FE8" w:rsidP="004D2FE8">
            <w:pPr>
              <w:spacing w:line="240" w:lineRule="auto"/>
              <w:jc w:val="left"/>
              <w:rPr>
                <w:rFonts w:cs="Arial"/>
                <w:sz w:val="16"/>
                <w:szCs w:val="16"/>
                <w:lang w:val="de-DE"/>
              </w:rPr>
            </w:pPr>
            <w:r w:rsidRPr="00FB2B66">
              <w:rPr>
                <w:rFonts w:cs="Arial"/>
                <w:sz w:val="16"/>
                <w:szCs w:val="16"/>
                <w:lang w:val="de-DE"/>
              </w:rPr>
              <w:t xml:space="preserve">           bettlägerig, muss &lt; 50% der Tageszeit ruhen</w:t>
            </w:r>
          </w:p>
          <w:p w14:paraId="5A77B777" w14:textId="77777777" w:rsidR="004D2FE8" w:rsidRPr="00FB2B66" w:rsidRDefault="004D2FE8" w:rsidP="004D2FE8">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(3) Selbstversorgung sehr eingeschränkt, &gt; 50% der </w:t>
            </w:r>
          </w:p>
          <w:p w14:paraId="3DC623ED" w14:textId="77777777" w:rsidR="004D2FE8" w:rsidRPr="00FB2B66" w:rsidRDefault="004D2FE8" w:rsidP="004D2FE8">
            <w:pPr>
              <w:spacing w:line="240" w:lineRule="auto"/>
              <w:jc w:val="left"/>
              <w:rPr>
                <w:rFonts w:cs="Arial"/>
                <w:sz w:val="16"/>
                <w:szCs w:val="16"/>
                <w:lang w:val="de-DE"/>
              </w:rPr>
            </w:pPr>
            <w:r w:rsidRPr="00FB2B66">
              <w:rPr>
                <w:rFonts w:cs="Arial"/>
                <w:sz w:val="16"/>
                <w:szCs w:val="16"/>
                <w:lang w:val="de-DE"/>
              </w:rPr>
              <w:t xml:space="preserve">           Tageszeit ruhebedürftig, Pflege/Hilfe notwendig</w:t>
            </w:r>
          </w:p>
          <w:p w14:paraId="755D10D0" w14:textId="77777777" w:rsidR="004D2FE8" w:rsidRPr="00FB2B66" w:rsidRDefault="004D2FE8" w:rsidP="004D2FE8">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(4) bettlägerig und völlig pflegebedürftig</w:t>
            </w:r>
            <w:r w:rsidRPr="00FB2B66">
              <w:rPr>
                <w:rFonts w:cs="Arial"/>
                <w:sz w:val="14"/>
                <w:szCs w:val="16"/>
                <w:lang w:val="de-DE"/>
              </w:rPr>
              <w:tab/>
            </w:r>
          </w:p>
        </w:tc>
        <w:tc>
          <w:tcPr>
            <w:tcW w:w="992" w:type="dxa"/>
            <w:shd w:val="clear" w:color="auto" w:fill="auto"/>
          </w:tcPr>
          <w:p w14:paraId="0E5AF3FA"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4411113B" w14:textId="77777777" w:rsidTr="004F0EE5">
        <w:tc>
          <w:tcPr>
            <w:tcW w:w="467" w:type="dxa"/>
            <w:shd w:val="clear" w:color="auto" w:fill="auto"/>
          </w:tcPr>
          <w:p w14:paraId="25C7C902"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C771B3A"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Ernährungsassessment (bei Gewichtsabnahme &gt;5% Vorstellung Ernährungsberatung)</w:t>
            </w:r>
          </w:p>
        </w:tc>
        <w:tc>
          <w:tcPr>
            <w:tcW w:w="2551" w:type="dxa"/>
            <w:tcBorders>
              <w:bottom w:val="single" w:sz="4" w:space="0" w:color="auto"/>
            </w:tcBorders>
            <w:shd w:val="clear" w:color="auto" w:fill="auto"/>
          </w:tcPr>
          <w:p w14:paraId="005C878B"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78C8A28E"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4EADC0E0" w14:textId="77777777" w:rsidTr="004F0EE5">
        <w:tc>
          <w:tcPr>
            <w:tcW w:w="467" w:type="dxa"/>
            <w:shd w:val="clear" w:color="auto" w:fill="auto"/>
          </w:tcPr>
          <w:p w14:paraId="5DCEDF05"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44EB3CE"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Geriatrische</w:t>
            </w:r>
            <w:r w:rsidR="008879AD">
              <w:rPr>
                <w:rFonts w:cs="Arial"/>
                <w:color w:val="000000"/>
                <w:szCs w:val="22"/>
                <w:lang w:eastAsia="de-AT"/>
              </w:rPr>
              <w:t>s</w:t>
            </w:r>
            <w:r w:rsidRPr="00FB2B66">
              <w:rPr>
                <w:rFonts w:cs="Arial"/>
                <w:color w:val="000000"/>
                <w:szCs w:val="22"/>
                <w:lang w:eastAsia="de-AT"/>
              </w:rPr>
              <w:t xml:space="preserve"> Assessment bei Alter &gt; 70 </w:t>
            </w:r>
          </w:p>
          <w:p w14:paraId="3A54E2BE"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 w:val="16"/>
                <w:szCs w:val="22"/>
                <w:lang w:eastAsia="de-AT"/>
              </w:rPr>
              <w:t>(entsprechend der lokalen Vorgehensweise)</w:t>
            </w:r>
          </w:p>
        </w:tc>
        <w:tc>
          <w:tcPr>
            <w:tcW w:w="2551" w:type="dxa"/>
            <w:shd w:val="clear" w:color="auto" w:fill="auto"/>
          </w:tcPr>
          <w:p w14:paraId="658B64FE"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2FAE598A"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1B973565" w14:textId="77777777" w:rsidTr="004F0EE5">
        <w:tc>
          <w:tcPr>
            <w:tcW w:w="467" w:type="dxa"/>
            <w:shd w:val="clear" w:color="auto" w:fill="auto"/>
          </w:tcPr>
          <w:p w14:paraId="7ACD1E9F"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2A1CC461"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Psychoonkologische Bedarfserhebung</w:t>
            </w:r>
          </w:p>
        </w:tc>
        <w:tc>
          <w:tcPr>
            <w:tcW w:w="2551" w:type="dxa"/>
            <w:shd w:val="clear" w:color="auto" w:fill="auto"/>
          </w:tcPr>
          <w:p w14:paraId="2CA69894"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0E38295B"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07790054" w14:textId="77777777" w:rsidTr="004F0EE5">
        <w:tc>
          <w:tcPr>
            <w:tcW w:w="467" w:type="dxa"/>
            <w:shd w:val="clear" w:color="auto" w:fill="auto"/>
          </w:tcPr>
          <w:p w14:paraId="12E8130D"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C2F8567"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 xml:space="preserve">Labor </w:t>
            </w:r>
            <w:r w:rsidRPr="00FB2B66">
              <w:rPr>
                <w:rFonts w:cs="Arial"/>
                <w:color w:val="000000"/>
                <w:sz w:val="18"/>
                <w:szCs w:val="18"/>
                <w:lang w:eastAsia="de-AT"/>
              </w:rPr>
              <w:t>( inkl. CEA, Eisenstatus)</w:t>
            </w:r>
          </w:p>
        </w:tc>
        <w:tc>
          <w:tcPr>
            <w:tcW w:w="2551" w:type="dxa"/>
            <w:shd w:val="clear" w:color="auto" w:fill="auto"/>
          </w:tcPr>
          <w:p w14:paraId="761DBCA5"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6DDB0C6F"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3475ADCA" w14:textId="77777777" w:rsidTr="004F0EE5">
        <w:tc>
          <w:tcPr>
            <w:tcW w:w="467" w:type="dxa"/>
            <w:shd w:val="clear" w:color="auto" w:fill="auto"/>
          </w:tcPr>
          <w:p w14:paraId="480E4FB0"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813DD1D"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Endoskopie +</w:t>
            </w:r>
            <w:r w:rsidR="00B04D0B">
              <w:rPr>
                <w:rFonts w:cs="Arial"/>
                <w:color w:val="000000"/>
                <w:szCs w:val="22"/>
                <w:lang w:eastAsia="de-AT"/>
              </w:rPr>
              <w:t xml:space="preserve"> </w:t>
            </w:r>
            <w:r w:rsidRPr="00FB2B66">
              <w:rPr>
                <w:rFonts w:cs="Arial"/>
                <w:color w:val="000000"/>
                <w:szCs w:val="22"/>
                <w:lang w:eastAsia="de-AT"/>
              </w:rPr>
              <w:t xml:space="preserve">Gewebebiopsie </w:t>
            </w:r>
          </w:p>
          <w:p w14:paraId="5D169AFE" w14:textId="77777777" w:rsidR="004D2FE8" w:rsidRPr="00FB2B66" w:rsidRDefault="004D2FE8" w:rsidP="004D2FE8">
            <w:pPr>
              <w:spacing w:before="60" w:after="60" w:line="240" w:lineRule="auto"/>
              <w:jc w:val="left"/>
              <w:rPr>
                <w:rFonts w:cs="Arial"/>
                <w:sz w:val="18"/>
                <w:szCs w:val="22"/>
                <w:lang w:eastAsia="de-AT"/>
              </w:rPr>
            </w:pPr>
            <w:r w:rsidRPr="00FB2B66">
              <w:rPr>
                <w:rFonts w:cs="Arial"/>
                <w:sz w:val="18"/>
                <w:szCs w:val="22"/>
                <w:lang w:eastAsia="de-AT"/>
              </w:rPr>
              <w:t xml:space="preserve">(Coloskopie </w:t>
            </w:r>
            <w:r w:rsidRPr="00FB2B66">
              <w:rPr>
                <w:rFonts w:cs="Arial"/>
                <w:sz w:val="18"/>
                <w:szCs w:val="22"/>
                <w:u w:val="single"/>
                <w:lang w:eastAsia="de-AT"/>
              </w:rPr>
              <w:t>komplett</w:t>
            </w:r>
            <w:r w:rsidRPr="00FB2B66">
              <w:rPr>
                <w:rFonts w:cs="Arial"/>
                <w:sz w:val="18"/>
                <w:szCs w:val="22"/>
                <w:lang w:eastAsia="de-AT"/>
              </w:rPr>
              <w:t xml:space="preserve"> bis Ileozökalklappe, bei inkompletter</w:t>
            </w:r>
          </w:p>
          <w:p w14:paraId="4744ECF9"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sz w:val="18"/>
                <w:szCs w:val="22"/>
                <w:lang w:eastAsia="de-AT"/>
              </w:rPr>
              <w:t>Coloskopie CT-Kolonographie)</w:t>
            </w:r>
          </w:p>
        </w:tc>
        <w:tc>
          <w:tcPr>
            <w:tcW w:w="2551" w:type="dxa"/>
            <w:shd w:val="clear" w:color="auto" w:fill="auto"/>
          </w:tcPr>
          <w:p w14:paraId="3A43D91C"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57ECDA0B"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4CCCA32C" w14:textId="77777777" w:rsidTr="004F0EE5">
        <w:tc>
          <w:tcPr>
            <w:tcW w:w="467" w:type="dxa"/>
            <w:shd w:val="clear" w:color="auto" w:fill="auto"/>
          </w:tcPr>
          <w:p w14:paraId="2198F766"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457D5CE" w14:textId="77777777" w:rsidR="004D2FE8" w:rsidRPr="00FB2B66" w:rsidRDefault="004D2FE8" w:rsidP="004D2FE8">
            <w:pPr>
              <w:spacing w:before="60" w:after="60" w:line="240" w:lineRule="auto"/>
              <w:jc w:val="left"/>
              <w:rPr>
                <w:rFonts w:cs="Arial"/>
                <w:color w:val="000000"/>
                <w:sz w:val="20"/>
                <w:lang w:eastAsia="de-AT"/>
              </w:rPr>
            </w:pPr>
            <w:r w:rsidRPr="00FB2B66">
              <w:rPr>
                <w:rFonts w:cs="Arial"/>
                <w:color w:val="000000"/>
                <w:szCs w:val="22"/>
                <w:lang w:eastAsia="de-AT"/>
              </w:rPr>
              <w:t>CT (Thorax, Abdomen, Becken)</w:t>
            </w:r>
          </w:p>
        </w:tc>
        <w:tc>
          <w:tcPr>
            <w:tcW w:w="2551" w:type="dxa"/>
            <w:shd w:val="clear" w:color="auto" w:fill="auto"/>
          </w:tcPr>
          <w:p w14:paraId="38B1F9D5"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1ECA2A7C"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64F29747" w14:textId="77777777" w:rsidTr="004F0EE5">
        <w:tc>
          <w:tcPr>
            <w:tcW w:w="467" w:type="dxa"/>
            <w:shd w:val="clear" w:color="auto" w:fill="auto"/>
          </w:tcPr>
          <w:p w14:paraId="619CBDCD"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52A541D"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Leberspezifisches MRT bei unklarem CT</w:t>
            </w:r>
          </w:p>
        </w:tc>
        <w:tc>
          <w:tcPr>
            <w:tcW w:w="2551" w:type="dxa"/>
            <w:shd w:val="clear" w:color="auto" w:fill="auto"/>
          </w:tcPr>
          <w:p w14:paraId="53E9B2ED"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4782187F"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6E92B0D1" w14:textId="77777777" w:rsidTr="004F0EE5">
        <w:tc>
          <w:tcPr>
            <w:tcW w:w="467" w:type="dxa"/>
            <w:shd w:val="clear" w:color="auto" w:fill="auto"/>
          </w:tcPr>
          <w:p w14:paraId="49A26226"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59C2019" w14:textId="77777777" w:rsidR="00B04D0B"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Bildgebung ZNS bei klinischem Verdacht</w:t>
            </w:r>
          </w:p>
        </w:tc>
        <w:tc>
          <w:tcPr>
            <w:tcW w:w="2551" w:type="dxa"/>
            <w:shd w:val="clear" w:color="auto" w:fill="auto"/>
          </w:tcPr>
          <w:p w14:paraId="01884630"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63F95083" w14:textId="77777777" w:rsidR="004D2FE8" w:rsidRPr="00FB2B66" w:rsidRDefault="004D2FE8" w:rsidP="004F0EE5">
            <w:pPr>
              <w:spacing w:before="60" w:after="60" w:line="240" w:lineRule="auto"/>
              <w:rPr>
                <w:rFonts w:cs="Arial"/>
                <w:color w:val="000000"/>
                <w:szCs w:val="22"/>
                <w:lang w:eastAsia="de-AT"/>
              </w:rPr>
            </w:pPr>
          </w:p>
        </w:tc>
      </w:tr>
      <w:tr w:rsidR="00B04D0B" w:rsidRPr="00FB2B66" w14:paraId="284353C2" w14:textId="77777777" w:rsidTr="004F0EE5">
        <w:tc>
          <w:tcPr>
            <w:tcW w:w="467" w:type="dxa"/>
            <w:shd w:val="clear" w:color="auto" w:fill="auto"/>
          </w:tcPr>
          <w:p w14:paraId="0C963791" w14:textId="77777777" w:rsidR="00B04D0B" w:rsidRPr="00FB2B66" w:rsidRDefault="00B04D0B" w:rsidP="004F0EE5">
            <w:pPr>
              <w:spacing w:before="60" w:after="60" w:line="240" w:lineRule="auto"/>
              <w:rPr>
                <w:rFonts w:ascii="Wingdings" w:hAnsi="Wingdings" w:cs="Arial"/>
                <w:color w:val="000000"/>
                <w:szCs w:val="22"/>
                <w:lang w:eastAsia="de-AT"/>
              </w:rPr>
            </w:pPr>
            <w:bookmarkStart w:id="6" w:name="_Hlk23533502"/>
            <w:r w:rsidRPr="00FB2B66">
              <w:rPr>
                <w:rFonts w:ascii="Wingdings" w:hAnsi="Wingdings" w:cs="Arial"/>
                <w:color w:val="000000"/>
                <w:szCs w:val="22"/>
                <w:lang w:eastAsia="de-AT"/>
              </w:rPr>
              <w:t></w:t>
            </w:r>
          </w:p>
        </w:tc>
        <w:tc>
          <w:tcPr>
            <w:tcW w:w="5170" w:type="dxa"/>
            <w:gridSpan w:val="2"/>
            <w:shd w:val="clear" w:color="auto" w:fill="auto"/>
          </w:tcPr>
          <w:p w14:paraId="79DE700B" w14:textId="77777777" w:rsidR="00B04D0B" w:rsidRPr="00FB2B66" w:rsidRDefault="00B04D0B" w:rsidP="004D2FE8">
            <w:pPr>
              <w:spacing w:before="60" w:after="60" w:line="240" w:lineRule="auto"/>
              <w:jc w:val="left"/>
              <w:rPr>
                <w:rFonts w:cs="Arial"/>
                <w:color w:val="000000"/>
                <w:szCs w:val="22"/>
                <w:lang w:eastAsia="de-AT"/>
              </w:rPr>
            </w:pPr>
            <w:r w:rsidRPr="0041373A">
              <w:rPr>
                <w:rFonts w:cs="Arial"/>
                <w:szCs w:val="22"/>
                <w:lang w:eastAsia="de-AT"/>
              </w:rPr>
              <w:t xml:space="preserve">Onko-PET-CT bei inkonklusiven anderen </w:t>
            </w:r>
            <w:r w:rsidR="00E5781B" w:rsidRPr="0041373A">
              <w:rPr>
                <w:rFonts w:cs="Arial"/>
                <w:szCs w:val="22"/>
                <w:lang w:eastAsia="de-AT"/>
              </w:rPr>
              <w:br/>
            </w:r>
            <w:r w:rsidRPr="0041373A">
              <w:rPr>
                <w:rFonts w:cs="Arial"/>
                <w:szCs w:val="22"/>
                <w:lang w:eastAsia="de-AT"/>
              </w:rPr>
              <w:t>bildgebenden Verfahren und therap</w:t>
            </w:r>
            <w:r w:rsidR="00443606" w:rsidRPr="0041373A">
              <w:rPr>
                <w:rFonts w:cs="Arial"/>
                <w:szCs w:val="22"/>
                <w:lang w:eastAsia="de-AT"/>
              </w:rPr>
              <w:t>.</w:t>
            </w:r>
            <w:r w:rsidRPr="0041373A">
              <w:rPr>
                <w:rFonts w:cs="Arial"/>
                <w:szCs w:val="22"/>
                <w:lang w:eastAsia="de-AT"/>
              </w:rPr>
              <w:t xml:space="preserve"> Konsequenz</w:t>
            </w:r>
          </w:p>
        </w:tc>
        <w:tc>
          <w:tcPr>
            <w:tcW w:w="2551" w:type="dxa"/>
            <w:shd w:val="clear" w:color="auto" w:fill="auto"/>
          </w:tcPr>
          <w:p w14:paraId="657D42F1" w14:textId="77777777" w:rsidR="00B04D0B" w:rsidRPr="00FB2B66" w:rsidRDefault="00B04D0B" w:rsidP="004F0EE5">
            <w:pPr>
              <w:spacing w:before="60" w:after="60" w:line="240" w:lineRule="auto"/>
              <w:rPr>
                <w:rFonts w:cs="Arial"/>
                <w:color w:val="000000"/>
                <w:szCs w:val="22"/>
                <w:lang w:eastAsia="de-AT"/>
              </w:rPr>
            </w:pPr>
          </w:p>
        </w:tc>
        <w:tc>
          <w:tcPr>
            <w:tcW w:w="992" w:type="dxa"/>
            <w:shd w:val="clear" w:color="auto" w:fill="auto"/>
          </w:tcPr>
          <w:p w14:paraId="117DF597" w14:textId="77777777" w:rsidR="00B04D0B" w:rsidRPr="00FB2B66" w:rsidRDefault="00B04D0B" w:rsidP="004F0EE5">
            <w:pPr>
              <w:spacing w:before="60" w:after="60" w:line="240" w:lineRule="auto"/>
              <w:rPr>
                <w:rFonts w:cs="Arial"/>
                <w:color w:val="000000"/>
                <w:szCs w:val="22"/>
                <w:lang w:eastAsia="de-AT"/>
              </w:rPr>
            </w:pPr>
          </w:p>
        </w:tc>
      </w:tr>
      <w:bookmarkEnd w:id="6"/>
      <w:tr w:rsidR="004D2FE8" w:rsidRPr="00FB2B66" w14:paraId="3AC1C388" w14:textId="77777777" w:rsidTr="004F0EE5">
        <w:tc>
          <w:tcPr>
            <w:tcW w:w="467" w:type="dxa"/>
            <w:shd w:val="clear" w:color="auto" w:fill="D9D9D9"/>
          </w:tcPr>
          <w:p w14:paraId="39F11244"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D9D9D9"/>
          </w:tcPr>
          <w:p w14:paraId="70569DE8"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Biopsie zur Sicherung bei V.a. Metastasierung</w:t>
            </w:r>
          </w:p>
        </w:tc>
        <w:tc>
          <w:tcPr>
            <w:tcW w:w="2551" w:type="dxa"/>
            <w:shd w:val="clear" w:color="auto" w:fill="D9D9D9"/>
          </w:tcPr>
          <w:p w14:paraId="45F4BA01"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D9D9D9"/>
          </w:tcPr>
          <w:p w14:paraId="5890816B"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7B976CB9" w14:textId="77777777" w:rsidTr="004F0EE5">
        <w:tc>
          <w:tcPr>
            <w:tcW w:w="467" w:type="dxa"/>
            <w:shd w:val="clear" w:color="auto" w:fill="auto"/>
          </w:tcPr>
          <w:p w14:paraId="36771432"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14E8933" w14:textId="77777777" w:rsidR="004D2FE8" w:rsidRPr="00FB2B66" w:rsidRDefault="004D2FE8" w:rsidP="004D2FE8">
            <w:pPr>
              <w:spacing w:before="60" w:after="60" w:line="240" w:lineRule="auto"/>
              <w:jc w:val="left"/>
              <w:rPr>
                <w:rFonts w:cs="Arial"/>
                <w:szCs w:val="22"/>
                <w:lang w:eastAsia="de-AT"/>
              </w:rPr>
            </w:pPr>
            <w:r w:rsidRPr="00FB2B66">
              <w:rPr>
                <w:rFonts w:cs="Arial"/>
                <w:szCs w:val="22"/>
                <w:lang w:eastAsia="de-AT"/>
              </w:rPr>
              <w:t>RAS</w:t>
            </w:r>
            <w:r w:rsidR="00B04D0B">
              <w:rPr>
                <w:rFonts w:cs="Arial"/>
                <w:szCs w:val="22"/>
                <w:lang w:eastAsia="de-AT"/>
              </w:rPr>
              <w:t>/BRAF</w:t>
            </w:r>
            <w:r w:rsidRPr="00FB2B66">
              <w:rPr>
                <w:rFonts w:cs="Arial"/>
                <w:szCs w:val="22"/>
                <w:lang w:eastAsia="de-AT"/>
              </w:rPr>
              <w:t>- Status bei gesicherter Metastasierung</w:t>
            </w:r>
          </w:p>
        </w:tc>
        <w:tc>
          <w:tcPr>
            <w:tcW w:w="2551" w:type="dxa"/>
            <w:shd w:val="clear" w:color="auto" w:fill="auto"/>
          </w:tcPr>
          <w:p w14:paraId="0CF22480" w14:textId="77777777" w:rsidR="004D2FE8" w:rsidRPr="00FB2B66" w:rsidRDefault="004D2FE8" w:rsidP="004F0EE5">
            <w:pPr>
              <w:tabs>
                <w:tab w:val="left" w:pos="1289"/>
              </w:tabs>
              <w:spacing w:before="60" w:after="60" w:line="240" w:lineRule="auto"/>
              <w:rPr>
                <w:rFonts w:cs="Arial"/>
                <w:color w:val="000000"/>
                <w:szCs w:val="22"/>
                <w:lang w:eastAsia="de-AT"/>
              </w:rPr>
            </w:pPr>
          </w:p>
        </w:tc>
        <w:tc>
          <w:tcPr>
            <w:tcW w:w="992" w:type="dxa"/>
            <w:shd w:val="clear" w:color="auto" w:fill="auto"/>
          </w:tcPr>
          <w:p w14:paraId="406EF41A"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04FD57EF" w14:textId="77777777" w:rsidTr="004F0EE5">
        <w:tc>
          <w:tcPr>
            <w:tcW w:w="467" w:type="dxa"/>
            <w:shd w:val="clear" w:color="auto" w:fill="D9D9D9"/>
          </w:tcPr>
          <w:p w14:paraId="7B32E8E5"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D9D9D9"/>
          </w:tcPr>
          <w:p w14:paraId="6B1D8469"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Festlegung des klin./patholog. TNM Stagings</w:t>
            </w:r>
          </w:p>
        </w:tc>
        <w:tc>
          <w:tcPr>
            <w:tcW w:w="2551" w:type="dxa"/>
            <w:shd w:val="clear" w:color="auto" w:fill="D9D9D9"/>
          </w:tcPr>
          <w:p w14:paraId="666DADA6" w14:textId="77777777" w:rsidR="004D2FE8" w:rsidRPr="00FB2B66" w:rsidRDefault="004D2FE8" w:rsidP="004F0EE5">
            <w:pPr>
              <w:spacing w:before="60" w:after="60" w:line="240" w:lineRule="auto"/>
              <w:rPr>
                <w:rFonts w:cs="Arial"/>
                <w:color w:val="000000"/>
                <w:szCs w:val="22"/>
                <w:lang w:eastAsia="de-AT"/>
              </w:rPr>
            </w:pPr>
            <w:r w:rsidRPr="00FB2B66">
              <w:rPr>
                <w:rFonts w:cs="Arial"/>
                <w:color w:val="000000"/>
                <w:szCs w:val="22"/>
                <w:lang w:eastAsia="de-AT"/>
              </w:rPr>
              <w:t>_</w:t>
            </w:r>
            <w:r w:rsidRPr="00FB2B66">
              <w:rPr>
                <w:rFonts w:cs="Arial"/>
                <w:b/>
                <w:color w:val="000000"/>
                <w:szCs w:val="22"/>
                <w:lang w:eastAsia="de-AT"/>
              </w:rPr>
              <w:t>T</w:t>
            </w:r>
            <w:r w:rsidRPr="00FB2B66">
              <w:rPr>
                <w:rFonts w:cs="Arial"/>
                <w:color w:val="000000"/>
                <w:szCs w:val="22"/>
                <w:lang w:eastAsia="de-AT"/>
              </w:rPr>
              <w:t>__    _</w:t>
            </w:r>
            <w:r w:rsidRPr="00FB2B66">
              <w:rPr>
                <w:rFonts w:cs="Arial"/>
                <w:b/>
                <w:color w:val="000000"/>
                <w:szCs w:val="22"/>
                <w:lang w:eastAsia="de-AT"/>
              </w:rPr>
              <w:t>N</w:t>
            </w:r>
            <w:r w:rsidRPr="00FB2B66">
              <w:rPr>
                <w:rFonts w:cs="Arial"/>
                <w:color w:val="000000"/>
                <w:szCs w:val="22"/>
                <w:lang w:eastAsia="de-AT"/>
              </w:rPr>
              <w:t>__    _</w:t>
            </w:r>
            <w:r w:rsidRPr="00FB2B66">
              <w:rPr>
                <w:rFonts w:cs="Arial"/>
                <w:b/>
                <w:color w:val="000000"/>
                <w:szCs w:val="22"/>
                <w:lang w:eastAsia="de-AT"/>
              </w:rPr>
              <w:t>M</w:t>
            </w:r>
            <w:r w:rsidRPr="00FB2B66">
              <w:rPr>
                <w:rFonts w:cs="Arial"/>
                <w:color w:val="000000"/>
                <w:szCs w:val="22"/>
                <w:lang w:eastAsia="de-AT"/>
              </w:rPr>
              <w:t>_</w:t>
            </w:r>
          </w:p>
          <w:p w14:paraId="18AB9CBD" w14:textId="77777777" w:rsidR="004D2FE8" w:rsidRPr="00FB2B66" w:rsidRDefault="004D2FE8" w:rsidP="004F0EE5">
            <w:pPr>
              <w:spacing w:before="60" w:after="60" w:line="240" w:lineRule="auto"/>
              <w:rPr>
                <w:rFonts w:cs="Arial"/>
                <w:color w:val="000000"/>
                <w:szCs w:val="22"/>
                <w:lang w:eastAsia="de-AT"/>
              </w:rPr>
            </w:pPr>
            <w:r w:rsidRPr="00FB2B66">
              <w:rPr>
                <w:rFonts w:cs="Arial"/>
                <w:color w:val="000000"/>
                <w:szCs w:val="22"/>
                <w:lang w:eastAsia="de-AT"/>
              </w:rPr>
              <w:t>UICC-Stadium _____</w:t>
            </w:r>
          </w:p>
        </w:tc>
        <w:tc>
          <w:tcPr>
            <w:tcW w:w="992" w:type="dxa"/>
            <w:shd w:val="clear" w:color="auto" w:fill="D9D9D9"/>
          </w:tcPr>
          <w:p w14:paraId="0AA8B390"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59C22099" w14:textId="77777777" w:rsidTr="004F0EE5">
        <w:tc>
          <w:tcPr>
            <w:tcW w:w="467" w:type="dxa"/>
            <w:shd w:val="clear" w:color="auto" w:fill="auto"/>
          </w:tcPr>
          <w:p w14:paraId="06231D48"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C270224"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Eingabe des Stagings in die Tumordatenbank</w:t>
            </w:r>
          </w:p>
        </w:tc>
        <w:tc>
          <w:tcPr>
            <w:tcW w:w="2551" w:type="dxa"/>
            <w:shd w:val="clear" w:color="auto" w:fill="auto"/>
          </w:tcPr>
          <w:p w14:paraId="4F89CE48"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74BB8AA0" w14:textId="77777777" w:rsidR="004D2FE8" w:rsidRPr="00FB2B66" w:rsidRDefault="004D2FE8" w:rsidP="004F0EE5">
            <w:pPr>
              <w:spacing w:before="60" w:after="60" w:line="240" w:lineRule="auto"/>
              <w:rPr>
                <w:rFonts w:cs="Arial"/>
                <w:color w:val="000000"/>
                <w:szCs w:val="22"/>
                <w:lang w:eastAsia="de-AT"/>
              </w:rPr>
            </w:pPr>
          </w:p>
        </w:tc>
      </w:tr>
      <w:tr w:rsidR="004D2FE8" w:rsidRPr="00FB2B66" w14:paraId="36BDA44F" w14:textId="77777777" w:rsidTr="004F0EE5">
        <w:tc>
          <w:tcPr>
            <w:tcW w:w="467" w:type="dxa"/>
            <w:shd w:val="clear" w:color="auto" w:fill="auto"/>
          </w:tcPr>
          <w:p w14:paraId="07696CD2" w14:textId="77777777" w:rsidR="004D2FE8" w:rsidRPr="00FB2B66" w:rsidRDefault="004D2FE8"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2806298" w14:textId="77777777" w:rsidR="004D2FE8" w:rsidRPr="00FB2B66" w:rsidRDefault="004D2FE8" w:rsidP="004D2FE8">
            <w:pPr>
              <w:spacing w:before="60" w:after="60" w:line="240" w:lineRule="auto"/>
              <w:jc w:val="left"/>
              <w:rPr>
                <w:rFonts w:cs="Arial"/>
                <w:color w:val="000000"/>
                <w:szCs w:val="22"/>
                <w:lang w:eastAsia="de-AT"/>
              </w:rPr>
            </w:pPr>
            <w:r w:rsidRPr="00FB2B66">
              <w:rPr>
                <w:rFonts w:cs="Arial"/>
                <w:color w:val="000000"/>
                <w:szCs w:val="22"/>
                <w:lang w:eastAsia="de-AT"/>
              </w:rPr>
              <w:t>Tumorboardanforderung</w:t>
            </w:r>
          </w:p>
        </w:tc>
        <w:tc>
          <w:tcPr>
            <w:tcW w:w="2551" w:type="dxa"/>
            <w:shd w:val="clear" w:color="auto" w:fill="auto"/>
          </w:tcPr>
          <w:p w14:paraId="425344CC" w14:textId="77777777" w:rsidR="004D2FE8" w:rsidRPr="00FB2B66" w:rsidRDefault="004D2FE8" w:rsidP="004F0EE5">
            <w:pPr>
              <w:spacing w:before="60" w:after="60" w:line="240" w:lineRule="auto"/>
              <w:rPr>
                <w:rFonts w:cs="Arial"/>
                <w:color w:val="000000"/>
                <w:szCs w:val="22"/>
                <w:lang w:eastAsia="de-AT"/>
              </w:rPr>
            </w:pPr>
          </w:p>
        </w:tc>
        <w:tc>
          <w:tcPr>
            <w:tcW w:w="992" w:type="dxa"/>
            <w:shd w:val="clear" w:color="auto" w:fill="auto"/>
          </w:tcPr>
          <w:p w14:paraId="0F832F63" w14:textId="77777777" w:rsidR="004D2FE8" w:rsidRPr="00FB2B66" w:rsidRDefault="004D2FE8" w:rsidP="004F0EE5">
            <w:pPr>
              <w:spacing w:before="60" w:after="60" w:line="240" w:lineRule="auto"/>
              <w:rPr>
                <w:rFonts w:cs="Arial"/>
                <w:color w:val="000000"/>
                <w:szCs w:val="22"/>
                <w:lang w:eastAsia="de-AT"/>
              </w:rPr>
            </w:pPr>
          </w:p>
        </w:tc>
      </w:tr>
    </w:tbl>
    <w:p w14:paraId="24553F25" w14:textId="77777777" w:rsidR="00742B4E" w:rsidRDefault="00742B4E" w:rsidP="00742B4E">
      <w:pPr>
        <w:pStyle w:val="berschrift2"/>
        <w:ind w:left="0" w:firstLine="0"/>
      </w:pPr>
    </w:p>
    <w:p w14:paraId="75643D1D" w14:textId="77777777" w:rsidR="00742B4E" w:rsidRDefault="00742B4E">
      <w:pPr>
        <w:spacing w:line="240" w:lineRule="auto"/>
        <w:jc w:val="left"/>
        <w:rPr>
          <w:rFonts w:cs="Arial"/>
          <w:b/>
          <w:bCs/>
          <w:i/>
          <w:iCs/>
          <w:sz w:val="24"/>
          <w:szCs w:val="24"/>
        </w:rPr>
      </w:pPr>
      <w:r>
        <w:br w:type="page"/>
      </w:r>
    </w:p>
    <w:p w14:paraId="2189771A" w14:textId="77777777" w:rsidR="004D2FE8" w:rsidRDefault="004D2FE8" w:rsidP="00742B4E">
      <w:pPr>
        <w:pStyle w:val="berschrift2"/>
        <w:ind w:left="0" w:firstLine="0"/>
      </w:pPr>
      <w:bookmarkStart w:id="7" w:name="_Toc93523269"/>
      <w:r>
        <w:lastRenderedPageBreak/>
        <w:t>2.2</w:t>
      </w:r>
      <w:r>
        <w:tab/>
      </w:r>
      <w:r w:rsidRPr="004D2FE8">
        <w:t>Rektumkarzinom Neudiagnose</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3185"/>
        <w:gridCol w:w="1985"/>
        <w:gridCol w:w="2551"/>
        <w:gridCol w:w="992"/>
      </w:tblGrid>
      <w:tr w:rsidR="004D2FE8" w:rsidRPr="00FB2B66" w14:paraId="6E4DA318" w14:textId="77777777" w:rsidTr="003F79D8">
        <w:tc>
          <w:tcPr>
            <w:tcW w:w="467" w:type="dxa"/>
            <w:shd w:val="clear" w:color="auto" w:fill="92D050"/>
          </w:tcPr>
          <w:p w14:paraId="31AAD3C6" w14:textId="77777777" w:rsidR="004D2FE8" w:rsidRPr="00FB2B66" w:rsidRDefault="004D2FE8" w:rsidP="004F0EE5">
            <w:pPr>
              <w:spacing w:before="20" w:after="20" w:line="240" w:lineRule="auto"/>
              <w:rPr>
                <w:rFonts w:cs="Arial"/>
                <w:b/>
                <w:szCs w:val="22"/>
                <w:lang w:eastAsia="de-AT"/>
              </w:rPr>
            </w:pPr>
          </w:p>
        </w:tc>
        <w:tc>
          <w:tcPr>
            <w:tcW w:w="5170" w:type="dxa"/>
            <w:gridSpan w:val="2"/>
            <w:shd w:val="clear" w:color="auto" w:fill="92D050"/>
          </w:tcPr>
          <w:p w14:paraId="018B16AB" w14:textId="77777777" w:rsidR="004D2FE8" w:rsidRPr="00FB2B66" w:rsidRDefault="003F79D8" w:rsidP="004F0EE5">
            <w:pPr>
              <w:spacing w:before="20" w:after="20" w:line="240" w:lineRule="auto"/>
              <w:rPr>
                <w:rFonts w:cs="Arial"/>
                <w:b/>
                <w:szCs w:val="22"/>
                <w:lang w:eastAsia="de-AT"/>
              </w:rPr>
            </w:pPr>
            <w:r w:rsidRPr="003F79D8">
              <w:rPr>
                <w:rFonts w:cs="Arial"/>
                <w:b/>
                <w:szCs w:val="22"/>
                <w:lang w:eastAsia="de-AT"/>
              </w:rPr>
              <w:t>Checkliste Rektumkarzinom Neudiagnose</w:t>
            </w:r>
          </w:p>
        </w:tc>
        <w:tc>
          <w:tcPr>
            <w:tcW w:w="2551" w:type="dxa"/>
            <w:shd w:val="clear" w:color="auto" w:fill="92D050"/>
          </w:tcPr>
          <w:p w14:paraId="4FF15964" w14:textId="77777777" w:rsidR="004D2FE8" w:rsidRPr="00FB2B66" w:rsidRDefault="004D2FE8" w:rsidP="004F0EE5">
            <w:pPr>
              <w:spacing w:before="20" w:after="20" w:line="240" w:lineRule="auto"/>
              <w:rPr>
                <w:rFonts w:cs="Arial"/>
                <w:b/>
                <w:szCs w:val="22"/>
                <w:lang w:eastAsia="de-AT"/>
              </w:rPr>
            </w:pPr>
            <w:r w:rsidRPr="00FB2B66">
              <w:rPr>
                <w:rFonts w:cs="Arial"/>
                <w:b/>
                <w:szCs w:val="22"/>
                <w:lang w:eastAsia="de-AT"/>
              </w:rPr>
              <w:t>Befund erhoben</w:t>
            </w:r>
          </w:p>
        </w:tc>
        <w:tc>
          <w:tcPr>
            <w:tcW w:w="992" w:type="dxa"/>
            <w:tcBorders>
              <w:bottom w:val="single" w:sz="4" w:space="0" w:color="auto"/>
            </w:tcBorders>
            <w:shd w:val="clear" w:color="auto" w:fill="92D050"/>
          </w:tcPr>
          <w:p w14:paraId="78FF1ECD" w14:textId="77777777" w:rsidR="004D2FE8" w:rsidRPr="00FB2B66" w:rsidRDefault="004D2FE8" w:rsidP="004F0EE5">
            <w:pPr>
              <w:spacing w:before="20" w:after="20" w:line="240" w:lineRule="auto"/>
              <w:rPr>
                <w:rFonts w:cs="Arial"/>
                <w:b/>
                <w:szCs w:val="22"/>
                <w:lang w:eastAsia="de-AT"/>
              </w:rPr>
            </w:pPr>
            <w:r w:rsidRPr="00FB2B66">
              <w:rPr>
                <w:rFonts w:cs="Arial"/>
                <w:b/>
                <w:szCs w:val="22"/>
                <w:lang w:eastAsia="de-AT"/>
              </w:rPr>
              <w:t>Hz</w:t>
            </w:r>
          </w:p>
        </w:tc>
      </w:tr>
      <w:tr w:rsidR="004D2FE8" w:rsidRPr="00FB2B66" w14:paraId="027A1155" w14:textId="77777777" w:rsidTr="004F0EE5">
        <w:tc>
          <w:tcPr>
            <w:tcW w:w="467" w:type="dxa"/>
            <w:shd w:val="clear" w:color="auto" w:fill="auto"/>
          </w:tcPr>
          <w:p w14:paraId="3376BD0A"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D3F0312"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Anamnese (inkl. Komorbiditäten) und Status</w:t>
            </w:r>
          </w:p>
        </w:tc>
        <w:tc>
          <w:tcPr>
            <w:tcW w:w="2551" w:type="dxa"/>
            <w:tcBorders>
              <w:bottom w:val="single" w:sz="4" w:space="0" w:color="auto"/>
            </w:tcBorders>
            <w:shd w:val="clear" w:color="auto" w:fill="auto"/>
          </w:tcPr>
          <w:p w14:paraId="2565AC99"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489B2227"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4759D563" w14:textId="77777777" w:rsidTr="004F0EE5">
        <w:tc>
          <w:tcPr>
            <w:tcW w:w="467" w:type="dxa"/>
            <w:shd w:val="clear" w:color="auto" w:fill="auto"/>
          </w:tcPr>
          <w:p w14:paraId="1FF79138"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78AD2AE"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 xml:space="preserve">Familienanamnese  </w:t>
            </w:r>
            <w:r w:rsidRPr="00FB2B66">
              <w:rPr>
                <w:rFonts w:cs="Arial"/>
                <w:color w:val="000000"/>
                <w:sz w:val="18"/>
                <w:szCs w:val="22"/>
                <w:lang w:eastAsia="de-AT"/>
              </w:rPr>
              <w:t>(Stammbaum; Risc Assessment)</w:t>
            </w:r>
          </w:p>
        </w:tc>
        <w:tc>
          <w:tcPr>
            <w:tcW w:w="2551" w:type="dxa"/>
            <w:shd w:val="clear" w:color="auto" w:fill="auto"/>
          </w:tcPr>
          <w:p w14:paraId="23C15D0A"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4C1B1DFA"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366BC560" w14:textId="77777777" w:rsidTr="004F0EE5">
        <w:trPr>
          <w:trHeight w:val="1578"/>
        </w:trPr>
        <w:tc>
          <w:tcPr>
            <w:tcW w:w="467" w:type="dxa"/>
            <w:shd w:val="clear" w:color="auto" w:fill="auto"/>
          </w:tcPr>
          <w:p w14:paraId="5C5C2170"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auto"/>
          </w:tcPr>
          <w:p w14:paraId="557BA3CC" w14:textId="77777777" w:rsidR="004D2FE8" w:rsidRPr="00FB2B66" w:rsidRDefault="004D2FE8" w:rsidP="004D2FE8">
            <w:pPr>
              <w:spacing w:before="40" w:after="20" w:line="240" w:lineRule="auto"/>
              <w:jc w:val="left"/>
              <w:rPr>
                <w:rFonts w:cs="Arial"/>
                <w:color w:val="000000"/>
                <w:szCs w:val="22"/>
                <w:lang w:eastAsia="de-AT"/>
              </w:rPr>
            </w:pPr>
            <w:r w:rsidRPr="00FB2B66">
              <w:rPr>
                <w:rFonts w:ascii="Calibri" w:hAnsi="Calibri" w:cs="Calibri"/>
                <w:b/>
                <w:sz w:val="16"/>
                <w:szCs w:val="16"/>
                <w:lang w:eastAsia="de-AT"/>
              </w:rPr>
              <w:t xml:space="preserve"> </w:t>
            </w:r>
            <w:r w:rsidRPr="00FB2B66">
              <w:rPr>
                <w:rFonts w:cs="Arial"/>
                <w:color w:val="000000"/>
                <w:szCs w:val="22"/>
                <w:lang w:eastAsia="de-AT"/>
              </w:rPr>
              <w:t>WHO/ECOG Performance</w:t>
            </w:r>
          </w:p>
        </w:tc>
        <w:tc>
          <w:tcPr>
            <w:tcW w:w="4536" w:type="dxa"/>
            <w:gridSpan w:val="2"/>
            <w:shd w:val="clear" w:color="auto" w:fill="auto"/>
          </w:tcPr>
          <w:p w14:paraId="0347A859" w14:textId="77777777" w:rsidR="004D2FE8" w:rsidRPr="00FB2B66" w:rsidRDefault="004D2FE8" w:rsidP="004D2FE8">
            <w:pPr>
              <w:spacing w:before="40" w:after="20"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(0) volle Aktivität, normales Leben möglich</w:t>
            </w:r>
          </w:p>
          <w:p w14:paraId="6F120CA3" w14:textId="77777777" w:rsidR="004D2FE8" w:rsidRPr="00FB2B66" w:rsidRDefault="004D2FE8" w:rsidP="004D2FE8">
            <w:pPr>
              <w:spacing w:before="40" w:after="20"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(1) eingeschränkte Aktivität, leichte Arbeit möglich</w:t>
            </w:r>
          </w:p>
          <w:p w14:paraId="227BACCD" w14:textId="77777777" w:rsidR="004D2FE8" w:rsidRPr="00FB2B66" w:rsidRDefault="004D2FE8" w:rsidP="004D2FE8">
            <w:pPr>
              <w:spacing w:before="40" w:after="20"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(2) Selbstversorgung möglich, nicht arbeitsfähig, nicht </w:t>
            </w:r>
          </w:p>
          <w:p w14:paraId="7DA0E7F2" w14:textId="77777777" w:rsidR="004D2FE8" w:rsidRPr="00FB2B66" w:rsidRDefault="004D2FE8" w:rsidP="004D2FE8">
            <w:pPr>
              <w:spacing w:before="40" w:after="20" w:line="240" w:lineRule="auto"/>
              <w:jc w:val="left"/>
              <w:rPr>
                <w:rFonts w:cs="Arial"/>
                <w:sz w:val="16"/>
                <w:szCs w:val="16"/>
                <w:lang w:val="de-DE"/>
              </w:rPr>
            </w:pPr>
            <w:r w:rsidRPr="00FB2B66">
              <w:rPr>
                <w:rFonts w:cs="Arial"/>
                <w:sz w:val="16"/>
                <w:szCs w:val="16"/>
                <w:lang w:val="de-DE"/>
              </w:rPr>
              <w:t xml:space="preserve">           bettlägerig, muss &lt; 50% der Tageszeit ruhen</w:t>
            </w:r>
          </w:p>
          <w:p w14:paraId="20EF26F4" w14:textId="77777777" w:rsidR="004D2FE8" w:rsidRPr="00FB2B66" w:rsidRDefault="004D2FE8" w:rsidP="004D2FE8">
            <w:pPr>
              <w:spacing w:before="40" w:after="20"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(3) Selbstversorgung sehr eingeschränkt, &gt; 50% der </w:t>
            </w:r>
          </w:p>
          <w:p w14:paraId="11B611D2" w14:textId="77777777" w:rsidR="004D2FE8" w:rsidRPr="00FB2B66" w:rsidRDefault="004D2FE8" w:rsidP="004D2FE8">
            <w:pPr>
              <w:spacing w:before="40" w:after="20" w:line="240" w:lineRule="auto"/>
              <w:jc w:val="left"/>
              <w:rPr>
                <w:rFonts w:cs="Arial"/>
                <w:sz w:val="16"/>
                <w:szCs w:val="16"/>
                <w:lang w:val="de-DE"/>
              </w:rPr>
            </w:pPr>
            <w:r w:rsidRPr="00FB2B66">
              <w:rPr>
                <w:rFonts w:cs="Arial"/>
                <w:sz w:val="16"/>
                <w:szCs w:val="16"/>
                <w:lang w:val="de-DE"/>
              </w:rPr>
              <w:t xml:space="preserve">           Tageszeit ruhebedürftig, Pflege/Hilfe notwendig</w:t>
            </w:r>
          </w:p>
          <w:p w14:paraId="10D65B17" w14:textId="77777777" w:rsidR="004D2FE8" w:rsidRPr="00FB2B66" w:rsidRDefault="004D2FE8" w:rsidP="004D2FE8">
            <w:pPr>
              <w:spacing w:before="40" w:after="20"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(4) bettlägerig und völlig pflegebedürftig</w:t>
            </w:r>
            <w:r w:rsidRPr="00FB2B66">
              <w:rPr>
                <w:rFonts w:cs="Arial"/>
                <w:sz w:val="14"/>
                <w:szCs w:val="16"/>
                <w:lang w:val="de-DE"/>
              </w:rPr>
              <w:tab/>
            </w:r>
          </w:p>
        </w:tc>
        <w:tc>
          <w:tcPr>
            <w:tcW w:w="992" w:type="dxa"/>
            <w:shd w:val="clear" w:color="auto" w:fill="auto"/>
          </w:tcPr>
          <w:p w14:paraId="0A7144DF"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3DCFE21A" w14:textId="77777777" w:rsidTr="004F0EE5">
        <w:tc>
          <w:tcPr>
            <w:tcW w:w="467" w:type="dxa"/>
            <w:shd w:val="clear" w:color="auto" w:fill="auto"/>
          </w:tcPr>
          <w:p w14:paraId="5F7FCDB6"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503B727"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Ernährungsassessment (bei Gewichtsabnahme &gt;5% Vorstellung Ernährungsberatung)</w:t>
            </w:r>
          </w:p>
        </w:tc>
        <w:tc>
          <w:tcPr>
            <w:tcW w:w="2551" w:type="dxa"/>
            <w:tcBorders>
              <w:bottom w:val="single" w:sz="4" w:space="0" w:color="auto"/>
            </w:tcBorders>
            <w:shd w:val="clear" w:color="auto" w:fill="auto"/>
          </w:tcPr>
          <w:p w14:paraId="3A962C8F"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2E38382D"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5147B019" w14:textId="77777777" w:rsidTr="004F0EE5">
        <w:tc>
          <w:tcPr>
            <w:tcW w:w="467" w:type="dxa"/>
            <w:shd w:val="clear" w:color="auto" w:fill="auto"/>
          </w:tcPr>
          <w:p w14:paraId="6B21CB6C"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A85CF1F"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Geriatrische</w:t>
            </w:r>
            <w:r w:rsidR="008879AD">
              <w:rPr>
                <w:rFonts w:cs="Arial"/>
                <w:color w:val="000000"/>
                <w:szCs w:val="22"/>
                <w:lang w:eastAsia="de-AT"/>
              </w:rPr>
              <w:t>s</w:t>
            </w:r>
            <w:r w:rsidRPr="00FB2B66">
              <w:rPr>
                <w:rFonts w:cs="Arial"/>
                <w:color w:val="000000"/>
                <w:szCs w:val="22"/>
                <w:lang w:eastAsia="de-AT"/>
              </w:rPr>
              <w:t xml:space="preserve"> Assessment bei Alter &gt; 70 </w:t>
            </w:r>
          </w:p>
          <w:p w14:paraId="4A67867E"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 w:val="16"/>
                <w:szCs w:val="22"/>
                <w:lang w:eastAsia="de-AT"/>
              </w:rPr>
              <w:t>(entsprechend der lokalen Vorgehensweise)</w:t>
            </w:r>
          </w:p>
        </w:tc>
        <w:tc>
          <w:tcPr>
            <w:tcW w:w="2551" w:type="dxa"/>
            <w:shd w:val="clear" w:color="auto" w:fill="auto"/>
          </w:tcPr>
          <w:p w14:paraId="009F6C64"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7F0DD8EB"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6223B735" w14:textId="77777777" w:rsidTr="004F0EE5">
        <w:tc>
          <w:tcPr>
            <w:tcW w:w="467" w:type="dxa"/>
            <w:shd w:val="clear" w:color="auto" w:fill="auto"/>
          </w:tcPr>
          <w:p w14:paraId="463B96B5"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7117F9B"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Psychoonkologische Bedarfserhebung</w:t>
            </w:r>
          </w:p>
        </w:tc>
        <w:tc>
          <w:tcPr>
            <w:tcW w:w="2551" w:type="dxa"/>
            <w:shd w:val="clear" w:color="auto" w:fill="auto"/>
          </w:tcPr>
          <w:p w14:paraId="7559660D"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01ACED99"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6F9A8FB2" w14:textId="77777777" w:rsidTr="004F0EE5">
        <w:tc>
          <w:tcPr>
            <w:tcW w:w="467" w:type="dxa"/>
            <w:shd w:val="clear" w:color="auto" w:fill="auto"/>
          </w:tcPr>
          <w:p w14:paraId="0F38680B"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1FC14D0"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 xml:space="preserve">Labor </w:t>
            </w:r>
            <w:r w:rsidRPr="00FB2B66">
              <w:rPr>
                <w:rFonts w:cs="Arial"/>
                <w:color w:val="000000"/>
                <w:sz w:val="18"/>
                <w:szCs w:val="18"/>
                <w:lang w:eastAsia="de-AT"/>
              </w:rPr>
              <w:t>( inkl. CEA, Eisenstatus)</w:t>
            </w:r>
          </w:p>
        </w:tc>
        <w:tc>
          <w:tcPr>
            <w:tcW w:w="2551" w:type="dxa"/>
            <w:shd w:val="clear" w:color="auto" w:fill="auto"/>
          </w:tcPr>
          <w:p w14:paraId="3EB7267C"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134C425C"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7485C22B" w14:textId="77777777" w:rsidTr="004F0EE5">
        <w:tc>
          <w:tcPr>
            <w:tcW w:w="467" w:type="dxa"/>
            <w:shd w:val="clear" w:color="auto" w:fill="auto"/>
          </w:tcPr>
          <w:p w14:paraId="17879C6C"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8889F58"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 xml:space="preserve">Starre </w:t>
            </w:r>
            <w:r w:rsidRPr="00FB2B66">
              <w:rPr>
                <w:rFonts w:cs="Arial"/>
                <w:szCs w:val="22"/>
                <w:lang w:eastAsia="de-AT"/>
              </w:rPr>
              <w:t>Proktoskopie/Rektoskopie +/- Biopsie</w:t>
            </w:r>
          </w:p>
        </w:tc>
        <w:tc>
          <w:tcPr>
            <w:tcW w:w="2551" w:type="dxa"/>
            <w:shd w:val="clear" w:color="auto" w:fill="auto"/>
          </w:tcPr>
          <w:p w14:paraId="3C55D114" w14:textId="77777777" w:rsidR="004D2FE8" w:rsidRPr="00FB2B66" w:rsidRDefault="004D2FE8" w:rsidP="004F0EE5">
            <w:pPr>
              <w:spacing w:before="40" w:after="20" w:line="240" w:lineRule="auto"/>
              <w:rPr>
                <w:rFonts w:cs="Arial"/>
                <w:color w:val="000000"/>
                <w:szCs w:val="22"/>
                <w:lang w:eastAsia="de-AT"/>
              </w:rPr>
            </w:pPr>
            <w:r w:rsidRPr="00FB2B66">
              <w:rPr>
                <w:rFonts w:cs="Arial"/>
                <w:color w:val="000000"/>
                <w:szCs w:val="22"/>
                <w:lang w:eastAsia="de-AT"/>
              </w:rPr>
              <w:t>_ _ cm ab ano</w:t>
            </w:r>
          </w:p>
        </w:tc>
        <w:tc>
          <w:tcPr>
            <w:tcW w:w="992" w:type="dxa"/>
            <w:shd w:val="clear" w:color="auto" w:fill="auto"/>
          </w:tcPr>
          <w:p w14:paraId="4342CB80"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591FC77F" w14:textId="77777777" w:rsidTr="004F0EE5">
        <w:tc>
          <w:tcPr>
            <w:tcW w:w="467" w:type="dxa"/>
            <w:shd w:val="clear" w:color="auto" w:fill="auto"/>
          </w:tcPr>
          <w:p w14:paraId="4A76CF33"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AF7C0CD"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Endoskopie + Biopsie</w:t>
            </w:r>
          </w:p>
          <w:p w14:paraId="1DAC5A2E" w14:textId="77777777" w:rsidR="004D2FE8" w:rsidRPr="00FB2B66" w:rsidRDefault="004D2FE8" w:rsidP="004D2FE8">
            <w:pPr>
              <w:spacing w:before="60" w:after="60" w:line="240" w:lineRule="auto"/>
              <w:jc w:val="left"/>
              <w:rPr>
                <w:rFonts w:cs="Arial"/>
                <w:sz w:val="18"/>
                <w:szCs w:val="22"/>
                <w:lang w:eastAsia="de-AT"/>
              </w:rPr>
            </w:pPr>
            <w:r w:rsidRPr="00FB2B66">
              <w:rPr>
                <w:rFonts w:cs="Arial"/>
                <w:color w:val="000000"/>
                <w:sz w:val="18"/>
                <w:szCs w:val="22"/>
                <w:lang w:eastAsia="de-AT"/>
              </w:rPr>
              <w:t>(</w:t>
            </w:r>
            <w:r w:rsidRPr="00FB2B66">
              <w:rPr>
                <w:rFonts w:cs="Arial"/>
                <w:sz w:val="18"/>
                <w:szCs w:val="22"/>
                <w:lang w:eastAsia="de-AT"/>
              </w:rPr>
              <w:t xml:space="preserve">Colonoskopie </w:t>
            </w:r>
            <w:r w:rsidRPr="00FB2B66">
              <w:rPr>
                <w:rFonts w:cs="Arial"/>
                <w:sz w:val="18"/>
                <w:szCs w:val="22"/>
                <w:u w:val="single"/>
                <w:lang w:eastAsia="de-AT"/>
              </w:rPr>
              <w:t>komplett</w:t>
            </w:r>
            <w:r w:rsidRPr="00FB2B66">
              <w:rPr>
                <w:rFonts w:cs="Arial"/>
                <w:sz w:val="18"/>
                <w:szCs w:val="22"/>
                <w:lang w:eastAsia="de-AT"/>
              </w:rPr>
              <w:t xml:space="preserve"> bis Ileozökalklappe, bei inkompletter</w:t>
            </w:r>
          </w:p>
          <w:p w14:paraId="780C6B27"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sz w:val="18"/>
                <w:szCs w:val="22"/>
                <w:lang w:eastAsia="de-AT"/>
              </w:rPr>
              <w:t>Coloskopie CT-Kolonographie)</w:t>
            </w:r>
          </w:p>
        </w:tc>
        <w:tc>
          <w:tcPr>
            <w:tcW w:w="2551" w:type="dxa"/>
            <w:shd w:val="clear" w:color="auto" w:fill="auto"/>
          </w:tcPr>
          <w:p w14:paraId="0F77AC36"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7D163C99"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4A2412B4" w14:textId="77777777" w:rsidTr="004F0EE5">
        <w:tc>
          <w:tcPr>
            <w:tcW w:w="467" w:type="dxa"/>
            <w:shd w:val="clear" w:color="auto" w:fill="auto"/>
          </w:tcPr>
          <w:p w14:paraId="33352E2D"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A39426D"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color w:val="000000"/>
                <w:szCs w:val="22"/>
                <w:lang w:eastAsia="de-AT"/>
              </w:rPr>
              <w:t>CT (Thorax, Abdomen, Becken)</w:t>
            </w:r>
          </w:p>
        </w:tc>
        <w:tc>
          <w:tcPr>
            <w:tcW w:w="2551" w:type="dxa"/>
            <w:shd w:val="clear" w:color="auto" w:fill="auto"/>
          </w:tcPr>
          <w:p w14:paraId="21B60D6A"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602D6FBA"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53C4825A" w14:textId="77777777" w:rsidTr="004F0EE5">
        <w:tc>
          <w:tcPr>
            <w:tcW w:w="467" w:type="dxa"/>
            <w:shd w:val="clear" w:color="auto" w:fill="auto"/>
          </w:tcPr>
          <w:p w14:paraId="64EE5EF3"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27BD8F22"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Leberspezifisches MRT bei unklarem CT</w:t>
            </w:r>
          </w:p>
        </w:tc>
        <w:tc>
          <w:tcPr>
            <w:tcW w:w="2551" w:type="dxa"/>
            <w:shd w:val="clear" w:color="auto" w:fill="auto"/>
          </w:tcPr>
          <w:p w14:paraId="2E28D2AF"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6F275A6A"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041D8C7D" w14:textId="77777777" w:rsidTr="004F0EE5">
        <w:tc>
          <w:tcPr>
            <w:tcW w:w="467" w:type="dxa"/>
            <w:shd w:val="clear" w:color="auto" w:fill="auto"/>
          </w:tcPr>
          <w:p w14:paraId="34C99BA0"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564164D" w14:textId="77777777" w:rsidR="004D2FE8" w:rsidRPr="00FB2B66" w:rsidRDefault="004D2FE8" w:rsidP="004D2FE8">
            <w:pPr>
              <w:spacing w:before="40" w:after="20" w:line="240" w:lineRule="auto"/>
              <w:jc w:val="left"/>
              <w:rPr>
                <w:rFonts w:cs="Arial"/>
                <w:color w:val="000000"/>
                <w:sz w:val="16"/>
                <w:szCs w:val="22"/>
                <w:lang w:eastAsia="de-AT"/>
              </w:rPr>
            </w:pPr>
            <w:r w:rsidRPr="00FB2B66">
              <w:rPr>
                <w:rFonts w:cs="Arial"/>
                <w:color w:val="000000"/>
                <w:szCs w:val="22"/>
                <w:lang w:eastAsia="de-AT"/>
              </w:rPr>
              <w:t>MRT Becken</w:t>
            </w:r>
            <w:r w:rsidRPr="00FB2B66">
              <w:rPr>
                <w:rFonts w:cs="Arial"/>
                <w:color w:val="000000"/>
                <w:sz w:val="16"/>
                <w:szCs w:val="22"/>
                <w:lang w:eastAsia="de-AT"/>
              </w:rPr>
              <w:t xml:space="preserve"> </w:t>
            </w:r>
          </w:p>
          <w:p w14:paraId="5BB86542"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color w:val="000000"/>
                <w:sz w:val="16"/>
                <w:szCs w:val="22"/>
                <w:lang w:eastAsia="de-AT"/>
              </w:rPr>
              <w:t>Bei T3 Angabe der Penetration ins Fettgewebe in  mm.</w:t>
            </w:r>
          </w:p>
        </w:tc>
        <w:tc>
          <w:tcPr>
            <w:tcW w:w="2551" w:type="dxa"/>
            <w:shd w:val="clear" w:color="auto" w:fill="auto"/>
          </w:tcPr>
          <w:p w14:paraId="4C117449" w14:textId="77777777" w:rsidR="004D2FE8" w:rsidRPr="00FB2B66" w:rsidRDefault="004D2FE8" w:rsidP="004F0EE5">
            <w:pPr>
              <w:spacing w:before="40" w:after="20" w:line="240" w:lineRule="auto"/>
              <w:rPr>
                <w:rFonts w:cs="Arial"/>
                <w:color w:val="000000"/>
                <w:szCs w:val="22"/>
                <w:lang w:eastAsia="de-AT"/>
              </w:rPr>
            </w:pPr>
            <w:r w:rsidRPr="00FB2B66">
              <w:rPr>
                <w:rFonts w:cs="Arial"/>
                <w:color w:val="000000"/>
                <w:szCs w:val="22"/>
                <w:lang w:eastAsia="de-AT"/>
              </w:rPr>
              <w:t>T__   N</w:t>
            </w:r>
            <w:r w:rsidRPr="00FB2B66">
              <w:rPr>
                <w:rFonts w:cs="Arial"/>
                <w:color w:val="000000"/>
                <w:szCs w:val="22"/>
                <w:vertAlign w:val="superscript"/>
                <w:lang w:eastAsia="de-AT"/>
              </w:rPr>
              <w:t>1</w:t>
            </w:r>
            <w:r w:rsidRPr="00FB2B66">
              <w:rPr>
                <w:rFonts w:cs="Arial"/>
                <w:color w:val="000000"/>
                <w:szCs w:val="22"/>
                <w:lang w:eastAsia="de-AT"/>
              </w:rPr>
              <w:t xml:space="preserve">__        </w:t>
            </w:r>
            <w:r w:rsidRPr="00FB2B66">
              <w:rPr>
                <w:rFonts w:cs="Arial"/>
                <w:color w:val="000000"/>
                <w:sz w:val="16"/>
                <w:szCs w:val="22"/>
                <w:lang w:eastAsia="de-AT"/>
              </w:rPr>
              <w:t>___  mm</w:t>
            </w:r>
          </w:p>
          <w:p w14:paraId="54A6F028"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23580DFE"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5227E760" w14:textId="77777777" w:rsidTr="004F0EE5">
        <w:tc>
          <w:tcPr>
            <w:tcW w:w="467" w:type="dxa"/>
            <w:shd w:val="clear" w:color="auto" w:fill="auto"/>
          </w:tcPr>
          <w:p w14:paraId="7CA34843"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F181CAA"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Endosonographie</w:t>
            </w:r>
          </w:p>
          <w:p w14:paraId="7B107601"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color w:val="000000"/>
                <w:sz w:val="16"/>
                <w:szCs w:val="22"/>
                <w:lang w:eastAsia="de-AT"/>
              </w:rPr>
              <w:t>Bei T3 Angabe der Penetration ins Fettgewebe in  mm.</w:t>
            </w:r>
          </w:p>
        </w:tc>
        <w:tc>
          <w:tcPr>
            <w:tcW w:w="2551" w:type="dxa"/>
            <w:shd w:val="clear" w:color="auto" w:fill="auto"/>
          </w:tcPr>
          <w:p w14:paraId="418BF2CF" w14:textId="77777777" w:rsidR="004D2FE8" w:rsidRPr="00FB2B66" w:rsidRDefault="004D2FE8" w:rsidP="004F0EE5">
            <w:pPr>
              <w:spacing w:before="40" w:after="20" w:line="240" w:lineRule="auto"/>
              <w:rPr>
                <w:rFonts w:cs="Arial"/>
                <w:color w:val="000000"/>
                <w:szCs w:val="22"/>
                <w:lang w:eastAsia="de-AT"/>
              </w:rPr>
            </w:pPr>
            <w:r w:rsidRPr="00FB2B66">
              <w:rPr>
                <w:rFonts w:cs="Arial"/>
                <w:color w:val="000000"/>
                <w:szCs w:val="22"/>
                <w:lang w:eastAsia="de-AT"/>
              </w:rPr>
              <w:t>T__    N</w:t>
            </w:r>
            <w:r w:rsidRPr="00FB2B66">
              <w:rPr>
                <w:rFonts w:cs="Arial"/>
                <w:color w:val="000000"/>
                <w:szCs w:val="22"/>
                <w:vertAlign w:val="superscript"/>
                <w:lang w:eastAsia="de-AT"/>
              </w:rPr>
              <w:t>1</w:t>
            </w:r>
            <w:r w:rsidRPr="00FB2B66">
              <w:rPr>
                <w:rFonts w:cs="Arial"/>
                <w:color w:val="000000"/>
                <w:szCs w:val="22"/>
                <w:lang w:eastAsia="de-AT"/>
              </w:rPr>
              <w:t xml:space="preserve">__        </w:t>
            </w:r>
            <w:r w:rsidRPr="00FB2B66">
              <w:rPr>
                <w:rFonts w:cs="Arial"/>
                <w:color w:val="000000"/>
                <w:sz w:val="16"/>
                <w:szCs w:val="22"/>
                <w:lang w:eastAsia="de-AT"/>
              </w:rPr>
              <w:t>___  mm</w:t>
            </w:r>
          </w:p>
        </w:tc>
        <w:tc>
          <w:tcPr>
            <w:tcW w:w="992" w:type="dxa"/>
            <w:shd w:val="clear" w:color="auto" w:fill="auto"/>
          </w:tcPr>
          <w:p w14:paraId="30EEBF26"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69FBB5D5" w14:textId="77777777" w:rsidTr="004F0EE5">
        <w:tc>
          <w:tcPr>
            <w:tcW w:w="467" w:type="dxa"/>
            <w:shd w:val="clear" w:color="auto" w:fill="auto"/>
          </w:tcPr>
          <w:p w14:paraId="5FE42E28"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FCB9E08"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Bildgebung ZNS bei klinischem Verdacht</w:t>
            </w:r>
          </w:p>
        </w:tc>
        <w:tc>
          <w:tcPr>
            <w:tcW w:w="2551" w:type="dxa"/>
            <w:shd w:val="clear" w:color="auto" w:fill="auto"/>
          </w:tcPr>
          <w:p w14:paraId="517A6927"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6020EB9C" w14:textId="77777777" w:rsidR="004D2FE8" w:rsidRPr="00FB2B66" w:rsidRDefault="004D2FE8" w:rsidP="004F0EE5">
            <w:pPr>
              <w:spacing w:before="40" w:after="20" w:line="240" w:lineRule="auto"/>
              <w:rPr>
                <w:rFonts w:cs="Arial"/>
                <w:color w:val="000000"/>
                <w:szCs w:val="22"/>
                <w:lang w:eastAsia="de-AT"/>
              </w:rPr>
            </w:pPr>
          </w:p>
        </w:tc>
      </w:tr>
      <w:tr w:rsidR="00E5781B" w:rsidRPr="00FB2B66" w14:paraId="2F547BD0" w14:textId="77777777" w:rsidTr="00EC122B">
        <w:tc>
          <w:tcPr>
            <w:tcW w:w="467" w:type="dxa"/>
            <w:shd w:val="clear" w:color="auto" w:fill="auto"/>
          </w:tcPr>
          <w:p w14:paraId="787B9760" w14:textId="77777777" w:rsidR="00E5781B" w:rsidRPr="00FB2B66" w:rsidRDefault="00E5781B" w:rsidP="00EC122B">
            <w:pPr>
              <w:spacing w:before="60" w:after="60" w:line="240" w:lineRule="auto"/>
              <w:rPr>
                <w:rFonts w:ascii="Wingdings" w:hAnsi="Wingdings" w:cs="Arial"/>
                <w:color w:val="000000"/>
                <w:szCs w:val="22"/>
                <w:lang w:eastAsia="de-AT"/>
              </w:rPr>
            </w:pPr>
            <w:bookmarkStart w:id="8" w:name="_Hlk23534519"/>
            <w:r w:rsidRPr="00FB2B66">
              <w:rPr>
                <w:rFonts w:ascii="Wingdings" w:hAnsi="Wingdings" w:cs="Arial"/>
                <w:color w:val="000000"/>
                <w:szCs w:val="22"/>
                <w:lang w:eastAsia="de-AT"/>
              </w:rPr>
              <w:t></w:t>
            </w:r>
          </w:p>
        </w:tc>
        <w:tc>
          <w:tcPr>
            <w:tcW w:w="5170" w:type="dxa"/>
            <w:gridSpan w:val="2"/>
            <w:shd w:val="clear" w:color="auto" w:fill="auto"/>
          </w:tcPr>
          <w:p w14:paraId="386B2667" w14:textId="77777777" w:rsidR="00E5781B" w:rsidRPr="00FB2B66" w:rsidRDefault="00E5781B" w:rsidP="00EC122B">
            <w:pPr>
              <w:spacing w:before="60" w:after="60" w:line="240" w:lineRule="auto"/>
              <w:jc w:val="left"/>
              <w:rPr>
                <w:rFonts w:cs="Arial"/>
                <w:color w:val="000000"/>
                <w:szCs w:val="22"/>
                <w:lang w:eastAsia="de-AT"/>
              </w:rPr>
            </w:pPr>
            <w:r w:rsidRPr="0041373A">
              <w:rPr>
                <w:rFonts w:cs="Arial"/>
                <w:szCs w:val="22"/>
                <w:lang w:eastAsia="de-AT"/>
              </w:rPr>
              <w:t xml:space="preserve">Onko-PET-CT bei inkonklusiven anderen </w:t>
            </w:r>
            <w:r w:rsidRPr="0041373A">
              <w:rPr>
                <w:rFonts w:cs="Arial"/>
                <w:szCs w:val="22"/>
                <w:lang w:eastAsia="de-AT"/>
              </w:rPr>
              <w:br/>
              <w:t>bildgebenden Verfahren und therap</w:t>
            </w:r>
            <w:r w:rsidR="007C5CCC" w:rsidRPr="0041373A">
              <w:rPr>
                <w:rFonts w:cs="Arial"/>
                <w:szCs w:val="22"/>
                <w:lang w:eastAsia="de-AT"/>
              </w:rPr>
              <w:t>.</w:t>
            </w:r>
            <w:r w:rsidRPr="0041373A">
              <w:rPr>
                <w:rFonts w:cs="Arial"/>
                <w:szCs w:val="22"/>
                <w:lang w:eastAsia="de-AT"/>
              </w:rPr>
              <w:t xml:space="preserve"> Konsequenz</w:t>
            </w:r>
          </w:p>
        </w:tc>
        <w:tc>
          <w:tcPr>
            <w:tcW w:w="2551" w:type="dxa"/>
            <w:shd w:val="clear" w:color="auto" w:fill="auto"/>
          </w:tcPr>
          <w:p w14:paraId="01ACFFE2" w14:textId="77777777" w:rsidR="00E5781B" w:rsidRPr="00FB2B66" w:rsidRDefault="00E5781B" w:rsidP="00EC122B">
            <w:pPr>
              <w:spacing w:before="60" w:after="60" w:line="240" w:lineRule="auto"/>
              <w:rPr>
                <w:rFonts w:cs="Arial"/>
                <w:color w:val="000000"/>
                <w:szCs w:val="22"/>
                <w:lang w:eastAsia="de-AT"/>
              </w:rPr>
            </w:pPr>
          </w:p>
        </w:tc>
        <w:tc>
          <w:tcPr>
            <w:tcW w:w="992" w:type="dxa"/>
            <w:shd w:val="clear" w:color="auto" w:fill="auto"/>
          </w:tcPr>
          <w:p w14:paraId="64E138FF" w14:textId="77777777" w:rsidR="00E5781B" w:rsidRPr="00FB2B66" w:rsidRDefault="00E5781B" w:rsidP="00EC122B">
            <w:pPr>
              <w:spacing w:before="60" w:after="60" w:line="240" w:lineRule="auto"/>
              <w:rPr>
                <w:rFonts w:cs="Arial"/>
                <w:color w:val="000000"/>
                <w:szCs w:val="22"/>
                <w:lang w:eastAsia="de-AT"/>
              </w:rPr>
            </w:pPr>
          </w:p>
        </w:tc>
      </w:tr>
      <w:bookmarkEnd w:id="8"/>
      <w:tr w:rsidR="004D2FE8" w:rsidRPr="00FB2B66" w14:paraId="1217FA19" w14:textId="77777777" w:rsidTr="004F0EE5">
        <w:tc>
          <w:tcPr>
            <w:tcW w:w="467" w:type="dxa"/>
            <w:shd w:val="clear" w:color="auto" w:fill="D9D9D9"/>
          </w:tcPr>
          <w:p w14:paraId="571E97A1"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D9D9D9"/>
          </w:tcPr>
          <w:p w14:paraId="4BABD6C0"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Biopsie zur Sicherung bei V.a. Metastasierung</w:t>
            </w:r>
          </w:p>
        </w:tc>
        <w:tc>
          <w:tcPr>
            <w:tcW w:w="2551" w:type="dxa"/>
            <w:shd w:val="clear" w:color="auto" w:fill="D9D9D9"/>
          </w:tcPr>
          <w:p w14:paraId="1A5A66BC"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D9D9D9"/>
          </w:tcPr>
          <w:p w14:paraId="1923EBC1"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2633DC6A" w14:textId="77777777" w:rsidTr="004F0EE5">
        <w:tc>
          <w:tcPr>
            <w:tcW w:w="467" w:type="dxa"/>
            <w:shd w:val="clear" w:color="auto" w:fill="auto"/>
          </w:tcPr>
          <w:p w14:paraId="3CE2404A"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EC91AFE"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szCs w:val="22"/>
                <w:lang w:eastAsia="de-AT"/>
              </w:rPr>
              <w:t xml:space="preserve">RAS - </w:t>
            </w:r>
            <w:r w:rsidRPr="00FB2B66">
              <w:rPr>
                <w:rFonts w:cs="Arial"/>
                <w:color w:val="000000"/>
                <w:szCs w:val="22"/>
                <w:lang w:eastAsia="de-AT"/>
              </w:rPr>
              <w:t>Status bei gesicherter Metastasierung</w:t>
            </w:r>
          </w:p>
        </w:tc>
        <w:tc>
          <w:tcPr>
            <w:tcW w:w="2551" w:type="dxa"/>
            <w:shd w:val="clear" w:color="auto" w:fill="auto"/>
          </w:tcPr>
          <w:p w14:paraId="141D6063" w14:textId="77777777" w:rsidR="004D2FE8" w:rsidRPr="00FB2B66" w:rsidRDefault="004D2FE8" w:rsidP="004F0EE5">
            <w:pPr>
              <w:tabs>
                <w:tab w:val="left" w:pos="1289"/>
              </w:tabs>
              <w:spacing w:before="40" w:after="20" w:line="240" w:lineRule="auto"/>
              <w:rPr>
                <w:rFonts w:cs="Arial"/>
                <w:color w:val="000000"/>
                <w:szCs w:val="22"/>
                <w:lang w:eastAsia="de-AT"/>
              </w:rPr>
            </w:pPr>
          </w:p>
        </w:tc>
        <w:tc>
          <w:tcPr>
            <w:tcW w:w="992" w:type="dxa"/>
            <w:shd w:val="clear" w:color="auto" w:fill="auto"/>
          </w:tcPr>
          <w:p w14:paraId="46076ED6"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2D0DD5C7" w14:textId="77777777" w:rsidTr="004F0EE5">
        <w:tc>
          <w:tcPr>
            <w:tcW w:w="467" w:type="dxa"/>
            <w:shd w:val="clear" w:color="auto" w:fill="D9D9D9"/>
          </w:tcPr>
          <w:p w14:paraId="2E9B8BBA"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D9D9D9"/>
          </w:tcPr>
          <w:p w14:paraId="204C2169" w14:textId="77777777" w:rsidR="004D2FE8" w:rsidRPr="00FB2B66" w:rsidRDefault="004D2FE8" w:rsidP="004D2FE8">
            <w:pPr>
              <w:spacing w:before="40" w:after="20" w:line="240" w:lineRule="auto"/>
              <w:jc w:val="left"/>
              <w:rPr>
                <w:rFonts w:cs="Arial"/>
                <w:szCs w:val="22"/>
                <w:lang w:eastAsia="de-AT"/>
              </w:rPr>
            </w:pPr>
            <w:r w:rsidRPr="00FB2B66">
              <w:rPr>
                <w:rFonts w:cs="Arial"/>
                <w:color w:val="000000"/>
                <w:szCs w:val="22"/>
                <w:lang w:eastAsia="de-AT"/>
              </w:rPr>
              <w:t xml:space="preserve">Festlegung des klin./patholog. </w:t>
            </w:r>
            <w:r w:rsidRPr="00FB2B66">
              <w:rPr>
                <w:rFonts w:cs="Arial"/>
                <w:szCs w:val="22"/>
                <w:lang w:eastAsia="de-AT"/>
              </w:rPr>
              <w:t>TNM Stagings</w:t>
            </w:r>
            <w:r w:rsidR="00311BDB" w:rsidRPr="00311BDB">
              <w:rPr>
                <w:rFonts w:cs="Arial"/>
                <w:b/>
                <w:szCs w:val="22"/>
                <w:lang w:eastAsia="de-AT"/>
              </w:rPr>
              <w:t>*</w:t>
            </w:r>
          </w:p>
          <w:p w14:paraId="23AA6D85"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szCs w:val="22"/>
                <w:lang w:eastAsia="de-AT"/>
              </w:rPr>
              <w:t>(bei palliativer Situation im metastasiertem Stadium umfassendes lokales Staging meist nicht notwendig)</w:t>
            </w:r>
          </w:p>
        </w:tc>
        <w:tc>
          <w:tcPr>
            <w:tcW w:w="4536" w:type="dxa"/>
            <w:gridSpan w:val="2"/>
            <w:shd w:val="clear" w:color="auto" w:fill="D9D9D9"/>
          </w:tcPr>
          <w:p w14:paraId="5C385FE1"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b/>
                <w:sz w:val="20"/>
                <w:lang w:val="de-DE"/>
              </w:rPr>
              <w:t xml:space="preserve"> </w:t>
            </w:r>
            <w:r w:rsidRPr="00FB2B66">
              <w:rPr>
                <w:rFonts w:cs="Arial"/>
                <w:color w:val="000000"/>
                <w:sz w:val="20"/>
                <w:lang w:eastAsia="de-AT"/>
              </w:rPr>
              <w:t>T1 (</w:t>
            </w:r>
            <w:r w:rsidRPr="00FB2B66">
              <w:rPr>
                <w:rFonts w:cs="Arial"/>
                <w:color w:val="000000"/>
                <w:sz w:val="20"/>
                <w:vertAlign w:val="superscript"/>
                <w:lang w:eastAsia="de-AT"/>
              </w:rPr>
              <w:t>2</w:t>
            </w:r>
            <w:r w:rsidRPr="00FB2B66">
              <w:rPr>
                <w:rFonts w:cs="Arial"/>
                <w:color w:val="000000"/>
                <w:sz w:val="20"/>
                <w:lang w:eastAsia="de-AT"/>
              </w:rPr>
              <w:t xml:space="preserve">EUS) </w:t>
            </w:r>
          </w:p>
          <w:p w14:paraId="79C32F66"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b/>
                <w:sz w:val="20"/>
                <w:lang w:val="de-DE"/>
              </w:rPr>
              <w:t xml:space="preserve"> </w:t>
            </w:r>
            <w:r w:rsidRPr="00FB2B66">
              <w:rPr>
                <w:rFonts w:cs="Arial"/>
                <w:color w:val="000000"/>
                <w:sz w:val="20"/>
                <w:lang w:eastAsia="de-AT"/>
              </w:rPr>
              <w:t xml:space="preserve">T2  </w:t>
            </w:r>
            <w:r w:rsidRPr="00FB2B66">
              <w:rPr>
                <w:rFonts w:cs="Arial"/>
                <w:b/>
                <w:sz w:val="20"/>
                <w:lang w:val="de-DE"/>
              </w:rPr>
              <w:t xml:space="preserve"> </w:t>
            </w:r>
            <w:r w:rsidRPr="00FB2B66">
              <w:rPr>
                <w:rFonts w:cs="Arial"/>
                <w:color w:val="000000"/>
                <w:sz w:val="20"/>
                <w:lang w:eastAsia="de-AT"/>
              </w:rPr>
              <w:t xml:space="preserve">T3  </w:t>
            </w:r>
            <w:r w:rsidRPr="00FB2B66">
              <w:rPr>
                <w:rFonts w:cs="Arial"/>
                <w:b/>
                <w:sz w:val="20"/>
                <w:lang w:val="de-DE"/>
              </w:rPr>
              <w:t xml:space="preserve"> </w:t>
            </w:r>
            <w:r w:rsidRPr="00FB2B66">
              <w:rPr>
                <w:rFonts w:cs="Arial"/>
                <w:color w:val="000000"/>
                <w:sz w:val="20"/>
                <w:lang w:eastAsia="de-AT"/>
              </w:rPr>
              <w:t>T4   (</w:t>
            </w:r>
            <w:r w:rsidRPr="00FB2B66">
              <w:rPr>
                <w:rFonts w:cs="Arial"/>
                <w:color w:val="000000"/>
                <w:sz w:val="20"/>
                <w:vertAlign w:val="superscript"/>
                <w:lang w:eastAsia="de-AT"/>
              </w:rPr>
              <w:t>2</w:t>
            </w:r>
            <w:r w:rsidRPr="00FB2B66">
              <w:rPr>
                <w:rFonts w:cs="Arial"/>
                <w:color w:val="000000"/>
                <w:sz w:val="20"/>
                <w:lang w:eastAsia="de-AT"/>
              </w:rPr>
              <w:t>MR)</w:t>
            </w:r>
          </w:p>
          <w:p w14:paraId="4FFE5523" w14:textId="77777777" w:rsidR="004D2FE8" w:rsidRPr="00FB2B66" w:rsidRDefault="004D2FE8" w:rsidP="004D2FE8">
            <w:pPr>
              <w:spacing w:before="40" w:after="20" w:line="240" w:lineRule="auto"/>
              <w:jc w:val="left"/>
              <w:rPr>
                <w:rFonts w:cs="Arial"/>
                <w:sz w:val="20"/>
                <w:lang w:val="de-DE"/>
              </w:rPr>
            </w:pPr>
            <w:r w:rsidRPr="00FB2B66">
              <w:rPr>
                <w:rFonts w:cs="Arial"/>
                <w:sz w:val="20"/>
                <w:lang w:val="de-DE"/>
              </w:rPr>
              <w:t xml:space="preserve">_ </w:t>
            </w:r>
            <w:r w:rsidRPr="00FB2B66">
              <w:rPr>
                <w:rFonts w:cs="Arial"/>
                <w:b/>
                <w:color w:val="000000"/>
                <w:sz w:val="20"/>
                <w:lang w:eastAsia="de-AT"/>
              </w:rPr>
              <w:t>N</w:t>
            </w:r>
            <w:r w:rsidRPr="00FB2B66">
              <w:rPr>
                <w:rFonts w:cs="Arial"/>
                <w:color w:val="000000"/>
                <w:sz w:val="20"/>
                <w:lang w:eastAsia="de-AT"/>
              </w:rPr>
              <w:t xml:space="preserve"> __ </w:t>
            </w:r>
            <w:r w:rsidRPr="00FB2B66">
              <w:rPr>
                <w:rFonts w:cs="Arial"/>
                <w:sz w:val="20"/>
                <w:lang w:val="de-DE"/>
              </w:rPr>
              <w:t>(</w:t>
            </w:r>
            <w:r w:rsidRPr="00FB2B66">
              <w:rPr>
                <w:rFonts w:cs="Arial"/>
                <w:sz w:val="20"/>
                <w:vertAlign w:val="superscript"/>
                <w:lang w:val="de-DE"/>
              </w:rPr>
              <w:t>2</w:t>
            </w:r>
            <w:r w:rsidRPr="00FB2B66">
              <w:rPr>
                <w:rFonts w:cs="Arial"/>
                <w:sz w:val="20"/>
                <w:lang w:val="de-DE"/>
              </w:rPr>
              <w:t>MR)       _</w:t>
            </w:r>
            <w:r w:rsidRPr="00FB2B66">
              <w:rPr>
                <w:rFonts w:cs="Arial"/>
                <w:b/>
                <w:sz w:val="20"/>
                <w:lang w:val="de-DE"/>
              </w:rPr>
              <w:t>M</w:t>
            </w:r>
            <w:r w:rsidRPr="00FB2B66">
              <w:rPr>
                <w:rFonts w:cs="Arial"/>
                <w:sz w:val="20"/>
                <w:lang w:val="de-DE"/>
              </w:rPr>
              <w:t>__</w:t>
            </w:r>
          </w:p>
          <w:p w14:paraId="6B150DEF" w14:textId="77777777" w:rsidR="004D2FE8" w:rsidRPr="00FB2B66" w:rsidRDefault="004D2FE8" w:rsidP="004D2FE8">
            <w:pPr>
              <w:spacing w:before="40" w:after="20" w:line="240" w:lineRule="auto"/>
              <w:jc w:val="left"/>
              <w:rPr>
                <w:rFonts w:cs="Arial"/>
                <w:color w:val="000000"/>
                <w:sz w:val="20"/>
                <w:lang w:eastAsia="de-AT"/>
              </w:rPr>
            </w:pPr>
            <w:r w:rsidRPr="00FB2B66">
              <w:rPr>
                <w:rFonts w:cs="Arial"/>
                <w:color w:val="000000"/>
                <w:sz w:val="20"/>
                <w:lang w:eastAsia="de-AT"/>
              </w:rPr>
              <w:t>Sphinkterinfiltration (</w:t>
            </w:r>
            <w:r w:rsidRPr="00FB2B66">
              <w:rPr>
                <w:rFonts w:cs="Arial"/>
                <w:color w:val="000000"/>
                <w:sz w:val="20"/>
                <w:vertAlign w:val="superscript"/>
                <w:lang w:eastAsia="de-AT"/>
              </w:rPr>
              <w:t>2</w:t>
            </w:r>
            <w:r w:rsidRPr="00FB2B66">
              <w:rPr>
                <w:rFonts w:cs="Arial"/>
                <w:color w:val="000000"/>
                <w:sz w:val="20"/>
                <w:lang w:eastAsia="de-AT"/>
              </w:rPr>
              <w:t xml:space="preserve">MR)    </w:t>
            </w:r>
            <w:r w:rsidRPr="00FB2B66">
              <w:rPr>
                <w:rFonts w:cs="Arial"/>
                <w:b/>
                <w:sz w:val="20"/>
                <w:lang w:val="de-DE"/>
              </w:rPr>
              <w:t></w:t>
            </w:r>
            <w:r w:rsidRPr="00FB2B66">
              <w:rPr>
                <w:rFonts w:cs="Arial"/>
                <w:sz w:val="20"/>
                <w:lang w:val="de-DE"/>
              </w:rPr>
              <w:t xml:space="preserve"> ja   </w:t>
            </w:r>
            <w:r w:rsidRPr="00FB2B66">
              <w:rPr>
                <w:rFonts w:cs="Arial"/>
                <w:b/>
                <w:sz w:val="20"/>
                <w:lang w:val="de-DE"/>
              </w:rPr>
              <w:t></w:t>
            </w:r>
            <w:r w:rsidRPr="00FB2B66">
              <w:rPr>
                <w:rFonts w:cs="Arial"/>
                <w:sz w:val="20"/>
                <w:lang w:val="de-DE"/>
              </w:rPr>
              <w:t xml:space="preserve"> nein</w:t>
            </w:r>
          </w:p>
          <w:p w14:paraId="21C46B15" w14:textId="77777777" w:rsidR="004D2FE8" w:rsidRPr="00FB2B66" w:rsidRDefault="004D2FE8" w:rsidP="004D2FE8">
            <w:pPr>
              <w:spacing w:before="40" w:after="20" w:line="240" w:lineRule="auto"/>
              <w:jc w:val="left"/>
              <w:rPr>
                <w:rFonts w:cs="Arial"/>
                <w:sz w:val="20"/>
                <w:lang w:val="de-DE"/>
              </w:rPr>
            </w:pPr>
            <w:r w:rsidRPr="00FB2B66">
              <w:rPr>
                <w:rFonts w:cs="Arial"/>
                <w:color w:val="000000"/>
                <w:sz w:val="20"/>
                <w:lang w:eastAsia="de-AT"/>
              </w:rPr>
              <w:t>Mesorekt. Faszie betroffen (</w:t>
            </w:r>
            <w:r w:rsidRPr="00FB2B66">
              <w:rPr>
                <w:rFonts w:cs="Arial"/>
                <w:color w:val="000000"/>
                <w:sz w:val="20"/>
                <w:vertAlign w:val="superscript"/>
                <w:lang w:eastAsia="de-AT"/>
              </w:rPr>
              <w:t>2</w:t>
            </w:r>
            <w:r w:rsidRPr="00FB2B66">
              <w:rPr>
                <w:rFonts w:cs="Arial"/>
                <w:color w:val="000000"/>
                <w:sz w:val="20"/>
                <w:lang w:eastAsia="de-AT"/>
              </w:rPr>
              <w:t xml:space="preserve">MR)   </w:t>
            </w:r>
            <w:r w:rsidRPr="00FB2B66">
              <w:rPr>
                <w:rFonts w:cs="Arial"/>
                <w:b/>
                <w:sz w:val="20"/>
                <w:lang w:val="de-DE"/>
              </w:rPr>
              <w:t></w:t>
            </w:r>
            <w:r w:rsidRPr="00FB2B66">
              <w:rPr>
                <w:rFonts w:cs="Arial"/>
                <w:sz w:val="20"/>
                <w:lang w:val="de-DE"/>
              </w:rPr>
              <w:t xml:space="preserve"> ja   </w:t>
            </w:r>
            <w:r w:rsidRPr="00FB2B66">
              <w:rPr>
                <w:rFonts w:cs="Arial"/>
                <w:b/>
                <w:sz w:val="20"/>
                <w:lang w:val="de-DE"/>
              </w:rPr>
              <w:t></w:t>
            </w:r>
            <w:r w:rsidRPr="00FB2B66">
              <w:rPr>
                <w:rFonts w:cs="Arial"/>
                <w:sz w:val="20"/>
                <w:lang w:val="de-DE"/>
              </w:rPr>
              <w:t xml:space="preserve"> nein</w:t>
            </w:r>
          </w:p>
          <w:p w14:paraId="074CD5C8" w14:textId="77777777" w:rsidR="004D2FE8" w:rsidRPr="00FB2B66" w:rsidRDefault="004D2FE8" w:rsidP="004D2FE8">
            <w:pPr>
              <w:spacing w:before="40" w:after="20" w:line="240" w:lineRule="auto"/>
              <w:jc w:val="left"/>
              <w:rPr>
                <w:rFonts w:cs="Arial"/>
                <w:b/>
                <w:sz w:val="20"/>
                <w:lang w:val="de-DE"/>
              </w:rPr>
            </w:pPr>
            <w:r w:rsidRPr="00FB2B66">
              <w:rPr>
                <w:rFonts w:cs="Arial"/>
                <w:b/>
                <w:color w:val="000000"/>
                <w:szCs w:val="22"/>
                <w:lang w:eastAsia="de-AT"/>
              </w:rPr>
              <w:t>UICC-Stadium _____</w:t>
            </w:r>
          </w:p>
        </w:tc>
        <w:tc>
          <w:tcPr>
            <w:tcW w:w="992" w:type="dxa"/>
            <w:shd w:val="clear" w:color="auto" w:fill="D9D9D9"/>
          </w:tcPr>
          <w:p w14:paraId="29B20245"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1CCB1A3F" w14:textId="77777777" w:rsidTr="004F0EE5">
        <w:tc>
          <w:tcPr>
            <w:tcW w:w="467" w:type="dxa"/>
            <w:shd w:val="clear" w:color="auto" w:fill="auto"/>
          </w:tcPr>
          <w:p w14:paraId="06CEFC6D"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DB69FDD"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Eingabe des Stagings in die Tumordatenbank</w:t>
            </w:r>
          </w:p>
        </w:tc>
        <w:tc>
          <w:tcPr>
            <w:tcW w:w="2551" w:type="dxa"/>
            <w:shd w:val="clear" w:color="auto" w:fill="auto"/>
          </w:tcPr>
          <w:p w14:paraId="721FB8F3"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4607300C" w14:textId="77777777" w:rsidR="004D2FE8" w:rsidRPr="00FB2B66" w:rsidRDefault="004D2FE8" w:rsidP="004F0EE5">
            <w:pPr>
              <w:spacing w:before="40" w:after="20" w:line="240" w:lineRule="auto"/>
              <w:rPr>
                <w:rFonts w:cs="Arial"/>
                <w:color w:val="000000"/>
                <w:szCs w:val="22"/>
                <w:lang w:eastAsia="de-AT"/>
              </w:rPr>
            </w:pPr>
          </w:p>
        </w:tc>
      </w:tr>
      <w:tr w:rsidR="004D2FE8" w:rsidRPr="00FB2B66" w14:paraId="78E9133D" w14:textId="77777777" w:rsidTr="004F0EE5">
        <w:tc>
          <w:tcPr>
            <w:tcW w:w="467" w:type="dxa"/>
            <w:shd w:val="clear" w:color="auto" w:fill="auto"/>
          </w:tcPr>
          <w:p w14:paraId="36BAAD37" w14:textId="77777777" w:rsidR="004D2FE8" w:rsidRPr="00FB2B66" w:rsidRDefault="004D2FE8" w:rsidP="004F0EE5">
            <w:pPr>
              <w:spacing w:before="40" w:after="2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293F804" w14:textId="77777777" w:rsidR="004D2FE8" w:rsidRPr="00FB2B66" w:rsidRDefault="004D2FE8" w:rsidP="004D2FE8">
            <w:pPr>
              <w:spacing w:before="40" w:after="20" w:line="240" w:lineRule="auto"/>
              <w:jc w:val="left"/>
              <w:rPr>
                <w:rFonts w:cs="Arial"/>
                <w:color w:val="000000"/>
                <w:szCs w:val="22"/>
                <w:lang w:eastAsia="de-AT"/>
              </w:rPr>
            </w:pPr>
            <w:r w:rsidRPr="00FB2B66">
              <w:rPr>
                <w:rFonts w:cs="Arial"/>
                <w:color w:val="000000"/>
                <w:szCs w:val="22"/>
                <w:lang w:eastAsia="de-AT"/>
              </w:rPr>
              <w:t>Tumorboardanforderung</w:t>
            </w:r>
          </w:p>
        </w:tc>
        <w:tc>
          <w:tcPr>
            <w:tcW w:w="2551" w:type="dxa"/>
            <w:shd w:val="clear" w:color="auto" w:fill="auto"/>
          </w:tcPr>
          <w:p w14:paraId="719E6D8B" w14:textId="77777777" w:rsidR="004D2FE8" w:rsidRPr="00FB2B66" w:rsidRDefault="004D2FE8" w:rsidP="004F0EE5">
            <w:pPr>
              <w:spacing w:before="40" w:after="20" w:line="240" w:lineRule="auto"/>
              <w:rPr>
                <w:rFonts w:cs="Arial"/>
                <w:color w:val="000000"/>
                <w:szCs w:val="22"/>
                <w:lang w:eastAsia="de-AT"/>
              </w:rPr>
            </w:pPr>
          </w:p>
        </w:tc>
        <w:tc>
          <w:tcPr>
            <w:tcW w:w="992" w:type="dxa"/>
            <w:shd w:val="clear" w:color="auto" w:fill="auto"/>
          </w:tcPr>
          <w:p w14:paraId="65DD6142" w14:textId="77777777" w:rsidR="004D2FE8" w:rsidRPr="00FB2B66" w:rsidRDefault="004D2FE8" w:rsidP="004F0EE5">
            <w:pPr>
              <w:spacing w:before="40" w:after="20" w:line="240" w:lineRule="auto"/>
              <w:rPr>
                <w:rFonts w:cs="Arial"/>
                <w:color w:val="000000"/>
                <w:szCs w:val="22"/>
                <w:lang w:eastAsia="de-AT"/>
              </w:rPr>
            </w:pPr>
          </w:p>
        </w:tc>
      </w:tr>
    </w:tbl>
    <w:p w14:paraId="20940B71" w14:textId="77777777" w:rsidR="003F79D8" w:rsidRDefault="003F79D8" w:rsidP="003F79D8">
      <w:pPr>
        <w:spacing w:line="240" w:lineRule="auto"/>
        <w:jc w:val="left"/>
        <w:rPr>
          <w:rFonts w:cs="Arial"/>
          <w:color w:val="000000"/>
          <w:sz w:val="16"/>
          <w:szCs w:val="22"/>
          <w:lang w:eastAsia="de-AT"/>
        </w:rPr>
      </w:pPr>
    </w:p>
    <w:p w14:paraId="6A87A053" w14:textId="77777777" w:rsidR="004F0EE5" w:rsidRDefault="003F79D8" w:rsidP="003F79D8">
      <w:pPr>
        <w:spacing w:line="240" w:lineRule="auto"/>
        <w:jc w:val="left"/>
        <w:rPr>
          <w:rFonts w:cs="Arial"/>
          <w:color w:val="000000"/>
          <w:sz w:val="16"/>
          <w:szCs w:val="22"/>
          <w:lang w:eastAsia="de-AT"/>
        </w:rPr>
      </w:pPr>
      <w:r w:rsidRPr="003F79D8">
        <w:rPr>
          <w:rFonts w:cs="Arial"/>
          <w:color w:val="000000"/>
          <w:sz w:val="16"/>
          <w:szCs w:val="22"/>
          <w:vertAlign w:val="superscript"/>
          <w:lang w:eastAsia="de-AT"/>
        </w:rPr>
        <w:t>1</w:t>
      </w:r>
      <w:r w:rsidRPr="00FB2B66">
        <w:rPr>
          <w:rFonts w:cs="Arial"/>
          <w:color w:val="000000"/>
          <w:sz w:val="16"/>
          <w:szCs w:val="22"/>
          <w:lang w:eastAsia="de-AT"/>
        </w:rPr>
        <w:t xml:space="preserve"> Definition pathologischer LK: MRI und EUS sind gleich effektiv (positive Vorhersagewert ca. 70%), wenn sie entsprechende Merkmale aufweisen (≥ 8 mm, runde Form, heterogenes Echomuster, irregulärer Rand).</w:t>
      </w:r>
    </w:p>
    <w:p w14:paraId="701E8BC8" w14:textId="77777777" w:rsidR="00311BDB" w:rsidRDefault="003F79D8" w:rsidP="00311BDB">
      <w:pPr>
        <w:spacing w:line="240" w:lineRule="auto"/>
        <w:jc w:val="left"/>
        <w:rPr>
          <w:rFonts w:cs="Arial"/>
          <w:color w:val="000000"/>
          <w:sz w:val="16"/>
          <w:szCs w:val="22"/>
          <w:lang w:eastAsia="de-AT"/>
        </w:rPr>
      </w:pPr>
      <w:r w:rsidRPr="004F0EE5">
        <w:rPr>
          <w:rFonts w:cs="Arial"/>
          <w:color w:val="000000"/>
          <w:sz w:val="16"/>
          <w:szCs w:val="22"/>
          <w:vertAlign w:val="superscript"/>
          <w:lang w:eastAsia="de-AT"/>
        </w:rPr>
        <w:t>2</w:t>
      </w:r>
      <w:r w:rsidRPr="00FB2B66">
        <w:rPr>
          <w:rFonts w:cs="Arial"/>
          <w:color w:val="000000"/>
          <w:sz w:val="16"/>
          <w:szCs w:val="22"/>
          <w:lang w:eastAsia="de-AT"/>
        </w:rPr>
        <w:t xml:space="preserve"> Methode erster Wahl zur Festlegung des Stagings</w:t>
      </w:r>
      <w:r w:rsidR="004F0EE5">
        <w:rPr>
          <w:rFonts w:cs="Arial"/>
          <w:color w:val="000000"/>
          <w:sz w:val="16"/>
          <w:szCs w:val="22"/>
          <w:lang w:eastAsia="de-AT"/>
        </w:rPr>
        <w:t>.</w:t>
      </w:r>
    </w:p>
    <w:p w14:paraId="5EE56C9E" w14:textId="77777777" w:rsidR="00311BDB" w:rsidRPr="00311BDB" w:rsidRDefault="00311BDB" w:rsidP="00311BDB">
      <w:pPr>
        <w:spacing w:line="240" w:lineRule="auto"/>
        <w:rPr>
          <w:rFonts w:cs="Arial"/>
          <w:color w:val="000000"/>
          <w:szCs w:val="22"/>
          <w:lang w:eastAsia="de-AT"/>
        </w:rPr>
      </w:pPr>
    </w:p>
    <w:p w14:paraId="2284D812" w14:textId="77777777" w:rsidR="00311BDB" w:rsidRPr="004D2FE8" w:rsidRDefault="00311BDB" w:rsidP="00311BDB">
      <w:pPr>
        <w:jc w:val="left"/>
      </w:pPr>
      <w:r w:rsidRPr="00311BDB">
        <w:rPr>
          <w:b/>
        </w:rPr>
        <w:t>*</w:t>
      </w:r>
      <w:r w:rsidRPr="00311BDB">
        <w:t>) MRI-Kriterien siehe Kapitel 3.6: Anmerkungen Radiologie beim Rektumkarzinom</w:t>
      </w:r>
    </w:p>
    <w:p w14:paraId="5D61E8E1" w14:textId="77777777" w:rsidR="003F79D8" w:rsidRPr="004F0EE5" w:rsidRDefault="004F0EE5" w:rsidP="006C0CAD">
      <w:pPr>
        <w:pStyle w:val="berschrift2"/>
      </w:pPr>
      <w:bookmarkStart w:id="9" w:name="_Toc93523270"/>
      <w:r>
        <w:lastRenderedPageBreak/>
        <w:t>2.3</w:t>
      </w:r>
      <w:r>
        <w:tab/>
      </w:r>
      <w:r w:rsidRPr="00FB2B66">
        <w:t>Rektumkarzinom (Primum in situ, nicht metastasiert) zur präop. Responsebeurteilung nach neoadjuvanter Chemo-/Radiatio</w:t>
      </w:r>
      <w:bookmarkEnd w:id="9"/>
    </w:p>
    <w:p w14:paraId="102FDE60" w14:textId="77777777" w:rsidR="004F0EE5" w:rsidRPr="00FB2B66" w:rsidRDefault="004F0EE5" w:rsidP="004F0EE5">
      <w:pPr>
        <w:shd w:val="clear" w:color="auto" w:fill="FFFFFF"/>
        <w:tabs>
          <w:tab w:val="left" w:pos="5877"/>
        </w:tabs>
        <w:spacing w:line="240" w:lineRule="auto"/>
        <w:rPr>
          <w:rFonts w:cs="Arial"/>
          <w:b/>
          <w:bCs/>
          <w:sz w:val="24"/>
          <w:szCs w:val="24"/>
          <w:lang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3185"/>
        <w:gridCol w:w="1985"/>
        <w:gridCol w:w="2551"/>
        <w:gridCol w:w="992"/>
      </w:tblGrid>
      <w:tr w:rsidR="004F0EE5" w:rsidRPr="00FB2B66" w14:paraId="0D99CD09" w14:textId="77777777" w:rsidTr="004F0EE5">
        <w:tc>
          <w:tcPr>
            <w:tcW w:w="467" w:type="dxa"/>
            <w:shd w:val="clear" w:color="auto" w:fill="92D050"/>
          </w:tcPr>
          <w:p w14:paraId="1772CC2A" w14:textId="77777777" w:rsidR="004F0EE5" w:rsidRPr="00FB2B66" w:rsidRDefault="004F0EE5" w:rsidP="004F0EE5">
            <w:pPr>
              <w:spacing w:before="60" w:after="60" w:line="240" w:lineRule="auto"/>
              <w:rPr>
                <w:rFonts w:cs="Arial"/>
                <w:b/>
                <w:szCs w:val="22"/>
                <w:lang w:eastAsia="de-AT"/>
              </w:rPr>
            </w:pPr>
          </w:p>
        </w:tc>
        <w:tc>
          <w:tcPr>
            <w:tcW w:w="5170" w:type="dxa"/>
            <w:gridSpan w:val="2"/>
            <w:shd w:val="clear" w:color="auto" w:fill="92D050"/>
          </w:tcPr>
          <w:p w14:paraId="2A0F1F15" w14:textId="77777777" w:rsidR="004F0EE5" w:rsidRPr="00FB2B66" w:rsidRDefault="004F0EE5" w:rsidP="004F0EE5">
            <w:pPr>
              <w:spacing w:before="60" w:after="60" w:line="240" w:lineRule="auto"/>
              <w:rPr>
                <w:rFonts w:cs="Arial"/>
                <w:b/>
                <w:szCs w:val="22"/>
                <w:lang w:eastAsia="de-AT"/>
              </w:rPr>
            </w:pPr>
            <w:r w:rsidRPr="004F0EE5">
              <w:rPr>
                <w:rFonts w:cs="Arial"/>
                <w:b/>
                <w:szCs w:val="22"/>
                <w:lang w:eastAsia="de-AT"/>
              </w:rPr>
              <w:t>Checkliste Rektumkarzinom (Primum in situ, nicht metastasiert) zur präop. Responsebeurteilung nach neoadjuvanter Chemo-/Radiatio</w:t>
            </w:r>
          </w:p>
        </w:tc>
        <w:tc>
          <w:tcPr>
            <w:tcW w:w="2551" w:type="dxa"/>
            <w:shd w:val="clear" w:color="auto" w:fill="92D050"/>
          </w:tcPr>
          <w:p w14:paraId="21282878"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Befund erhoben</w:t>
            </w:r>
          </w:p>
        </w:tc>
        <w:tc>
          <w:tcPr>
            <w:tcW w:w="992" w:type="dxa"/>
            <w:tcBorders>
              <w:bottom w:val="single" w:sz="4" w:space="0" w:color="auto"/>
            </w:tcBorders>
            <w:shd w:val="clear" w:color="auto" w:fill="92D050"/>
          </w:tcPr>
          <w:p w14:paraId="1CA55425"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Hz</w:t>
            </w:r>
          </w:p>
        </w:tc>
      </w:tr>
      <w:tr w:rsidR="004F0EE5" w:rsidRPr="00FB2B66" w14:paraId="5E3E561F" w14:textId="77777777" w:rsidTr="004F0EE5">
        <w:tc>
          <w:tcPr>
            <w:tcW w:w="467" w:type="dxa"/>
            <w:shd w:val="clear" w:color="auto" w:fill="auto"/>
          </w:tcPr>
          <w:p w14:paraId="605B9195"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3ECEDA0"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Geriatrische</w:t>
            </w:r>
            <w:r w:rsidR="008879AD">
              <w:rPr>
                <w:rFonts w:cs="Arial"/>
                <w:color w:val="000000"/>
                <w:szCs w:val="22"/>
                <w:lang w:eastAsia="de-AT"/>
              </w:rPr>
              <w:t>s</w:t>
            </w:r>
            <w:r w:rsidRPr="00FB2B66">
              <w:rPr>
                <w:rFonts w:cs="Arial"/>
                <w:color w:val="000000"/>
                <w:szCs w:val="22"/>
                <w:lang w:eastAsia="de-AT"/>
              </w:rPr>
              <w:t xml:space="preserve"> Assessment bei Alter &gt; 70 </w:t>
            </w:r>
          </w:p>
          <w:p w14:paraId="2364ED91"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6"/>
                <w:szCs w:val="22"/>
                <w:lang w:eastAsia="de-AT"/>
              </w:rPr>
              <w:t>(entsprechend der lokalen Vorgehensweise)</w:t>
            </w:r>
          </w:p>
        </w:tc>
        <w:tc>
          <w:tcPr>
            <w:tcW w:w="2551" w:type="dxa"/>
            <w:shd w:val="clear" w:color="auto" w:fill="auto"/>
          </w:tcPr>
          <w:p w14:paraId="71FA905D"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348144EF"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083B69C8" w14:textId="77777777" w:rsidTr="004F0EE5">
        <w:trPr>
          <w:trHeight w:val="1578"/>
        </w:trPr>
        <w:tc>
          <w:tcPr>
            <w:tcW w:w="467" w:type="dxa"/>
            <w:shd w:val="clear" w:color="auto" w:fill="auto"/>
          </w:tcPr>
          <w:p w14:paraId="187AC02D"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auto"/>
          </w:tcPr>
          <w:p w14:paraId="382B3AD1" w14:textId="77777777" w:rsidR="004F0EE5" w:rsidRPr="00FB2B66" w:rsidRDefault="004F0EE5" w:rsidP="004F0EE5">
            <w:pPr>
              <w:spacing w:before="60" w:after="60" w:line="240" w:lineRule="auto"/>
              <w:jc w:val="left"/>
              <w:rPr>
                <w:rFonts w:cs="Arial"/>
                <w:color w:val="000000"/>
                <w:szCs w:val="22"/>
                <w:lang w:eastAsia="de-AT"/>
              </w:rPr>
            </w:pPr>
            <w:r w:rsidRPr="00FB2B66">
              <w:rPr>
                <w:rFonts w:ascii="Calibri" w:hAnsi="Calibri" w:cs="Calibri"/>
                <w:b/>
                <w:sz w:val="16"/>
                <w:szCs w:val="16"/>
                <w:lang w:eastAsia="de-AT"/>
              </w:rPr>
              <w:t xml:space="preserve"> </w:t>
            </w:r>
            <w:r w:rsidRPr="00FB2B66">
              <w:rPr>
                <w:rFonts w:cs="Arial"/>
                <w:color w:val="000000"/>
                <w:szCs w:val="22"/>
                <w:lang w:eastAsia="de-AT"/>
              </w:rPr>
              <w:t>WHO/ECOG Performance</w:t>
            </w:r>
          </w:p>
        </w:tc>
        <w:tc>
          <w:tcPr>
            <w:tcW w:w="4536" w:type="dxa"/>
            <w:gridSpan w:val="2"/>
            <w:shd w:val="clear" w:color="auto" w:fill="auto"/>
          </w:tcPr>
          <w:p w14:paraId="6D7C2DCD"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(0) volle Aktivität, normales Leben möglich</w:t>
            </w:r>
          </w:p>
          <w:p w14:paraId="4FF6156C"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(1) eingeschränkte Aktivität, leichte Arbeit möglich</w:t>
            </w:r>
          </w:p>
          <w:p w14:paraId="2EA0A521"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(2) Selbstversorgung möglich, nicht arbeitsfähig, nicht </w:t>
            </w:r>
          </w:p>
          <w:p w14:paraId="63EBB51C"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bettlägerig, muss &lt; 50% der Tageszeit ruhen</w:t>
            </w:r>
          </w:p>
          <w:p w14:paraId="648FD002"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(3) Selbstversorgung sehr eingeschränkt, &gt; 50% der </w:t>
            </w:r>
          </w:p>
          <w:p w14:paraId="7C2BB896"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Tageszeit ruhebedürftig, Pflege/Hilfe notwendig</w:t>
            </w:r>
          </w:p>
          <w:p w14:paraId="345546DB"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(4) bettlägerig und völlig pflegebedürftig</w:t>
            </w:r>
            <w:r w:rsidRPr="00FB2B66">
              <w:rPr>
                <w:rFonts w:cs="Arial"/>
                <w:sz w:val="14"/>
                <w:szCs w:val="16"/>
                <w:lang w:val="de-DE"/>
              </w:rPr>
              <w:tab/>
            </w:r>
          </w:p>
        </w:tc>
        <w:tc>
          <w:tcPr>
            <w:tcW w:w="992" w:type="dxa"/>
            <w:shd w:val="clear" w:color="auto" w:fill="auto"/>
          </w:tcPr>
          <w:p w14:paraId="468C1CD8"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7BDFCA2E" w14:textId="77777777" w:rsidTr="004F0EE5">
        <w:tc>
          <w:tcPr>
            <w:tcW w:w="467" w:type="dxa"/>
            <w:shd w:val="clear" w:color="auto" w:fill="auto"/>
          </w:tcPr>
          <w:p w14:paraId="6A55D2EE"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989D3EB"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Ernährungsassessment (bei Gewichtsabnahme &gt;5% Vorstellung Ernährungsberatung)</w:t>
            </w:r>
          </w:p>
        </w:tc>
        <w:tc>
          <w:tcPr>
            <w:tcW w:w="2551" w:type="dxa"/>
            <w:tcBorders>
              <w:bottom w:val="single" w:sz="4" w:space="0" w:color="auto"/>
            </w:tcBorders>
            <w:shd w:val="clear" w:color="auto" w:fill="auto"/>
          </w:tcPr>
          <w:p w14:paraId="3793C7F2"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3B6A6635"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5123DE0B" w14:textId="77777777" w:rsidTr="004F0EE5">
        <w:tc>
          <w:tcPr>
            <w:tcW w:w="467" w:type="dxa"/>
            <w:shd w:val="clear" w:color="auto" w:fill="auto"/>
          </w:tcPr>
          <w:p w14:paraId="535C3920"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408688E"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Psychoonkologische Bedarfserhebung</w:t>
            </w:r>
          </w:p>
        </w:tc>
        <w:tc>
          <w:tcPr>
            <w:tcW w:w="2551" w:type="dxa"/>
            <w:shd w:val="clear" w:color="auto" w:fill="auto"/>
          </w:tcPr>
          <w:p w14:paraId="219FC097"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08AC32C1"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5437D341" w14:textId="77777777" w:rsidTr="004F0EE5">
        <w:tc>
          <w:tcPr>
            <w:tcW w:w="467" w:type="dxa"/>
            <w:shd w:val="clear" w:color="auto" w:fill="auto"/>
          </w:tcPr>
          <w:p w14:paraId="680A3438"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A823B95"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Labor </w:t>
            </w:r>
            <w:r w:rsidRPr="00FB2B66">
              <w:rPr>
                <w:rFonts w:cs="Arial"/>
                <w:color w:val="000000"/>
                <w:sz w:val="18"/>
                <w:szCs w:val="18"/>
                <w:lang w:eastAsia="de-AT"/>
              </w:rPr>
              <w:t>( inkl. CEA, Eisenstatus)</w:t>
            </w:r>
          </w:p>
        </w:tc>
        <w:tc>
          <w:tcPr>
            <w:tcW w:w="2551" w:type="dxa"/>
            <w:shd w:val="clear" w:color="auto" w:fill="auto"/>
          </w:tcPr>
          <w:p w14:paraId="2134AAE8"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7C8D4FB5"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514E55D7" w14:textId="77777777" w:rsidTr="004F0EE5">
        <w:tc>
          <w:tcPr>
            <w:tcW w:w="467" w:type="dxa"/>
            <w:shd w:val="clear" w:color="auto" w:fill="auto"/>
          </w:tcPr>
          <w:p w14:paraId="7CB0523B"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34F97AC"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CT (Thorax, Abdomen, Becken) </w:t>
            </w:r>
          </w:p>
          <w:p w14:paraId="6F7A6D3C" w14:textId="77777777" w:rsidR="004F0EE5" w:rsidRPr="00FB2B66" w:rsidRDefault="004F0EE5" w:rsidP="004F0EE5">
            <w:pPr>
              <w:spacing w:before="60" w:after="60" w:line="240" w:lineRule="auto"/>
              <w:jc w:val="left"/>
              <w:rPr>
                <w:rFonts w:cs="Arial"/>
                <w:color w:val="000000"/>
                <w:sz w:val="20"/>
                <w:lang w:eastAsia="de-AT"/>
              </w:rPr>
            </w:pPr>
            <w:r w:rsidRPr="00FB2B66">
              <w:rPr>
                <w:rFonts w:cs="Arial"/>
                <w:color w:val="000000"/>
                <w:sz w:val="18"/>
                <w:szCs w:val="22"/>
                <w:lang w:eastAsia="de-AT"/>
              </w:rPr>
              <w:t>(nur die initial pathologischen Befunde)</w:t>
            </w:r>
          </w:p>
        </w:tc>
        <w:tc>
          <w:tcPr>
            <w:tcW w:w="2551" w:type="dxa"/>
            <w:shd w:val="clear" w:color="auto" w:fill="auto"/>
          </w:tcPr>
          <w:p w14:paraId="46BD8923"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7042E4BF"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6D788A7C" w14:textId="77777777" w:rsidTr="004F0EE5">
        <w:tc>
          <w:tcPr>
            <w:tcW w:w="467" w:type="dxa"/>
            <w:shd w:val="clear" w:color="auto" w:fill="auto"/>
          </w:tcPr>
          <w:p w14:paraId="45400D05"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5405295"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Leberspezifisches MRT bei unklarem CT</w:t>
            </w:r>
          </w:p>
          <w:p w14:paraId="4FACE8D5"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8"/>
                <w:szCs w:val="22"/>
                <w:lang w:eastAsia="de-AT"/>
              </w:rPr>
              <w:t>(nur bei initial pathologischem Befund)</w:t>
            </w:r>
          </w:p>
        </w:tc>
        <w:tc>
          <w:tcPr>
            <w:tcW w:w="2551" w:type="dxa"/>
            <w:shd w:val="clear" w:color="auto" w:fill="auto"/>
          </w:tcPr>
          <w:p w14:paraId="376D10E4"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6E2DC8AD"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0D40EF89" w14:textId="77777777" w:rsidTr="004F0EE5">
        <w:tc>
          <w:tcPr>
            <w:tcW w:w="467" w:type="dxa"/>
            <w:shd w:val="clear" w:color="auto" w:fill="auto"/>
          </w:tcPr>
          <w:p w14:paraId="446597C8"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87C9A51" w14:textId="77777777" w:rsidR="0041373A" w:rsidRDefault="004F0EE5" w:rsidP="0041373A">
            <w:pPr>
              <w:spacing w:before="60" w:after="60" w:line="240" w:lineRule="auto"/>
              <w:jc w:val="left"/>
              <w:rPr>
                <w:rFonts w:cs="Arial"/>
                <w:strike/>
                <w:color w:val="FF0000"/>
                <w:szCs w:val="22"/>
                <w:lang w:eastAsia="de-AT"/>
              </w:rPr>
            </w:pPr>
            <w:r w:rsidRPr="00FB2B66">
              <w:rPr>
                <w:rFonts w:cs="Arial"/>
                <w:color w:val="000000"/>
                <w:szCs w:val="22"/>
                <w:lang w:eastAsia="de-AT"/>
              </w:rPr>
              <w:t xml:space="preserve">MRT Becken </w:t>
            </w:r>
          </w:p>
          <w:p w14:paraId="2F38D3EB" w14:textId="77777777" w:rsidR="004F0EE5" w:rsidRPr="00FB2B66" w:rsidRDefault="004F0EE5" w:rsidP="0041373A">
            <w:pPr>
              <w:spacing w:before="60" w:after="60" w:line="240" w:lineRule="auto"/>
              <w:jc w:val="left"/>
              <w:rPr>
                <w:rFonts w:cs="Arial"/>
                <w:color w:val="000000"/>
                <w:sz w:val="20"/>
                <w:lang w:eastAsia="de-AT"/>
              </w:rPr>
            </w:pPr>
            <w:r w:rsidRPr="00FB2B66">
              <w:rPr>
                <w:rFonts w:cs="Arial"/>
                <w:color w:val="000000"/>
                <w:sz w:val="16"/>
                <w:szCs w:val="22"/>
                <w:lang w:eastAsia="de-AT"/>
              </w:rPr>
              <w:t>Frühestens 4-6 Wochen nach Ende der Chemoradiatio</w:t>
            </w:r>
          </w:p>
        </w:tc>
        <w:tc>
          <w:tcPr>
            <w:tcW w:w="2551" w:type="dxa"/>
            <w:shd w:val="clear" w:color="auto" w:fill="auto"/>
          </w:tcPr>
          <w:p w14:paraId="3226A494"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yT__   yN</w:t>
            </w:r>
            <w:r w:rsidRPr="00FB2B66">
              <w:rPr>
                <w:rFonts w:cs="Arial"/>
                <w:color w:val="000000"/>
                <w:szCs w:val="22"/>
                <w:vertAlign w:val="superscript"/>
                <w:lang w:eastAsia="de-AT"/>
              </w:rPr>
              <w:t>1</w:t>
            </w:r>
            <w:r w:rsidRPr="00FB2B66">
              <w:rPr>
                <w:rFonts w:cs="Arial"/>
                <w:color w:val="000000"/>
                <w:szCs w:val="22"/>
                <w:lang w:eastAsia="de-AT"/>
              </w:rPr>
              <w:t xml:space="preserve">__ </w:t>
            </w:r>
          </w:p>
          <w:p w14:paraId="0F84A32D"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6E74ADEA" w14:textId="77777777" w:rsidR="004F0EE5" w:rsidRPr="00FB2B66" w:rsidRDefault="004F0EE5" w:rsidP="004F0EE5">
            <w:pPr>
              <w:spacing w:before="60" w:after="60" w:line="240" w:lineRule="auto"/>
              <w:jc w:val="left"/>
              <w:rPr>
                <w:rFonts w:cs="Arial"/>
                <w:color w:val="000000"/>
                <w:szCs w:val="22"/>
                <w:lang w:eastAsia="de-AT"/>
              </w:rPr>
            </w:pPr>
          </w:p>
        </w:tc>
      </w:tr>
      <w:tr w:rsidR="007C5CCC" w:rsidRPr="00FB2B66" w14:paraId="56C6AE17" w14:textId="77777777" w:rsidTr="00EC122B">
        <w:tc>
          <w:tcPr>
            <w:tcW w:w="467" w:type="dxa"/>
            <w:shd w:val="clear" w:color="auto" w:fill="auto"/>
          </w:tcPr>
          <w:p w14:paraId="0F320243" w14:textId="77777777" w:rsidR="007C5CCC" w:rsidRPr="00FB2B66" w:rsidRDefault="007C5CCC" w:rsidP="00EC122B">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C8D6D41" w14:textId="77777777" w:rsidR="007C5CCC" w:rsidRPr="0041373A" w:rsidRDefault="007C5CCC" w:rsidP="00EC122B">
            <w:pPr>
              <w:spacing w:before="60" w:after="60" w:line="240" w:lineRule="auto"/>
              <w:jc w:val="left"/>
              <w:rPr>
                <w:rFonts w:cs="Arial"/>
                <w:szCs w:val="22"/>
                <w:lang w:eastAsia="de-AT"/>
              </w:rPr>
            </w:pPr>
            <w:r w:rsidRPr="0041373A">
              <w:rPr>
                <w:rFonts w:cs="Arial"/>
                <w:szCs w:val="22"/>
                <w:lang w:eastAsia="de-AT"/>
              </w:rPr>
              <w:t xml:space="preserve">Onko-PET-CT bei inkonklusiven anderen </w:t>
            </w:r>
            <w:r w:rsidRPr="0041373A">
              <w:rPr>
                <w:rFonts w:cs="Arial"/>
                <w:szCs w:val="22"/>
                <w:lang w:eastAsia="de-AT"/>
              </w:rPr>
              <w:br/>
              <w:t>bildgebenden Verfahren und therap. Konsequenz</w:t>
            </w:r>
          </w:p>
        </w:tc>
        <w:tc>
          <w:tcPr>
            <w:tcW w:w="2551" w:type="dxa"/>
            <w:shd w:val="clear" w:color="auto" w:fill="auto"/>
          </w:tcPr>
          <w:p w14:paraId="28A510D6" w14:textId="77777777" w:rsidR="007C5CCC" w:rsidRPr="00FB2B66" w:rsidRDefault="007C5CCC" w:rsidP="00EC122B">
            <w:pPr>
              <w:spacing w:before="60" w:after="60" w:line="240" w:lineRule="auto"/>
              <w:rPr>
                <w:rFonts w:cs="Arial"/>
                <w:color w:val="000000"/>
                <w:szCs w:val="22"/>
                <w:lang w:eastAsia="de-AT"/>
              </w:rPr>
            </w:pPr>
          </w:p>
        </w:tc>
        <w:tc>
          <w:tcPr>
            <w:tcW w:w="992" w:type="dxa"/>
            <w:shd w:val="clear" w:color="auto" w:fill="auto"/>
          </w:tcPr>
          <w:p w14:paraId="5F839A63" w14:textId="77777777" w:rsidR="007C5CCC" w:rsidRPr="00FB2B66" w:rsidRDefault="007C5CCC" w:rsidP="00EC122B">
            <w:pPr>
              <w:spacing w:before="60" w:after="60" w:line="240" w:lineRule="auto"/>
              <w:rPr>
                <w:rFonts w:cs="Arial"/>
                <w:color w:val="000000"/>
                <w:szCs w:val="22"/>
                <w:lang w:eastAsia="de-AT"/>
              </w:rPr>
            </w:pPr>
          </w:p>
        </w:tc>
      </w:tr>
      <w:tr w:rsidR="004F0EE5" w:rsidRPr="00564EAE" w14:paraId="274A15F7" w14:textId="77777777" w:rsidTr="004F0EE5">
        <w:tc>
          <w:tcPr>
            <w:tcW w:w="467" w:type="dxa"/>
            <w:shd w:val="clear" w:color="auto" w:fill="D9D9D9"/>
          </w:tcPr>
          <w:p w14:paraId="1F11984D"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D9D9D9"/>
          </w:tcPr>
          <w:p w14:paraId="010C83B0"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Festlegung des klin./patholog. TNM Stagings</w:t>
            </w:r>
            <w:r w:rsidR="00311BDB" w:rsidRPr="00311BDB">
              <w:rPr>
                <w:rFonts w:cs="Arial"/>
                <w:b/>
                <w:color w:val="000000"/>
                <w:szCs w:val="22"/>
                <w:lang w:eastAsia="de-AT"/>
              </w:rPr>
              <w:t>*</w:t>
            </w:r>
          </w:p>
        </w:tc>
        <w:tc>
          <w:tcPr>
            <w:tcW w:w="4536" w:type="dxa"/>
            <w:gridSpan w:val="2"/>
            <w:shd w:val="clear" w:color="auto" w:fill="D9D9D9"/>
          </w:tcPr>
          <w:p w14:paraId="5824B5E0" w14:textId="77777777" w:rsidR="004F0EE5" w:rsidRPr="00FB2B66" w:rsidRDefault="004F0EE5" w:rsidP="004F0EE5">
            <w:pPr>
              <w:spacing w:before="60" w:after="60" w:line="240" w:lineRule="auto"/>
              <w:jc w:val="left"/>
              <w:rPr>
                <w:rFonts w:cs="Arial"/>
                <w:color w:val="000000"/>
                <w:sz w:val="20"/>
                <w:lang w:val="en-US" w:eastAsia="de-AT"/>
              </w:rPr>
            </w:pPr>
            <w:r w:rsidRPr="00FB2B66">
              <w:rPr>
                <w:rFonts w:cs="Arial"/>
                <w:b/>
                <w:sz w:val="20"/>
                <w:lang w:val="en-US"/>
              </w:rPr>
              <w:t>y</w:t>
            </w:r>
            <w:r w:rsidRPr="00FB2B66">
              <w:rPr>
                <w:rFonts w:cs="Arial"/>
                <w:b/>
                <w:sz w:val="20"/>
                <w:lang w:val="de-DE"/>
              </w:rPr>
              <w:t></w:t>
            </w:r>
            <w:r w:rsidRPr="00FB2B66">
              <w:rPr>
                <w:rFonts w:cs="Arial"/>
                <w:b/>
                <w:sz w:val="20"/>
                <w:lang w:val="en-US"/>
              </w:rPr>
              <w:t xml:space="preserve"> c</w:t>
            </w:r>
            <w:r w:rsidRPr="00FB2B66">
              <w:rPr>
                <w:rFonts w:cs="Arial"/>
                <w:b/>
                <w:color w:val="000000"/>
                <w:sz w:val="20"/>
                <w:lang w:val="en-US" w:eastAsia="de-AT"/>
              </w:rPr>
              <w:t>T1</w:t>
            </w:r>
            <w:r w:rsidRPr="00FB2B66">
              <w:rPr>
                <w:rFonts w:cs="Arial"/>
                <w:color w:val="000000"/>
                <w:sz w:val="20"/>
                <w:lang w:val="en-US" w:eastAsia="de-AT"/>
              </w:rPr>
              <w:t xml:space="preserve"> (</w:t>
            </w:r>
            <w:r w:rsidRPr="00FB2B66">
              <w:rPr>
                <w:rFonts w:cs="Arial"/>
                <w:color w:val="000000"/>
                <w:sz w:val="20"/>
                <w:vertAlign w:val="superscript"/>
                <w:lang w:val="en-US" w:eastAsia="de-AT"/>
              </w:rPr>
              <w:t>2</w:t>
            </w:r>
            <w:r w:rsidRPr="00FB2B66">
              <w:rPr>
                <w:rFonts w:cs="Arial"/>
                <w:color w:val="000000"/>
                <w:sz w:val="20"/>
                <w:lang w:val="en-US" w:eastAsia="de-AT"/>
              </w:rPr>
              <w:t xml:space="preserve">EUS) </w:t>
            </w:r>
          </w:p>
          <w:p w14:paraId="13624266" w14:textId="77777777" w:rsidR="004F0EE5" w:rsidRPr="00FB2B66" w:rsidRDefault="004F0EE5" w:rsidP="004F0EE5">
            <w:pPr>
              <w:spacing w:before="60" w:after="60" w:line="240" w:lineRule="auto"/>
              <w:jc w:val="left"/>
              <w:rPr>
                <w:rFonts w:cs="Arial"/>
                <w:color w:val="000000"/>
                <w:sz w:val="20"/>
                <w:lang w:val="en-US" w:eastAsia="de-AT"/>
              </w:rPr>
            </w:pPr>
            <w:r w:rsidRPr="00FB2B66">
              <w:rPr>
                <w:rFonts w:cs="Arial"/>
                <w:b/>
                <w:sz w:val="20"/>
                <w:lang w:val="en-US"/>
              </w:rPr>
              <w:t>y</w:t>
            </w:r>
            <w:r w:rsidRPr="00FB2B66">
              <w:rPr>
                <w:rFonts w:cs="Arial"/>
                <w:b/>
                <w:sz w:val="20"/>
                <w:lang w:val="de-DE"/>
              </w:rPr>
              <w:t></w:t>
            </w:r>
            <w:r w:rsidRPr="00FB2B66">
              <w:rPr>
                <w:rFonts w:cs="Arial"/>
                <w:b/>
                <w:sz w:val="20"/>
                <w:lang w:val="en-US"/>
              </w:rPr>
              <w:t xml:space="preserve"> c</w:t>
            </w:r>
            <w:r w:rsidRPr="00FB2B66">
              <w:rPr>
                <w:rFonts w:cs="Arial"/>
                <w:b/>
                <w:color w:val="000000"/>
                <w:sz w:val="20"/>
                <w:lang w:val="en-US" w:eastAsia="de-AT"/>
              </w:rPr>
              <w:t xml:space="preserve">T2  </w:t>
            </w:r>
            <w:r w:rsidRPr="00FB2B66">
              <w:rPr>
                <w:rFonts w:cs="Arial"/>
                <w:b/>
                <w:sz w:val="20"/>
                <w:lang w:val="de-DE"/>
              </w:rPr>
              <w:t></w:t>
            </w:r>
            <w:r w:rsidRPr="00FB2B66">
              <w:rPr>
                <w:rFonts w:cs="Arial"/>
                <w:b/>
                <w:sz w:val="20"/>
                <w:lang w:val="en-US"/>
              </w:rPr>
              <w:t xml:space="preserve"> c</w:t>
            </w:r>
            <w:r w:rsidRPr="00FB2B66">
              <w:rPr>
                <w:rFonts w:cs="Arial"/>
                <w:b/>
                <w:color w:val="000000"/>
                <w:sz w:val="20"/>
                <w:lang w:val="en-US" w:eastAsia="de-AT"/>
              </w:rPr>
              <w:t xml:space="preserve">T3  </w:t>
            </w:r>
            <w:r w:rsidRPr="00FB2B66">
              <w:rPr>
                <w:rFonts w:cs="Arial"/>
                <w:b/>
                <w:sz w:val="20"/>
                <w:lang w:val="de-DE"/>
              </w:rPr>
              <w:t></w:t>
            </w:r>
            <w:r w:rsidRPr="00FB2B66">
              <w:rPr>
                <w:rFonts w:cs="Arial"/>
                <w:b/>
                <w:sz w:val="20"/>
                <w:lang w:val="en-US"/>
              </w:rPr>
              <w:t xml:space="preserve"> c</w:t>
            </w:r>
            <w:r w:rsidRPr="00FB2B66">
              <w:rPr>
                <w:rFonts w:cs="Arial"/>
                <w:b/>
                <w:color w:val="000000"/>
                <w:sz w:val="20"/>
                <w:lang w:val="en-US" w:eastAsia="de-AT"/>
              </w:rPr>
              <w:t>T4</w:t>
            </w:r>
            <w:r w:rsidRPr="00FB2B66">
              <w:rPr>
                <w:rFonts w:cs="Arial"/>
                <w:color w:val="000000"/>
                <w:sz w:val="20"/>
                <w:lang w:val="en-US" w:eastAsia="de-AT"/>
              </w:rPr>
              <w:t xml:space="preserve">   (</w:t>
            </w:r>
            <w:r w:rsidRPr="00FB2B66">
              <w:rPr>
                <w:rFonts w:cs="Arial"/>
                <w:color w:val="000000"/>
                <w:sz w:val="20"/>
                <w:vertAlign w:val="superscript"/>
                <w:lang w:val="en-US" w:eastAsia="de-AT"/>
              </w:rPr>
              <w:t>2</w:t>
            </w:r>
            <w:r w:rsidRPr="00FB2B66">
              <w:rPr>
                <w:rFonts w:cs="Arial"/>
                <w:color w:val="000000"/>
                <w:sz w:val="20"/>
                <w:lang w:val="en-US" w:eastAsia="de-AT"/>
              </w:rPr>
              <w:t>MR)</w:t>
            </w:r>
          </w:p>
          <w:p w14:paraId="3B99F0D6" w14:textId="77777777" w:rsidR="004F0EE5" w:rsidRPr="00FB2B66" w:rsidRDefault="004F0EE5" w:rsidP="004F0EE5">
            <w:pPr>
              <w:spacing w:before="60" w:after="60" w:line="240" w:lineRule="auto"/>
              <w:jc w:val="left"/>
              <w:rPr>
                <w:rFonts w:cs="Arial"/>
                <w:sz w:val="20"/>
                <w:lang w:val="en-US"/>
              </w:rPr>
            </w:pPr>
            <w:r w:rsidRPr="00FB2B66">
              <w:rPr>
                <w:rFonts w:cs="Arial"/>
                <w:b/>
                <w:sz w:val="20"/>
                <w:lang w:val="en-US"/>
              </w:rPr>
              <w:t>yc</w:t>
            </w:r>
            <w:r w:rsidRPr="00FB2B66">
              <w:rPr>
                <w:rFonts w:cs="Arial"/>
                <w:b/>
                <w:color w:val="000000"/>
                <w:sz w:val="20"/>
                <w:lang w:val="en-US" w:eastAsia="de-AT"/>
              </w:rPr>
              <w:t>N</w:t>
            </w:r>
            <w:r w:rsidRPr="00FB2B66">
              <w:rPr>
                <w:rFonts w:cs="Arial"/>
                <w:color w:val="000000"/>
                <w:sz w:val="20"/>
                <w:lang w:val="en-US" w:eastAsia="de-AT"/>
              </w:rPr>
              <w:t xml:space="preserve"> __ </w:t>
            </w:r>
            <w:r w:rsidRPr="00FB2B66">
              <w:rPr>
                <w:rFonts w:cs="Arial"/>
                <w:sz w:val="20"/>
                <w:lang w:val="en-US"/>
              </w:rPr>
              <w:t>(</w:t>
            </w:r>
            <w:r w:rsidRPr="00FB2B66">
              <w:rPr>
                <w:rFonts w:cs="Arial"/>
                <w:sz w:val="20"/>
                <w:vertAlign w:val="superscript"/>
                <w:lang w:val="en-US"/>
              </w:rPr>
              <w:t>2</w:t>
            </w:r>
            <w:r w:rsidRPr="00FB2B66">
              <w:rPr>
                <w:rFonts w:cs="Arial"/>
                <w:sz w:val="20"/>
                <w:lang w:val="en-US"/>
              </w:rPr>
              <w:t>MR)</w:t>
            </w:r>
          </w:p>
        </w:tc>
        <w:tc>
          <w:tcPr>
            <w:tcW w:w="992" w:type="dxa"/>
            <w:shd w:val="clear" w:color="auto" w:fill="D9D9D9"/>
          </w:tcPr>
          <w:p w14:paraId="1BB91AE9" w14:textId="77777777" w:rsidR="004F0EE5" w:rsidRPr="00FB2B66" w:rsidRDefault="004F0EE5" w:rsidP="004F0EE5">
            <w:pPr>
              <w:spacing w:before="60" w:after="60" w:line="240" w:lineRule="auto"/>
              <w:jc w:val="left"/>
              <w:rPr>
                <w:rFonts w:cs="Arial"/>
                <w:color w:val="000000"/>
                <w:szCs w:val="22"/>
                <w:lang w:val="en-US" w:eastAsia="de-AT"/>
              </w:rPr>
            </w:pPr>
          </w:p>
        </w:tc>
      </w:tr>
      <w:tr w:rsidR="004F0EE5" w:rsidRPr="00FB2B66" w14:paraId="03FE0869" w14:textId="77777777" w:rsidTr="004F0EE5">
        <w:tc>
          <w:tcPr>
            <w:tcW w:w="467" w:type="dxa"/>
            <w:shd w:val="clear" w:color="auto" w:fill="auto"/>
          </w:tcPr>
          <w:p w14:paraId="60397CD8"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8775BB0"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Eingabe des Restagings in die Tumordatenbank</w:t>
            </w:r>
          </w:p>
        </w:tc>
        <w:tc>
          <w:tcPr>
            <w:tcW w:w="2551" w:type="dxa"/>
            <w:shd w:val="clear" w:color="auto" w:fill="auto"/>
          </w:tcPr>
          <w:p w14:paraId="36053406"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00A98FCB" w14:textId="77777777" w:rsidR="004F0EE5" w:rsidRPr="00FB2B66" w:rsidRDefault="004F0EE5" w:rsidP="004F0EE5">
            <w:pPr>
              <w:spacing w:before="60" w:after="60" w:line="240" w:lineRule="auto"/>
              <w:jc w:val="left"/>
              <w:rPr>
                <w:rFonts w:cs="Arial"/>
                <w:color w:val="000000"/>
                <w:szCs w:val="22"/>
                <w:lang w:eastAsia="de-AT"/>
              </w:rPr>
            </w:pPr>
          </w:p>
        </w:tc>
      </w:tr>
      <w:tr w:rsidR="004F0EE5" w:rsidRPr="00FB2B66" w14:paraId="68E1C662" w14:textId="77777777" w:rsidTr="004F0EE5">
        <w:tc>
          <w:tcPr>
            <w:tcW w:w="467" w:type="dxa"/>
            <w:shd w:val="clear" w:color="auto" w:fill="auto"/>
          </w:tcPr>
          <w:p w14:paraId="43955752"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343CC72"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Tumorboardanforderung</w:t>
            </w:r>
          </w:p>
        </w:tc>
        <w:tc>
          <w:tcPr>
            <w:tcW w:w="2551" w:type="dxa"/>
            <w:shd w:val="clear" w:color="auto" w:fill="auto"/>
          </w:tcPr>
          <w:p w14:paraId="6B072254" w14:textId="77777777" w:rsidR="004F0EE5" w:rsidRPr="00FB2B66" w:rsidRDefault="004F0EE5" w:rsidP="004F0EE5">
            <w:pPr>
              <w:spacing w:before="60" w:after="60" w:line="240" w:lineRule="auto"/>
              <w:jc w:val="left"/>
              <w:rPr>
                <w:rFonts w:cs="Arial"/>
                <w:color w:val="000000"/>
                <w:szCs w:val="22"/>
                <w:lang w:eastAsia="de-AT"/>
              </w:rPr>
            </w:pPr>
          </w:p>
        </w:tc>
        <w:tc>
          <w:tcPr>
            <w:tcW w:w="992" w:type="dxa"/>
            <w:shd w:val="clear" w:color="auto" w:fill="auto"/>
          </w:tcPr>
          <w:p w14:paraId="0BBCE675" w14:textId="77777777" w:rsidR="004F0EE5" w:rsidRPr="00FB2B66" w:rsidRDefault="004F0EE5" w:rsidP="004F0EE5">
            <w:pPr>
              <w:spacing w:before="60" w:after="60" w:line="240" w:lineRule="auto"/>
              <w:jc w:val="left"/>
              <w:rPr>
                <w:rFonts w:cs="Arial"/>
                <w:color w:val="000000"/>
                <w:szCs w:val="22"/>
                <w:lang w:eastAsia="de-AT"/>
              </w:rPr>
            </w:pPr>
          </w:p>
        </w:tc>
      </w:tr>
    </w:tbl>
    <w:p w14:paraId="38847A10" w14:textId="77777777" w:rsidR="004F0EE5" w:rsidRDefault="004F0EE5" w:rsidP="004F0EE5">
      <w:pPr>
        <w:spacing w:line="240" w:lineRule="auto"/>
        <w:jc w:val="left"/>
        <w:rPr>
          <w:rFonts w:cs="Arial"/>
          <w:color w:val="000000"/>
          <w:sz w:val="16"/>
          <w:szCs w:val="22"/>
          <w:vertAlign w:val="superscript"/>
          <w:lang w:eastAsia="de-AT"/>
        </w:rPr>
      </w:pPr>
    </w:p>
    <w:p w14:paraId="4D4B9732" w14:textId="77777777" w:rsidR="004F0EE5" w:rsidRPr="00FB2B66" w:rsidRDefault="004F0EE5" w:rsidP="004F0EE5">
      <w:pPr>
        <w:spacing w:line="240" w:lineRule="auto"/>
        <w:jc w:val="left"/>
        <w:rPr>
          <w:rFonts w:cs="Arial"/>
          <w:color w:val="000000"/>
          <w:sz w:val="16"/>
          <w:szCs w:val="22"/>
          <w:lang w:eastAsia="de-AT"/>
        </w:rPr>
      </w:pPr>
      <w:r w:rsidRPr="004F0EE5">
        <w:rPr>
          <w:rFonts w:cs="Arial"/>
          <w:color w:val="000000"/>
          <w:sz w:val="16"/>
          <w:szCs w:val="22"/>
          <w:vertAlign w:val="superscript"/>
          <w:lang w:eastAsia="de-AT"/>
        </w:rPr>
        <w:t>1</w:t>
      </w:r>
      <w:r w:rsidRPr="00FB2B66">
        <w:rPr>
          <w:rFonts w:cs="Arial"/>
          <w:color w:val="000000"/>
          <w:sz w:val="16"/>
          <w:szCs w:val="22"/>
          <w:lang w:eastAsia="de-AT"/>
        </w:rPr>
        <w:t xml:space="preserve"> Definition pathologischer LK: MRI und EUS sind gleich effektiv (positive Vorhersagewert ca. 70%), wenn sie entsprechende Merkmale aufweisen (≥ 8 mm, runde Form, heterogenes Echomuster, irregulärer Rand).</w:t>
      </w:r>
    </w:p>
    <w:p w14:paraId="67F43BC5" w14:textId="77777777" w:rsidR="004F0EE5" w:rsidRDefault="004F0EE5" w:rsidP="004F0EE5">
      <w:pPr>
        <w:spacing w:line="240" w:lineRule="auto"/>
        <w:jc w:val="left"/>
        <w:rPr>
          <w:rFonts w:cs="Arial"/>
          <w:color w:val="000000"/>
          <w:sz w:val="16"/>
          <w:szCs w:val="22"/>
          <w:lang w:eastAsia="de-AT"/>
        </w:rPr>
      </w:pPr>
      <w:r w:rsidRPr="004F0EE5">
        <w:rPr>
          <w:rFonts w:cs="Arial"/>
          <w:color w:val="000000"/>
          <w:sz w:val="16"/>
          <w:szCs w:val="22"/>
          <w:vertAlign w:val="superscript"/>
          <w:lang w:eastAsia="de-AT"/>
        </w:rPr>
        <w:t>2</w:t>
      </w:r>
      <w:r w:rsidRPr="00FB2B66">
        <w:rPr>
          <w:rFonts w:cs="Arial"/>
          <w:color w:val="000000"/>
          <w:sz w:val="16"/>
          <w:szCs w:val="22"/>
          <w:lang w:eastAsia="de-AT"/>
        </w:rPr>
        <w:t xml:space="preserve"> Methode erster Wahl zur Festlegung des Stagings</w:t>
      </w:r>
      <w:r>
        <w:rPr>
          <w:rFonts w:cs="Arial"/>
          <w:color w:val="000000"/>
          <w:sz w:val="16"/>
          <w:szCs w:val="22"/>
          <w:lang w:eastAsia="de-AT"/>
        </w:rPr>
        <w:t>.</w:t>
      </w:r>
    </w:p>
    <w:p w14:paraId="1FA5CFE8" w14:textId="77777777" w:rsidR="00311BDB" w:rsidRDefault="00311BDB" w:rsidP="00311BDB">
      <w:pPr>
        <w:spacing w:line="240" w:lineRule="auto"/>
        <w:rPr>
          <w:rFonts w:cs="Arial"/>
          <w:color w:val="000000"/>
          <w:szCs w:val="22"/>
          <w:lang w:eastAsia="de-AT"/>
        </w:rPr>
      </w:pPr>
    </w:p>
    <w:p w14:paraId="3725BADE" w14:textId="77777777" w:rsidR="00311BDB" w:rsidRPr="00311BDB" w:rsidRDefault="00311BDB" w:rsidP="00311BDB">
      <w:pPr>
        <w:spacing w:line="240" w:lineRule="auto"/>
        <w:jc w:val="left"/>
        <w:rPr>
          <w:rFonts w:cs="Arial"/>
          <w:color w:val="000000"/>
          <w:szCs w:val="22"/>
          <w:lang w:eastAsia="de-AT"/>
        </w:rPr>
      </w:pPr>
      <w:r w:rsidRPr="00311BDB">
        <w:rPr>
          <w:rFonts w:cs="Arial"/>
          <w:b/>
          <w:color w:val="000000"/>
          <w:szCs w:val="22"/>
          <w:lang w:eastAsia="de-AT"/>
        </w:rPr>
        <w:t>*</w:t>
      </w:r>
      <w:r w:rsidRPr="00311BDB">
        <w:rPr>
          <w:rFonts w:cs="Arial"/>
          <w:color w:val="000000"/>
          <w:szCs w:val="22"/>
          <w:lang w:eastAsia="de-AT"/>
        </w:rPr>
        <w:t>) MRI-Kriterien siehe Kapitel 3.</w:t>
      </w:r>
      <w:r w:rsidR="00316B13">
        <w:rPr>
          <w:rFonts w:cs="Arial"/>
          <w:color w:val="000000"/>
          <w:szCs w:val="22"/>
          <w:lang w:eastAsia="de-AT"/>
        </w:rPr>
        <w:t>7</w:t>
      </w:r>
      <w:r w:rsidRPr="00311BDB">
        <w:rPr>
          <w:rFonts w:cs="Arial"/>
          <w:color w:val="000000"/>
          <w:szCs w:val="22"/>
          <w:lang w:eastAsia="de-AT"/>
        </w:rPr>
        <w:t>: Anmerkungen Radiologie beim Rektumkarzinom</w:t>
      </w:r>
    </w:p>
    <w:p w14:paraId="3D7EAA58" w14:textId="77777777" w:rsidR="003F79D8" w:rsidRDefault="003F79D8" w:rsidP="001F2BEC">
      <w:pPr>
        <w:pStyle w:val="Textkrper-Einzug2"/>
        <w:spacing w:after="0" w:line="276" w:lineRule="auto"/>
        <w:ind w:left="0"/>
        <w:jc w:val="both"/>
        <w:rPr>
          <w:rFonts w:asciiTheme="minorHAnsi" w:hAnsiTheme="minorHAnsi" w:cstheme="minorHAnsi"/>
          <w:i/>
          <w:szCs w:val="22"/>
        </w:rPr>
      </w:pPr>
    </w:p>
    <w:p w14:paraId="3F59C7B0" w14:textId="77777777" w:rsidR="003F79D8" w:rsidRDefault="003F79D8" w:rsidP="001F2BEC">
      <w:pPr>
        <w:pStyle w:val="Textkrper-Einzug2"/>
        <w:spacing w:after="0" w:line="276" w:lineRule="auto"/>
        <w:ind w:left="0"/>
        <w:jc w:val="both"/>
        <w:rPr>
          <w:rFonts w:asciiTheme="minorHAnsi" w:hAnsiTheme="minorHAnsi" w:cstheme="minorHAnsi"/>
          <w:i/>
          <w:szCs w:val="22"/>
        </w:rPr>
      </w:pPr>
    </w:p>
    <w:p w14:paraId="724E7CFB"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481DA56A"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345FB3A4"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67B7624"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9701B91"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3CDE775F" w14:textId="77777777" w:rsidR="00C5792C" w:rsidRPr="00564EAE" w:rsidRDefault="00C5792C" w:rsidP="00C5792C">
      <w:pPr>
        <w:keepNext/>
        <w:spacing w:before="240" w:after="60"/>
        <w:jc w:val="left"/>
        <w:outlineLvl w:val="1"/>
        <w:rPr>
          <w:rFonts w:cs="Arial"/>
          <w:b/>
          <w:bCs/>
          <w:i/>
          <w:iCs/>
          <w:sz w:val="24"/>
          <w:szCs w:val="24"/>
          <w:lang w:val="en-GB"/>
        </w:rPr>
      </w:pPr>
      <w:bookmarkStart w:id="10" w:name="_Toc93523271"/>
      <w:r w:rsidRPr="00564EAE">
        <w:rPr>
          <w:rFonts w:cs="Arial"/>
          <w:b/>
          <w:bCs/>
          <w:i/>
          <w:iCs/>
          <w:sz w:val="24"/>
          <w:szCs w:val="24"/>
          <w:lang w:val="en-GB"/>
        </w:rPr>
        <w:lastRenderedPageBreak/>
        <w:t>2.4</w:t>
      </w:r>
      <w:r w:rsidRPr="00564EAE">
        <w:rPr>
          <w:rFonts w:cs="Arial"/>
          <w:b/>
          <w:bCs/>
          <w:i/>
          <w:iCs/>
          <w:sz w:val="24"/>
          <w:szCs w:val="24"/>
          <w:lang w:val="en-GB"/>
        </w:rPr>
        <w:tab/>
        <w:t>Rektumkarzinom - LARS-Score</w:t>
      </w:r>
      <w:bookmarkEnd w:id="10"/>
    </w:p>
    <w:p w14:paraId="3D964E5B" w14:textId="77777777" w:rsidR="00C5792C" w:rsidRPr="00634A79" w:rsidRDefault="00C5792C" w:rsidP="00C5792C">
      <w:pPr>
        <w:autoSpaceDE w:val="0"/>
        <w:autoSpaceDN w:val="0"/>
        <w:adjustRightInd w:val="0"/>
        <w:spacing w:line="240" w:lineRule="auto"/>
        <w:jc w:val="left"/>
        <w:rPr>
          <w:rFonts w:ascii="Calibri" w:eastAsiaTheme="minorHAnsi" w:hAnsi="Calibri" w:cs="Calibri"/>
          <w:szCs w:val="22"/>
          <w:lang w:eastAsia="en-US"/>
        </w:rPr>
      </w:pPr>
      <w:r w:rsidRPr="00564EAE">
        <w:rPr>
          <w:rFonts w:ascii="Calibri" w:eastAsiaTheme="minorHAnsi" w:hAnsi="Calibri" w:cs="Calibri"/>
          <w:szCs w:val="22"/>
          <w:lang w:val="en-GB" w:eastAsia="en-US"/>
        </w:rPr>
        <w:t xml:space="preserve">Low Anterior Resection Syndrome Score – LARS Score. </w:t>
      </w:r>
      <w:r w:rsidRPr="00634A79">
        <w:rPr>
          <w:rFonts w:ascii="Calibri" w:eastAsiaTheme="minorHAnsi" w:hAnsi="Calibri" w:cs="Calibri"/>
          <w:szCs w:val="22"/>
          <w:lang w:eastAsia="en-US"/>
        </w:rPr>
        <w:t>German version 1.0</w:t>
      </w:r>
    </w:p>
    <w:p w14:paraId="4A48C08A" w14:textId="77777777" w:rsidR="00C5792C" w:rsidRPr="00634A79" w:rsidRDefault="00C5792C" w:rsidP="00C579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autoSpaceDE w:val="0"/>
        <w:autoSpaceDN w:val="0"/>
        <w:adjustRightInd w:val="0"/>
        <w:spacing w:line="240" w:lineRule="auto"/>
        <w:jc w:val="left"/>
        <w:rPr>
          <w:rFonts w:eastAsiaTheme="minorHAnsi" w:cs="Arial"/>
          <w:b/>
          <w:bCs/>
          <w:sz w:val="28"/>
          <w:szCs w:val="28"/>
          <w:lang w:eastAsia="en-US"/>
        </w:rPr>
      </w:pPr>
      <w:r w:rsidRPr="00634A79">
        <w:rPr>
          <w:rFonts w:eastAsiaTheme="minorHAnsi" w:cs="Arial"/>
          <w:b/>
          <w:bCs/>
          <w:sz w:val="28"/>
          <w:szCs w:val="28"/>
          <w:lang w:eastAsia="en-US"/>
        </w:rPr>
        <w:t>Fragebogen zur Darmfunktion</w:t>
      </w:r>
    </w:p>
    <w:p w14:paraId="640F52E9" w14:textId="77777777" w:rsidR="00C5792C" w:rsidRPr="00634A79" w:rsidRDefault="00C5792C" w:rsidP="00C5792C">
      <w:pPr>
        <w:autoSpaceDE w:val="0"/>
        <w:autoSpaceDN w:val="0"/>
        <w:adjustRightInd w:val="0"/>
        <w:spacing w:line="240" w:lineRule="auto"/>
        <w:jc w:val="left"/>
        <w:rPr>
          <w:rFonts w:eastAsiaTheme="minorHAnsi" w:cs="Arial"/>
          <w:b/>
          <w:bCs/>
          <w:sz w:val="20"/>
          <w:lang w:eastAsia="en-US"/>
        </w:rPr>
      </w:pPr>
    </w:p>
    <w:p w14:paraId="3AEC9A3F" w14:textId="77777777" w:rsidR="00C5792C" w:rsidRPr="00634A79" w:rsidRDefault="00C5792C" w:rsidP="00C5792C">
      <w:pPr>
        <w:autoSpaceDE w:val="0"/>
        <w:autoSpaceDN w:val="0"/>
        <w:adjustRightInd w:val="0"/>
        <w:spacing w:line="240" w:lineRule="auto"/>
        <w:jc w:val="left"/>
        <w:rPr>
          <w:rFonts w:eastAsiaTheme="minorHAnsi" w:cs="Arial"/>
          <w:b/>
          <w:bCs/>
          <w:szCs w:val="22"/>
          <w:lang w:eastAsia="en-US"/>
        </w:rPr>
      </w:pPr>
      <w:r w:rsidRPr="00634A79">
        <w:rPr>
          <w:rFonts w:eastAsiaTheme="minorHAnsi" w:cs="Arial"/>
          <w:b/>
          <w:bCs/>
          <w:szCs w:val="22"/>
          <w:lang w:eastAsia="en-US"/>
        </w:rPr>
        <w:t xml:space="preserve">Die Zielsetzung dieses Fragebogens besteht in der Bewertung Ihrer Darmfunktion. </w:t>
      </w:r>
      <w:r>
        <w:rPr>
          <w:rFonts w:eastAsiaTheme="minorHAnsi" w:cs="Arial"/>
          <w:b/>
          <w:bCs/>
          <w:szCs w:val="22"/>
          <w:lang w:eastAsia="en-US"/>
        </w:rPr>
        <w:br/>
      </w:r>
      <w:r w:rsidRPr="00634A79">
        <w:rPr>
          <w:rFonts w:eastAsiaTheme="minorHAnsi" w:cs="Arial"/>
          <w:b/>
          <w:bCs/>
          <w:szCs w:val="22"/>
          <w:lang w:eastAsia="en-US"/>
        </w:rPr>
        <w:t xml:space="preserve">Bitte kreuzen Sie bei jeder Frage jeweils nur ein Kästchen an. </w:t>
      </w:r>
    </w:p>
    <w:p w14:paraId="21E6486B" w14:textId="43AFAFD7" w:rsidR="00C5792C" w:rsidRPr="00634A79" w:rsidRDefault="00C5792C" w:rsidP="00C5792C">
      <w:pPr>
        <w:autoSpaceDE w:val="0"/>
        <w:autoSpaceDN w:val="0"/>
        <w:adjustRightInd w:val="0"/>
        <w:spacing w:line="240" w:lineRule="auto"/>
        <w:jc w:val="left"/>
        <w:rPr>
          <w:rFonts w:eastAsiaTheme="minorHAnsi" w:cs="Arial"/>
          <w:b/>
          <w:bCs/>
          <w:szCs w:val="22"/>
          <w:lang w:eastAsia="en-US"/>
        </w:rPr>
      </w:pPr>
      <w:r w:rsidRPr="00634A79">
        <w:rPr>
          <w:rFonts w:eastAsiaTheme="minorHAnsi" w:cs="Arial"/>
          <w:b/>
          <w:bCs/>
          <w:szCs w:val="22"/>
          <w:lang w:eastAsia="en-US"/>
        </w:rPr>
        <w:t xml:space="preserve">Es ist möglicher-weise schwierig, nur eine der Antworten auszuwählen, da, wie wir wissen, die Symptome bei einigen Patienten von Tag zu Tag andere sind. Wir möchten Sie höflich bitten, die eine Antwort zu wählen, die Ihre tägliche Lebenssituation </w:t>
      </w:r>
      <w:r w:rsidRPr="008D7345">
        <w:rPr>
          <w:rFonts w:eastAsiaTheme="minorHAnsi" w:cs="Arial"/>
          <w:b/>
          <w:bCs/>
          <w:szCs w:val="22"/>
          <w:lang w:eastAsia="en-US"/>
        </w:rPr>
        <w:t>a</w:t>
      </w:r>
      <w:r w:rsidR="008D7345" w:rsidRPr="008D7345">
        <w:rPr>
          <w:rFonts w:eastAsiaTheme="minorHAnsi" w:cs="Arial"/>
          <w:b/>
          <w:bCs/>
          <w:szCs w:val="22"/>
          <w:lang w:eastAsia="en-US"/>
        </w:rPr>
        <w:t>m</w:t>
      </w:r>
      <w:r w:rsidRPr="00634A79">
        <w:rPr>
          <w:rFonts w:eastAsiaTheme="minorHAnsi" w:cs="Arial"/>
          <w:b/>
          <w:bCs/>
          <w:szCs w:val="22"/>
          <w:lang w:eastAsia="en-US"/>
        </w:rPr>
        <w:t xml:space="preserve"> besten beschreibt. Sollten Sie kürzlich eine Infektion gehabt haben, die Ihre Darmfunktion beeinträchtigte, so ziehen Sie dies bitte nicht in Betracht, sondern konzentrieren sich bitte darauf, die Antworten zu geben, die Ihre alltägliche Darmfunktion widerspiegeln.</w:t>
      </w:r>
    </w:p>
    <w:p w14:paraId="1A74E912" w14:textId="77777777" w:rsidR="00C5792C" w:rsidRPr="00634A79" w:rsidRDefault="00C5792C" w:rsidP="00C5792C">
      <w:pPr>
        <w:autoSpaceDE w:val="0"/>
        <w:autoSpaceDN w:val="0"/>
        <w:adjustRightInd w:val="0"/>
        <w:spacing w:line="240" w:lineRule="auto"/>
        <w:jc w:val="left"/>
        <w:rPr>
          <w:rFonts w:ascii="Cambria-Bold" w:eastAsiaTheme="minorHAnsi" w:hAnsi="Cambria-Bold" w:cs="Cambria-Bold"/>
          <w:b/>
          <w:bCs/>
          <w:sz w:val="28"/>
          <w:szCs w:val="28"/>
          <w:lang w:eastAsia="en-US"/>
        </w:rPr>
      </w:pPr>
    </w:p>
    <w:p w14:paraId="121E13DC" w14:textId="77777777"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Kommt es gelegentlich vor, dass Sie Ihre Blähungen nicht kontrollieren</w:t>
      </w:r>
    </w:p>
    <w:p w14:paraId="26EC9ADE" w14:textId="1937E2CC"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können?</w:t>
      </w:r>
      <w:r w:rsidR="00D54225">
        <w:rPr>
          <w:rFonts w:eastAsiaTheme="minorHAnsi" w:cs="Arial"/>
          <w:b/>
          <w:bCs/>
          <w:sz w:val="26"/>
          <w:szCs w:val="26"/>
          <w:lang w:eastAsia="en-US"/>
        </w:rPr>
        <w:t xml:space="preserve"> </w:t>
      </w:r>
    </w:p>
    <w:p w14:paraId="5DFDF61C"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ArialMT" w:cs="Arial"/>
          <w:sz w:val="26"/>
          <w:szCs w:val="26"/>
          <w:lang w:eastAsia="en-US"/>
        </w:rPr>
        <w:t xml:space="preserve">□ </w:t>
      </w:r>
      <w:r w:rsidRPr="00634A79">
        <w:rPr>
          <w:rFonts w:eastAsiaTheme="minorHAnsi" w:cs="Arial"/>
          <w:sz w:val="26"/>
          <w:szCs w:val="26"/>
          <w:lang w:eastAsia="en-US"/>
        </w:rPr>
        <w:t>Nein, niemals</w:t>
      </w:r>
      <w:r>
        <w:rPr>
          <w:rFonts w:eastAsiaTheme="minorHAnsi" w:cs="Arial"/>
          <w:sz w:val="26"/>
          <w:szCs w:val="26"/>
          <w:lang w:eastAsia="en-US"/>
        </w:rPr>
        <w:tab/>
        <w:t xml:space="preserve"> </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0</w:t>
      </w:r>
    </w:p>
    <w:p w14:paraId="72D78A9A"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weniger als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4</w:t>
      </w:r>
    </w:p>
    <w:p w14:paraId="51ED2E81"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mindestens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7</w:t>
      </w:r>
    </w:p>
    <w:p w14:paraId="131DEEBF" w14:textId="77777777" w:rsidR="00C5792C" w:rsidRPr="00CD2B8B" w:rsidRDefault="00C5792C" w:rsidP="00C5792C">
      <w:pPr>
        <w:autoSpaceDE w:val="0"/>
        <w:autoSpaceDN w:val="0"/>
        <w:adjustRightInd w:val="0"/>
        <w:spacing w:line="240" w:lineRule="auto"/>
        <w:jc w:val="left"/>
        <w:rPr>
          <w:rFonts w:eastAsiaTheme="minorHAnsi" w:cs="Arial"/>
          <w:b/>
          <w:bCs/>
          <w:sz w:val="16"/>
          <w:szCs w:val="16"/>
          <w:lang w:eastAsia="en-US"/>
        </w:rPr>
      </w:pPr>
    </w:p>
    <w:p w14:paraId="7E5CCDBB" w14:textId="77777777"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Kommt es bei Ihnen gelegentlich zu einer unbeabsichtigten Ausscheidung von flüssigem Stuhlgang?</w:t>
      </w:r>
    </w:p>
    <w:p w14:paraId="494D6F8D"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Nein, niemals</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0</w:t>
      </w:r>
    </w:p>
    <w:p w14:paraId="3ABD4E5D"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weniger als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3</w:t>
      </w:r>
    </w:p>
    <w:p w14:paraId="0B740CF8"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mindestens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3</w:t>
      </w:r>
    </w:p>
    <w:p w14:paraId="7E224EFF" w14:textId="77777777" w:rsidR="00C5792C" w:rsidRPr="00CD2B8B" w:rsidRDefault="00C5792C" w:rsidP="00C5792C">
      <w:pPr>
        <w:autoSpaceDE w:val="0"/>
        <w:autoSpaceDN w:val="0"/>
        <w:adjustRightInd w:val="0"/>
        <w:spacing w:line="240" w:lineRule="auto"/>
        <w:jc w:val="left"/>
        <w:rPr>
          <w:rFonts w:eastAsiaTheme="minorHAnsi" w:cs="Arial"/>
          <w:b/>
          <w:bCs/>
          <w:sz w:val="16"/>
          <w:szCs w:val="16"/>
          <w:lang w:eastAsia="en-US"/>
        </w:rPr>
      </w:pPr>
    </w:p>
    <w:p w14:paraId="053D82BA" w14:textId="77777777"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Wie oft haben Sie Stuhlgang?</w:t>
      </w:r>
    </w:p>
    <w:p w14:paraId="23CCD73D"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Mehr als 7 Mal pro Tag (24 Stunden)</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4</w:t>
      </w:r>
    </w:p>
    <w:p w14:paraId="046A0572"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4-7 Mal pro Tag (24 Stunden)</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2</w:t>
      </w:r>
    </w:p>
    <w:p w14:paraId="725FA86C"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1-3 Mal pro Tag (24 Stunden)</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0</w:t>
      </w:r>
    </w:p>
    <w:p w14:paraId="5ACD3869"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Weniger als einmal pro Tag (24 Stunden)</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sidR="00DF332A">
        <w:rPr>
          <w:rFonts w:eastAsiaTheme="minorHAnsi" w:cs="Arial"/>
          <w:sz w:val="26"/>
          <w:szCs w:val="26"/>
          <w:lang w:eastAsia="en-US"/>
        </w:rPr>
        <w:t xml:space="preserve">       </w:t>
      </w:r>
      <w:r w:rsidR="00DF332A" w:rsidRPr="00DF332A">
        <w:rPr>
          <w:rFonts w:eastAsiaTheme="minorHAnsi" w:cs="Arial"/>
          <w:color w:val="95B3D7" w:themeColor="accent1" w:themeTint="99"/>
          <w:sz w:val="26"/>
          <w:szCs w:val="26"/>
          <w:lang w:eastAsia="en-US"/>
        </w:rPr>
        <w:t>5</w:t>
      </w:r>
      <w:r w:rsidRPr="00DF332A">
        <w:rPr>
          <w:rFonts w:eastAsiaTheme="minorHAnsi" w:cs="Arial"/>
          <w:color w:val="95B3D7" w:themeColor="accent1" w:themeTint="99"/>
          <w:sz w:val="26"/>
          <w:szCs w:val="26"/>
          <w:lang w:eastAsia="en-US"/>
        </w:rPr>
        <w:tab/>
      </w:r>
      <w:r>
        <w:rPr>
          <w:rFonts w:eastAsiaTheme="minorHAnsi" w:cs="Arial"/>
          <w:sz w:val="26"/>
          <w:szCs w:val="26"/>
          <w:lang w:eastAsia="en-US"/>
        </w:rPr>
        <w:t xml:space="preserve">  </w:t>
      </w:r>
    </w:p>
    <w:p w14:paraId="0DF9F3AE" w14:textId="77777777" w:rsidR="00C5792C" w:rsidRPr="00CD2B8B" w:rsidRDefault="00C5792C" w:rsidP="00C5792C">
      <w:pPr>
        <w:autoSpaceDE w:val="0"/>
        <w:autoSpaceDN w:val="0"/>
        <w:adjustRightInd w:val="0"/>
        <w:spacing w:line="240" w:lineRule="auto"/>
        <w:jc w:val="left"/>
        <w:rPr>
          <w:rFonts w:eastAsiaTheme="minorHAnsi" w:cs="Arial"/>
          <w:b/>
          <w:bCs/>
          <w:sz w:val="16"/>
          <w:szCs w:val="16"/>
          <w:lang w:eastAsia="en-US"/>
        </w:rPr>
      </w:pPr>
    </w:p>
    <w:p w14:paraId="49062464" w14:textId="77777777"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Müssen Sie gelegentlich nach Ihrem letzten Stuhlgang innerhalb von einer Stunde erneut auf die Toilette?</w:t>
      </w:r>
    </w:p>
    <w:p w14:paraId="0BAEE36D"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Nein, niemals</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0</w:t>
      </w:r>
    </w:p>
    <w:p w14:paraId="4F5790EF"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weniger als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9</w:t>
      </w:r>
    </w:p>
    <w:p w14:paraId="6D5FED79"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mindestens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11</w:t>
      </w:r>
    </w:p>
    <w:p w14:paraId="14263432" w14:textId="77777777" w:rsidR="00C5792C" w:rsidRPr="00CD2B8B" w:rsidRDefault="00C5792C" w:rsidP="00C5792C">
      <w:pPr>
        <w:autoSpaceDE w:val="0"/>
        <w:autoSpaceDN w:val="0"/>
        <w:adjustRightInd w:val="0"/>
        <w:spacing w:line="240" w:lineRule="auto"/>
        <w:jc w:val="left"/>
        <w:rPr>
          <w:rFonts w:eastAsiaTheme="minorHAnsi" w:cs="Arial"/>
          <w:b/>
          <w:bCs/>
          <w:sz w:val="16"/>
          <w:szCs w:val="16"/>
          <w:lang w:eastAsia="en-US"/>
        </w:rPr>
      </w:pPr>
    </w:p>
    <w:p w14:paraId="18AD11BF" w14:textId="77777777" w:rsidR="00C5792C" w:rsidRPr="00634A79" w:rsidRDefault="00C5792C" w:rsidP="00C5792C">
      <w:pPr>
        <w:autoSpaceDE w:val="0"/>
        <w:autoSpaceDN w:val="0"/>
        <w:adjustRightInd w:val="0"/>
        <w:spacing w:line="240" w:lineRule="auto"/>
        <w:jc w:val="left"/>
        <w:rPr>
          <w:rFonts w:eastAsiaTheme="minorHAnsi" w:cs="Arial"/>
          <w:b/>
          <w:bCs/>
          <w:sz w:val="26"/>
          <w:szCs w:val="26"/>
          <w:lang w:eastAsia="en-US"/>
        </w:rPr>
      </w:pPr>
      <w:r w:rsidRPr="00634A79">
        <w:rPr>
          <w:rFonts w:eastAsiaTheme="minorHAnsi" w:cs="Arial"/>
          <w:b/>
          <w:bCs/>
          <w:sz w:val="26"/>
          <w:szCs w:val="26"/>
          <w:lang w:eastAsia="en-US"/>
        </w:rPr>
        <w:t>Haben Sie gelegentlich einen solch starken Stuhldrang, dass Sie zur Toilette rennen müssen?</w:t>
      </w:r>
    </w:p>
    <w:p w14:paraId="428E8CFA"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Nein, niemals</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0</w:t>
      </w:r>
    </w:p>
    <w:p w14:paraId="71C31C52" w14:textId="77777777" w:rsidR="00C5792C" w:rsidRPr="00634A79" w:rsidRDefault="00C5792C" w:rsidP="00C5792C">
      <w:pPr>
        <w:autoSpaceDE w:val="0"/>
        <w:autoSpaceDN w:val="0"/>
        <w:adjustRightInd w:val="0"/>
        <w:spacing w:line="240"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weniger als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11</w:t>
      </w:r>
    </w:p>
    <w:p w14:paraId="65227D42" w14:textId="77777777" w:rsidR="00C5792C" w:rsidRPr="00634A79" w:rsidRDefault="00C5792C" w:rsidP="00C5792C">
      <w:pPr>
        <w:spacing w:after="160" w:line="259" w:lineRule="auto"/>
        <w:jc w:val="left"/>
        <w:rPr>
          <w:rFonts w:eastAsiaTheme="minorHAnsi" w:cs="Arial"/>
          <w:sz w:val="26"/>
          <w:szCs w:val="26"/>
          <w:lang w:eastAsia="en-US"/>
        </w:rPr>
      </w:pPr>
      <w:r w:rsidRPr="00634A79">
        <w:rPr>
          <w:rFonts w:eastAsia="TimesNewRomanPSMT" w:cs="Arial"/>
          <w:sz w:val="26"/>
          <w:szCs w:val="26"/>
          <w:lang w:eastAsia="en-US"/>
        </w:rPr>
        <w:t xml:space="preserve">□ </w:t>
      </w:r>
      <w:r w:rsidRPr="00634A79">
        <w:rPr>
          <w:rFonts w:eastAsiaTheme="minorHAnsi" w:cs="Arial"/>
          <w:sz w:val="26"/>
          <w:szCs w:val="26"/>
          <w:lang w:eastAsia="en-US"/>
        </w:rPr>
        <w:t>Ja, mindestens einmal pro Woche.</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 xml:space="preserve">     </w:t>
      </w:r>
      <w:r w:rsidRPr="002A4BBE">
        <w:rPr>
          <w:rFonts w:eastAsiaTheme="minorHAnsi" w:cs="Arial"/>
          <w:color w:val="95B3D7" w:themeColor="accent1" w:themeTint="99"/>
          <w:sz w:val="26"/>
          <w:szCs w:val="26"/>
          <w:lang w:eastAsia="en-US"/>
        </w:rPr>
        <w:t>16</w:t>
      </w:r>
    </w:p>
    <w:p w14:paraId="772C3666" w14:textId="77777777" w:rsidR="00C5792C" w:rsidRPr="00DF332A" w:rsidRDefault="00C5792C" w:rsidP="00C5792C">
      <w:pPr>
        <w:spacing w:after="160" w:line="259" w:lineRule="auto"/>
        <w:jc w:val="left"/>
        <w:rPr>
          <w:sz w:val="16"/>
          <w:szCs w:val="16"/>
        </w:rPr>
      </w:pPr>
      <w:r>
        <w:rPr>
          <w:rFonts w:eastAsiaTheme="minorHAnsi" w:cs="Arial"/>
          <w:b/>
          <w:bCs/>
          <w:noProof/>
          <w:sz w:val="26"/>
          <w:szCs w:val="26"/>
          <w:lang w:eastAsia="de-AT"/>
        </w:rPr>
        <mc:AlternateContent>
          <mc:Choice Requires="wps">
            <w:drawing>
              <wp:anchor distT="0" distB="0" distL="114300" distR="114300" simplePos="0" relativeHeight="251659776" behindDoc="0" locked="0" layoutInCell="1" allowOverlap="1" wp14:anchorId="7B808732" wp14:editId="0CCF7D02">
                <wp:simplePos x="0" y="0"/>
                <wp:positionH relativeFrom="column">
                  <wp:posOffset>5462270</wp:posOffset>
                </wp:positionH>
                <wp:positionV relativeFrom="paragraph">
                  <wp:posOffset>113665</wp:posOffset>
                </wp:positionV>
                <wp:extent cx="510540" cy="365760"/>
                <wp:effectExtent l="0" t="0" r="22860" b="15240"/>
                <wp:wrapNone/>
                <wp:docPr id="4" name="Rechteck 4"/>
                <wp:cNvGraphicFramePr/>
                <a:graphic xmlns:a="http://schemas.openxmlformats.org/drawingml/2006/main">
                  <a:graphicData uri="http://schemas.microsoft.com/office/word/2010/wordprocessingShape">
                    <wps:wsp>
                      <wps:cNvSpPr/>
                      <wps:spPr>
                        <a:xfrm>
                          <a:off x="0" y="0"/>
                          <a:ext cx="510540" cy="36576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15535" id="Rechteck 4" o:spid="_x0000_s1026" style="position:absolute;margin-left:430.1pt;margin-top:8.95pt;width:40.2pt;height:28.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" fillcolor="#dbe5f1 [660]" strokecolor="#243f60 [1604]" strokeweight="2pt"/>
            </w:pict>
          </mc:Fallback>
        </mc:AlternateContent>
      </w:r>
      <w:r w:rsidRPr="00CD2B8B">
        <w:rPr>
          <w:rFonts w:eastAsiaTheme="minorHAnsi" w:cs="Arial"/>
          <w:b/>
          <w:bCs/>
          <w:sz w:val="26"/>
          <w:szCs w:val="26"/>
          <w:lang w:eastAsia="en-US"/>
        </w:rPr>
        <w:t>Auswertung:</w:t>
      </w:r>
      <w:r>
        <w:rPr>
          <w:rFonts w:eastAsiaTheme="minorHAnsi" w:cs="Arial"/>
          <w:sz w:val="26"/>
          <w:szCs w:val="26"/>
          <w:lang w:eastAsia="en-US"/>
        </w:rPr>
        <w:br/>
        <w:t>0-20 Punkte: kein LARS</w:t>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r>
      <w:r>
        <w:rPr>
          <w:rFonts w:eastAsiaTheme="minorHAnsi" w:cs="Arial"/>
          <w:sz w:val="26"/>
          <w:szCs w:val="26"/>
          <w:lang w:eastAsia="en-US"/>
        </w:rPr>
        <w:tab/>
        <w:t>Gesamtpunkte</w:t>
      </w:r>
      <w:r>
        <w:rPr>
          <w:rFonts w:eastAsiaTheme="minorHAnsi" w:cs="Arial"/>
          <w:sz w:val="26"/>
          <w:szCs w:val="26"/>
          <w:lang w:eastAsia="en-US"/>
        </w:rPr>
        <w:br/>
        <w:t>21-29 Punkte: Minor LARS</w:t>
      </w:r>
      <w:r>
        <w:rPr>
          <w:rFonts w:eastAsiaTheme="minorHAnsi" w:cs="Arial"/>
          <w:sz w:val="26"/>
          <w:szCs w:val="26"/>
          <w:lang w:eastAsia="en-US"/>
        </w:rPr>
        <w:br/>
        <w:t>30-42 Punkte: Major LARS</w:t>
      </w:r>
      <w:r>
        <w:rPr>
          <w:rFonts w:eastAsiaTheme="minorHAnsi" w:cs="Arial"/>
          <w:sz w:val="26"/>
          <w:szCs w:val="26"/>
          <w:lang w:eastAsia="en-US"/>
        </w:rPr>
        <w:br/>
      </w:r>
    </w:p>
    <w:p w14:paraId="762FD6B2" w14:textId="77777777" w:rsidR="00C5792C" w:rsidRPr="00C5792C" w:rsidRDefault="00820564" w:rsidP="00C5792C">
      <w:pPr>
        <w:spacing w:after="160" w:line="259" w:lineRule="auto"/>
        <w:jc w:val="left"/>
        <w:rPr>
          <w:rFonts w:cs="Arial"/>
          <w:sz w:val="18"/>
          <w:szCs w:val="18"/>
          <w:lang w:eastAsia="de-AT"/>
        </w:rPr>
      </w:pPr>
      <w:hyperlink r:id="rId16" w:history="1">
        <w:r w:rsidR="00C5792C" w:rsidRPr="00C5792C">
          <w:rPr>
            <w:rStyle w:val="Hyperlink"/>
            <w:rFonts w:eastAsiaTheme="minorHAnsi" w:cs="Arial"/>
            <w:color w:val="auto"/>
            <w:sz w:val="18"/>
            <w:szCs w:val="18"/>
            <w:lang w:eastAsia="en-US"/>
          </w:rPr>
          <w:t>https://www.escp.eu.com/images/news_and_reports/2018/lars-scoring-tool/German-LARS-Questionnaire.pdf</w:t>
        </w:r>
      </w:hyperlink>
    </w:p>
    <w:p w14:paraId="244C5D62" w14:textId="77777777" w:rsidR="004F0EE5" w:rsidRPr="004F0EE5" w:rsidRDefault="004F0EE5" w:rsidP="006C0CAD">
      <w:pPr>
        <w:pStyle w:val="berschrift2"/>
      </w:pPr>
      <w:bookmarkStart w:id="11" w:name="_Toc93523272"/>
      <w:r>
        <w:lastRenderedPageBreak/>
        <w:t>2.</w:t>
      </w:r>
      <w:r w:rsidR="00C5792C">
        <w:t>5</w:t>
      </w:r>
      <w:r>
        <w:tab/>
        <w:t>P</w:t>
      </w:r>
      <w:r w:rsidRPr="00FB2B66">
        <w:t>rimär metastasiertes Colon-bzw. Rektum-Ca (Primum in situ) nach neoadj. Radio-/Chemotherapie zur präooperativen Responsebeurteilung</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3185"/>
        <w:gridCol w:w="1985"/>
        <w:gridCol w:w="2551"/>
        <w:gridCol w:w="992"/>
      </w:tblGrid>
      <w:tr w:rsidR="004F0EE5" w:rsidRPr="00FB2B66" w14:paraId="3633B8BD" w14:textId="77777777" w:rsidTr="004F0EE5">
        <w:tc>
          <w:tcPr>
            <w:tcW w:w="467" w:type="dxa"/>
            <w:shd w:val="clear" w:color="auto" w:fill="92D050"/>
          </w:tcPr>
          <w:p w14:paraId="20A72FAD" w14:textId="77777777" w:rsidR="004F0EE5" w:rsidRPr="00FB2B66" w:rsidRDefault="004F0EE5" w:rsidP="004F0EE5">
            <w:pPr>
              <w:spacing w:before="60" w:after="60" w:line="240" w:lineRule="auto"/>
              <w:rPr>
                <w:rFonts w:cs="Arial"/>
                <w:b/>
                <w:szCs w:val="22"/>
                <w:lang w:eastAsia="de-AT"/>
              </w:rPr>
            </w:pPr>
          </w:p>
        </w:tc>
        <w:tc>
          <w:tcPr>
            <w:tcW w:w="5170" w:type="dxa"/>
            <w:gridSpan w:val="2"/>
            <w:shd w:val="clear" w:color="auto" w:fill="92D050"/>
          </w:tcPr>
          <w:p w14:paraId="48DCC6BB" w14:textId="77777777" w:rsidR="004F0EE5" w:rsidRPr="00FB2B66" w:rsidRDefault="004F0EE5" w:rsidP="004F0EE5">
            <w:pPr>
              <w:spacing w:before="60" w:after="60" w:line="240" w:lineRule="auto"/>
              <w:rPr>
                <w:rFonts w:cs="Arial"/>
                <w:b/>
                <w:szCs w:val="22"/>
                <w:lang w:eastAsia="de-AT"/>
              </w:rPr>
            </w:pPr>
            <w:r w:rsidRPr="004F0EE5">
              <w:rPr>
                <w:rFonts w:cs="Arial"/>
                <w:b/>
                <w:szCs w:val="22"/>
                <w:lang w:eastAsia="de-AT"/>
              </w:rPr>
              <w:t>Checkliste primär metastasiertes Colon-bzw. Rektum-Ca (Primum in situ) nach neoadj. Radio-/Chemotherapie zur präooperativen Responsebeurteilung</w:t>
            </w:r>
          </w:p>
        </w:tc>
        <w:tc>
          <w:tcPr>
            <w:tcW w:w="2551" w:type="dxa"/>
            <w:shd w:val="clear" w:color="auto" w:fill="92D050"/>
          </w:tcPr>
          <w:p w14:paraId="58C0C754"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Befund erhoben</w:t>
            </w:r>
          </w:p>
        </w:tc>
        <w:tc>
          <w:tcPr>
            <w:tcW w:w="992" w:type="dxa"/>
            <w:tcBorders>
              <w:bottom w:val="single" w:sz="4" w:space="0" w:color="auto"/>
            </w:tcBorders>
            <w:shd w:val="clear" w:color="auto" w:fill="92D050"/>
          </w:tcPr>
          <w:p w14:paraId="76ABC1B8"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Hz</w:t>
            </w:r>
          </w:p>
        </w:tc>
      </w:tr>
      <w:tr w:rsidR="004F0EE5" w:rsidRPr="00FB2B66" w14:paraId="108AEEA6" w14:textId="77777777" w:rsidTr="004F0EE5">
        <w:tc>
          <w:tcPr>
            <w:tcW w:w="467" w:type="dxa"/>
            <w:shd w:val="clear" w:color="auto" w:fill="auto"/>
          </w:tcPr>
          <w:p w14:paraId="7942FF1A"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1A417D7C"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Geriatrische</w:t>
            </w:r>
            <w:r w:rsidR="008879AD">
              <w:rPr>
                <w:rFonts w:cs="Arial"/>
                <w:color w:val="000000"/>
                <w:szCs w:val="22"/>
                <w:lang w:eastAsia="de-AT"/>
              </w:rPr>
              <w:t>s</w:t>
            </w:r>
            <w:r w:rsidRPr="00FB2B66">
              <w:rPr>
                <w:rFonts w:cs="Arial"/>
                <w:color w:val="000000"/>
                <w:szCs w:val="22"/>
                <w:lang w:eastAsia="de-AT"/>
              </w:rPr>
              <w:t xml:space="preserve"> Assessment bei Alter &gt; 70 </w:t>
            </w:r>
          </w:p>
          <w:p w14:paraId="5D77CD65"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6"/>
                <w:szCs w:val="22"/>
                <w:lang w:eastAsia="de-AT"/>
              </w:rPr>
              <w:t>(entsprechend der lokalen Vorgehensweise)</w:t>
            </w:r>
          </w:p>
        </w:tc>
        <w:tc>
          <w:tcPr>
            <w:tcW w:w="2551" w:type="dxa"/>
            <w:shd w:val="clear" w:color="auto" w:fill="auto"/>
          </w:tcPr>
          <w:p w14:paraId="580F833E"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662ABC69"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BB05F64" w14:textId="77777777" w:rsidTr="004F0EE5">
        <w:trPr>
          <w:trHeight w:val="1578"/>
        </w:trPr>
        <w:tc>
          <w:tcPr>
            <w:tcW w:w="467" w:type="dxa"/>
            <w:shd w:val="clear" w:color="auto" w:fill="auto"/>
          </w:tcPr>
          <w:p w14:paraId="3CF21C5D"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auto"/>
          </w:tcPr>
          <w:p w14:paraId="2F36EF42" w14:textId="77777777" w:rsidR="004F0EE5" w:rsidRPr="00FB2B66" w:rsidRDefault="004F0EE5" w:rsidP="004F0EE5">
            <w:pPr>
              <w:spacing w:before="60" w:after="60" w:line="240" w:lineRule="auto"/>
              <w:jc w:val="left"/>
              <w:rPr>
                <w:rFonts w:cs="Arial"/>
                <w:color w:val="000000"/>
                <w:szCs w:val="22"/>
                <w:lang w:eastAsia="de-AT"/>
              </w:rPr>
            </w:pPr>
            <w:r w:rsidRPr="00FB2B66">
              <w:rPr>
                <w:rFonts w:ascii="Calibri" w:hAnsi="Calibri" w:cs="Calibri"/>
                <w:b/>
                <w:sz w:val="16"/>
                <w:szCs w:val="16"/>
                <w:lang w:eastAsia="de-AT"/>
              </w:rPr>
              <w:t xml:space="preserve"> </w:t>
            </w:r>
            <w:r w:rsidRPr="00FB2B66">
              <w:rPr>
                <w:rFonts w:cs="Arial"/>
                <w:color w:val="000000"/>
                <w:szCs w:val="22"/>
                <w:lang w:eastAsia="de-AT"/>
              </w:rPr>
              <w:t>WHO/ECOG Performance</w:t>
            </w:r>
          </w:p>
        </w:tc>
        <w:tc>
          <w:tcPr>
            <w:tcW w:w="4536" w:type="dxa"/>
            <w:gridSpan w:val="2"/>
            <w:shd w:val="clear" w:color="auto" w:fill="auto"/>
          </w:tcPr>
          <w:p w14:paraId="698577CA"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(0) volle Aktivität, normales Leben möglich</w:t>
            </w:r>
          </w:p>
          <w:p w14:paraId="40515ECB"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(1) eingeschränkte Aktivität, leichte Arbeit möglich</w:t>
            </w:r>
          </w:p>
          <w:p w14:paraId="0CAE667E"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(2) Selbstversorgung möglich, nicht arbeitsfähig, nicht </w:t>
            </w:r>
          </w:p>
          <w:p w14:paraId="199EB3F6"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bettlägerig, muss &lt; 50% der Tageszeit ruhen</w:t>
            </w:r>
          </w:p>
          <w:p w14:paraId="786AA314"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(3) Selbstversorgung sehr eingeschränkt, &gt; 50% der </w:t>
            </w:r>
          </w:p>
          <w:p w14:paraId="2DFF37BE"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Tageszeit ruhebedürftig, Pflege/Hilfe notwendig</w:t>
            </w:r>
          </w:p>
          <w:p w14:paraId="330A4911"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(4) bettlägerig und völlig pflegebedürftig</w:t>
            </w:r>
            <w:r w:rsidRPr="00FB2B66">
              <w:rPr>
                <w:rFonts w:cs="Arial"/>
                <w:sz w:val="14"/>
                <w:szCs w:val="16"/>
                <w:lang w:val="de-DE"/>
              </w:rPr>
              <w:tab/>
            </w:r>
          </w:p>
        </w:tc>
        <w:tc>
          <w:tcPr>
            <w:tcW w:w="992" w:type="dxa"/>
            <w:shd w:val="clear" w:color="auto" w:fill="auto"/>
          </w:tcPr>
          <w:p w14:paraId="2CA1F13C"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47648875" w14:textId="77777777" w:rsidTr="004F0EE5">
        <w:tc>
          <w:tcPr>
            <w:tcW w:w="467" w:type="dxa"/>
            <w:shd w:val="clear" w:color="auto" w:fill="auto"/>
          </w:tcPr>
          <w:p w14:paraId="18485BF1"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2AFBF382"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Ernährungsassessment (bei Gewichtsabnahme &gt;5% Vorstellung Ernährungsberatung)</w:t>
            </w:r>
          </w:p>
        </w:tc>
        <w:tc>
          <w:tcPr>
            <w:tcW w:w="2551" w:type="dxa"/>
            <w:tcBorders>
              <w:bottom w:val="single" w:sz="4" w:space="0" w:color="auto"/>
            </w:tcBorders>
            <w:shd w:val="clear" w:color="auto" w:fill="auto"/>
          </w:tcPr>
          <w:p w14:paraId="1EB99C98"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51B928F1"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1CDC831" w14:textId="77777777" w:rsidTr="004F0EE5">
        <w:tc>
          <w:tcPr>
            <w:tcW w:w="467" w:type="dxa"/>
            <w:shd w:val="clear" w:color="auto" w:fill="auto"/>
          </w:tcPr>
          <w:p w14:paraId="76D3C159"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4AD7329"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Labor </w:t>
            </w:r>
            <w:r w:rsidRPr="00FB2B66">
              <w:rPr>
                <w:rFonts w:cs="Arial"/>
                <w:color w:val="000000"/>
                <w:sz w:val="18"/>
                <w:szCs w:val="18"/>
                <w:lang w:eastAsia="de-AT"/>
              </w:rPr>
              <w:t>( inkl. CEA, Eisenstatus)</w:t>
            </w:r>
          </w:p>
        </w:tc>
        <w:tc>
          <w:tcPr>
            <w:tcW w:w="2551" w:type="dxa"/>
            <w:shd w:val="clear" w:color="auto" w:fill="auto"/>
          </w:tcPr>
          <w:p w14:paraId="7D27C13C"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792D16BA"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3E0AA714" w14:textId="77777777" w:rsidTr="004F0EE5">
        <w:tc>
          <w:tcPr>
            <w:tcW w:w="467" w:type="dxa"/>
            <w:shd w:val="clear" w:color="auto" w:fill="auto"/>
          </w:tcPr>
          <w:p w14:paraId="5E85EBEC"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2B89AB2"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CT (Thorax, Abdomen, Becken) </w:t>
            </w:r>
          </w:p>
          <w:p w14:paraId="0F136FF7" w14:textId="77777777" w:rsidR="004F0EE5" w:rsidRPr="00FB2B66" w:rsidRDefault="004F0EE5" w:rsidP="004F0EE5">
            <w:pPr>
              <w:spacing w:before="60" w:after="60" w:line="240" w:lineRule="auto"/>
              <w:jc w:val="left"/>
              <w:rPr>
                <w:rFonts w:cs="Arial"/>
                <w:color w:val="000000"/>
                <w:sz w:val="20"/>
                <w:lang w:eastAsia="de-AT"/>
              </w:rPr>
            </w:pPr>
            <w:r w:rsidRPr="00FB2B66">
              <w:rPr>
                <w:rFonts w:cs="Arial"/>
                <w:color w:val="000000"/>
                <w:sz w:val="18"/>
                <w:szCs w:val="22"/>
                <w:lang w:eastAsia="de-AT"/>
              </w:rPr>
              <w:t>(nur Verlaufskontrolle der initial pathologischen Befunde)</w:t>
            </w:r>
          </w:p>
        </w:tc>
        <w:tc>
          <w:tcPr>
            <w:tcW w:w="2551" w:type="dxa"/>
            <w:shd w:val="clear" w:color="auto" w:fill="auto"/>
          </w:tcPr>
          <w:p w14:paraId="77BB0D46"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5DF93F9F"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64AB759F" w14:textId="77777777" w:rsidTr="004F0EE5">
        <w:tc>
          <w:tcPr>
            <w:tcW w:w="467" w:type="dxa"/>
            <w:shd w:val="clear" w:color="auto" w:fill="auto"/>
          </w:tcPr>
          <w:p w14:paraId="39B88ED2"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84BDEFC"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Leberspezifisches MRT</w:t>
            </w:r>
          </w:p>
          <w:p w14:paraId="11B65B71"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8"/>
                <w:szCs w:val="22"/>
                <w:lang w:eastAsia="de-AT"/>
              </w:rPr>
              <w:t>(nur bei initial pathologischem Befund)</w:t>
            </w:r>
          </w:p>
        </w:tc>
        <w:tc>
          <w:tcPr>
            <w:tcW w:w="2551" w:type="dxa"/>
            <w:shd w:val="clear" w:color="auto" w:fill="auto"/>
          </w:tcPr>
          <w:p w14:paraId="1BDEB520"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49D75382" w14:textId="77777777" w:rsidR="004F0EE5" w:rsidRPr="00FB2B66" w:rsidRDefault="004F0EE5" w:rsidP="004F0EE5">
            <w:pPr>
              <w:spacing w:before="60" w:after="60" w:line="240" w:lineRule="auto"/>
              <w:rPr>
                <w:rFonts w:cs="Arial"/>
                <w:color w:val="000000"/>
                <w:szCs w:val="22"/>
                <w:lang w:eastAsia="de-AT"/>
              </w:rPr>
            </w:pPr>
          </w:p>
        </w:tc>
      </w:tr>
      <w:tr w:rsidR="007C5CCC" w:rsidRPr="00FB2B66" w14:paraId="516DD2CA" w14:textId="77777777" w:rsidTr="00EC122B">
        <w:tc>
          <w:tcPr>
            <w:tcW w:w="467" w:type="dxa"/>
            <w:shd w:val="clear" w:color="auto" w:fill="auto"/>
          </w:tcPr>
          <w:p w14:paraId="20CC34F9" w14:textId="77777777" w:rsidR="007C5CCC" w:rsidRPr="00FB2B66" w:rsidRDefault="007C5CCC" w:rsidP="00EC122B">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518F0A0" w14:textId="77777777" w:rsidR="007C5CCC" w:rsidRPr="00FB2B66" w:rsidRDefault="007C5CCC" w:rsidP="00EC122B">
            <w:pPr>
              <w:spacing w:before="60" w:after="60" w:line="240" w:lineRule="auto"/>
              <w:jc w:val="left"/>
              <w:rPr>
                <w:rFonts w:cs="Arial"/>
                <w:color w:val="000000"/>
                <w:szCs w:val="22"/>
                <w:lang w:eastAsia="de-AT"/>
              </w:rPr>
            </w:pPr>
            <w:r w:rsidRPr="0041373A">
              <w:rPr>
                <w:rFonts w:cs="Arial"/>
                <w:szCs w:val="22"/>
                <w:lang w:eastAsia="de-AT"/>
              </w:rPr>
              <w:t xml:space="preserve">Onko-PET-CT bei inkonklusiven anderen </w:t>
            </w:r>
            <w:r w:rsidRPr="0041373A">
              <w:rPr>
                <w:rFonts w:cs="Arial"/>
                <w:szCs w:val="22"/>
                <w:lang w:eastAsia="de-AT"/>
              </w:rPr>
              <w:br/>
              <w:t>bildgebenden Verfahren und therap. Konsequenz</w:t>
            </w:r>
          </w:p>
        </w:tc>
        <w:tc>
          <w:tcPr>
            <w:tcW w:w="2551" w:type="dxa"/>
            <w:shd w:val="clear" w:color="auto" w:fill="auto"/>
          </w:tcPr>
          <w:p w14:paraId="38D3FE7F" w14:textId="77777777" w:rsidR="007C5CCC" w:rsidRPr="00FB2B66" w:rsidRDefault="007C5CCC" w:rsidP="00EC122B">
            <w:pPr>
              <w:spacing w:before="60" w:after="60" w:line="240" w:lineRule="auto"/>
              <w:rPr>
                <w:rFonts w:cs="Arial"/>
                <w:color w:val="000000"/>
                <w:szCs w:val="22"/>
                <w:lang w:eastAsia="de-AT"/>
              </w:rPr>
            </w:pPr>
          </w:p>
        </w:tc>
        <w:tc>
          <w:tcPr>
            <w:tcW w:w="992" w:type="dxa"/>
            <w:shd w:val="clear" w:color="auto" w:fill="auto"/>
          </w:tcPr>
          <w:p w14:paraId="37D715D8" w14:textId="77777777" w:rsidR="007C5CCC" w:rsidRPr="00FB2B66" w:rsidRDefault="007C5CCC" w:rsidP="00EC122B">
            <w:pPr>
              <w:spacing w:before="60" w:after="60" w:line="240" w:lineRule="auto"/>
              <w:rPr>
                <w:rFonts w:cs="Arial"/>
                <w:color w:val="000000"/>
                <w:szCs w:val="22"/>
                <w:lang w:eastAsia="de-AT"/>
              </w:rPr>
            </w:pPr>
          </w:p>
        </w:tc>
      </w:tr>
      <w:tr w:rsidR="004F0EE5" w:rsidRPr="00FB2B66" w14:paraId="70223E36" w14:textId="77777777" w:rsidTr="004F0EE5">
        <w:tc>
          <w:tcPr>
            <w:tcW w:w="467" w:type="dxa"/>
            <w:shd w:val="clear" w:color="auto" w:fill="D9D9D9"/>
          </w:tcPr>
          <w:p w14:paraId="7D3C689E"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D9D9D9"/>
          </w:tcPr>
          <w:p w14:paraId="1186826B"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Festlegung des klin./patholog. TNM Stagings</w:t>
            </w:r>
          </w:p>
        </w:tc>
        <w:tc>
          <w:tcPr>
            <w:tcW w:w="4536" w:type="dxa"/>
            <w:gridSpan w:val="2"/>
            <w:shd w:val="clear" w:color="auto" w:fill="D9D9D9"/>
          </w:tcPr>
          <w:p w14:paraId="7045F0A6" w14:textId="77777777" w:rsidR="004F0EE5" w:rsidRPr="00FB2B66" w:rsidRDefault="004F0EE5" w:rsidP="004F0EE5">
            <w:pPr>
              <w:spacing w:before="60" w:after="60" w:line="240" w:lineRule="auto"/>
              <w:jc w:val="left"/>
              <w:rPr>
                <w:rFonts w:cs="Arial"/>
                <w:color w:val="000000"/>
                <w:sz w:val="20"/>
                <w:lang w:eastAsia="de-AT"/>
              </w:rPr>
            </w:pPr>
            <w:r w:rsidRPr="00FB2B66">
              <w:rPr>
                <w:rFonts w:cs="Arial"/>
                <w:b/>
                <w:sz w:val="20"/>
                <w:lang w:val="de-DE"/>
              </w:rPr>
              <w:t>y__</w:t>
            </w:r>
            <w:r w:rsidRPr="00FB2B66">
              <w:rPr>
                <w:rFonts w:cs="Arial"/>
                <w:b/>
                <w:color w:val="000000"/>
                <w:sz w:val="20"/>
                <w:lang w:eastAsia="de-AT"/>
              </w:rPr>
              <w:t>T</w:t>
            </w:r>
            <w:r w:rsidRPr="00FB2B66">
              <w:rPr>
                <w:rFonts w:cs="Arial"/>
                <w:color w:val="000000"/>
                <w:sz w:val="20"/>
                <w:lang w:eastAsia="de-AT"/>
              </w:rPr>
              <w:t xml:space="preserve">__         </w:t>
            </w:r>
            <w:r w:rsidRPr="00FB2B66">
              <w:rPr>
                <w:rFonts w:cs="Arial"/>
                <w:b/>
                <w:sz w:val="20"/>
              </w:rPr>
              <w:t>y__</w:t>
            </w:r>
            <w:r w:rsidRPr="00FB2B66">
              <w:rPr>
                <w:rFonts w:cs="Arial"/>
                <w:b/>
                <w:color w:val="000000"/>
                <w:sz w:val="20"/>
                <w:lang w:eastAsia="de-AT"/>
              </w:rPr>
              <w:t>N</w:t>
            </w:r>
            <w:r w:rsidRPr="00FB2B66">
              <w:rPr>
                <w:rFonts w:cs="Arial"/>
                <w:color w:val="000000"/>
                <w:sz w:val="20"/>
                <w:lang w:eastAsia="de-AT"/>
              </w:rPr>
              <w:t xml:space="preserve"> __         </w:t>
            </w:r>
            <w:r w:rsidRPr="00FB2B66">
              <w:rPr>
                <w:rFonts w:cs="Arial"/>
                <w:b/>
                <w:sz w:val="20"/>
              </w:rPr>
              <w:t>y__</w:t>
            </w:r>
            <w:r w:rsidRPr="00FB2B66">
              <w:rPr>
                <w:rFonts w:cs="Arial"/>
                <w:b/>
                <w:color w:val="000000"/>
                <w:sz w:val="20"/>
                <w:lang w:eastAsia="de-AT"/>
              </w:rPr>
              <w:t xml:space="preserve">M </w:t>
            </w:r>
            <w:r w:rsidRPr="00FB2B66">
              <w:rPr>
                <w:rFonts w:cs="Arial"/>
                <w:color w:val="000000"/>
                <w:sz w:val="20"/>
                <w:lang w:eastAsia="de-AT"/>
              </w:rPr>
              <w:t>__</w:t>
            </w:r>
          </w:p>
        </w:tc>
        <w:tc>
          <w:tcPr>
            <w:tcW w:w="992" w:type="dxa"/>
            <w:shd w:val="clear" w:color="auto" w:fill="D9D9D9"/>
          </w:tcPr>
          <w:p w14:paraId="462E0FD5"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13713A9" w14:textId="77777777" w:rsidTr="004F0EE5">
        <w:tc>
          <w:tcPr>
            <w:tcW w:w="467" w:type="dxa"/>
            <w:shd w:val="clear" w:color="auto" w:fill="auto"/>
          </w:tcPr>
          <w:p w14:paraId="6CB983AB"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23FD203F"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Eingabe des Restagings in die Tumordatenbank</w:t>
            </w:r>
          </w:p>
        </w:tc>
        <w:tc>
          <w:tcPr>
            <w:tcW w:w="2551" w:type="dxa"/>
            <w:shd w:val="clear" w:color="auto" w:fill="auto"/>
          </w:tcPr>
          <w:p w14:paraId="40CAE4BB"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42B5BD97"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7B1ECAD0" w14:textId="77777777" w:rsidTr="004F0EE5">
        <w:tc>
          <w:tcPr>
            <w:tcW w:w="467" w:type="dxa"/>
            <w:shd w:val="clear" w:color="auto" w:fill="auto"/>
          </w:tcPr>
          <w:p w14:paraId="48FA1103"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C6B7908"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Tumorboardanforderung</w:t>
            </w:r>
          </w:p>
        </w:tc>
        <w:tc>
          <w:tcPr>
            <w:tcW w:w="2551" w:type="dxa"/>
            <w:shd w:val="clear" w:color="auto" w:fill="auto"/>
          </w:tcPr>
          <w:p w14:paraId="020EF2B0"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1281080E" w14:textId="77777777" w:rsidR="004F0EE5" w:rsidRPr="00FB2B66" w:rsidRDefault="004F0EE5" w:rsidP="004F0EE5">
            <w:pPr>
              <w:spacing w:before="60" w:after="60" w:line="240" w:lineRule="auto"/>
              <w:rPr>
                <w:rFonts w:cs="Arial"/>
                <w:color w:val="000000"/>
                <w:szCs w:val="22"/>
                <w:lang w:eastAsia="de-AT"/>
              </w:rPr>
            </w:pPr>
          </w:p>
        </w:tc>
      </w:tr>
    </w:tbl>
    <w:p w14:paraId="67579A93"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26D1F3E9"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F870ACF"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AB686E2"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27616438"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E4E8332"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050C009D"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38804CA5"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2D0925F7"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3024E45"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1A81893B"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767A5FF1"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4FBF93A4"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038FD46C"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3FD4DE8B"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646A53E2"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5E20F9B0" w14:textId="77777777" w:rsidR="004F0EE5" w:rsidRPr="004F0EE5" w:rsidRDefault="004F0EE5" w:rsidP="006C0CAD">
      <w:pPr>
        <w:pStyle w:val="berschrift2"/>
      </w:pPr>
      <w:bookmarkStart w:id="12" w:name="_Toc93523273"/>
      <w:r>
        <w:lastRenderedPageBreak/>
        <w:t>2.</w:t>
      </w:r>
      <w:r w:rsidR="00C5792C">
        <w:t>6</w:t>
      </w:r>
      <w:r>
        <w:tab/>
      </w:r>
      <w:r w:rsidRPr="00FB2B66">
        <w:t>V.a. oder gesichertes</w:t>
      </w:r>
      <w:r w:rsidR="006C0CAD">
        <w:t xml:space="preserve"> Rezidiv CRC nach Abschluss der                            </w:t>
      </w:r>
      <w:r>
        <w:t xml:space="preserve"> </w:t>
      </w:r>
      <w:r w:rsidRPr="00FB2B66">
        <w:t>neo-/adjuvanten Therapie</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3185"/>
        <w:gridCol w:w="1985"/>
        <w:gridCol w:w="2551"/>
        <w:gridCol w:w="992"/>
      </w:tblGrid>
      <w:tr w:rsidR="004F0EE5" w:rsidRPr="00FB2B66" w14:paraId="54ECA3B8" w14:textId="77777777" w:rsidTr="004F0EE5">
        <w:tc>
          <w:tcPr>
            <w:tcW w:w="467" w:type="dxa"/>
            <w:shd w:val="clear" w:color="auto" w:fill="92D050"/>
          </w:tcPr>
          <w:p w14:paraId="3217C70E" w14:textId="77777777" w:rsidR="004F0EE5" w:rsidRPr="00FB2B66" w:rsidRDefault="004F0EE5" w:rsidP="004F0EE5">
            <w:pPr>
              <w:spacing w:before="60" w:after="60" w:line="240" w:lineRule="auto"/>
              <w:rPr>
                <w:rFonts w:cs="Arial"/>
                <w:b/>
                <w:szCs w:val="22"/>
                <w:lang w:eastAsia="de-AT"/>
              </w:rPr>
            </w:pPr>
          </w:p>
        </w:tc>
        <w:tc>
          <w:tcPr>
            <w:tcW w:w="5170" w:type="dxa"/>
            <w:gridSpan w:val="2"/>
            <w:shd w:val="clear" w:color="auto" w:fill="92D050"/>
          </w:tcPr>
          <w:p w14:paraId="553C3010" w14:textId="77777777" w:rsidR="004F0EE5" w:rsidRPr="00FB2B66" w:rsidRDefault="004F0EE5" w:rsidP="004F0EE5">
            <w:pPr>
              <w:spacing w:before="60" w:after="60" w:line="240" w:lineRule="auto"/>
              <w:rPr>
                <w:rFonts w:cs="Arial"/>
                <w:b/>
                <w:szCs w:val="22"/>
                <w:lang w:eastAsia="de-AT"/>
              </w:rPr>
            </w:pPr>
            <w:r w:rsidRPr="004F0EE5">
              <w:rPr>
                <w:rFonts w:cs="Arial"/>
                <w:b/>
                <w:szCs w:val="22"/>
                <w:lang w:eastAsia="de-AT"/>
              </w:rPr>
              <w:t>Checkliste V.a. oder gesichertes Rezidiv CRC nach Abschluss der neo-/adjuvanten Therapie</w:t>
            </w:r>
          </w:p>
        </w:tc>
        <w:tc>
          <w:tcPr>
            <w:tcW w:w="2551" w:type="dxa"/>
            <w:shd w:val="clear" w:color="auto" w:fill="92D050"/>
          </w:tcPr>
          <w:p w14:paraId="010CB6B3"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Befund erhoben</w:t>
            </w:r>
          </w:p>
        </w:tc>
        <w:tc>
          <w:tcPr>
            <w:tcW w:w="992" w:type="dxa"/>
            <w:tcBorders>
              <w:bottom w:val="single" w:sz="4" w:space="0" w:color="auto"/>
            </w:tcBorders>
            <w:shd w:val="clear" w:color="auto" w:fill="92D050"/>
          </w:tcPr>
          <w:p w14:paraId="5FC99F2E" w14:textId="77777777" w:rsidR="004F0EE5" w:rsidRPr="00FB2B66" w:rsidRDefault="004F0EE5" w:rsidP="004F0EE5">
            <w:pPr>
              <w:spacing w:before="60" w:after="60" w:line="240" w:lineRule="auto"/>
              <w:rPr>
                <w:rFonts w:cs="Arial"/>
                <w:b/>
                <w:szCs w:val="22"/>
                <w:lang w:eastAsia="de-AT"/>
              </w:rPr>
            </w:pPr>
            <w:r w:rsidRPr="00FB2B66">
              <w:rPr>
                <w:rFonts w:cs="Arial"/>
                <w:b/>
                <w:szCs w:val="22"/>
                <w:lang w:eastAsia="de-AT"/>
              </w:rPr>
              <w:t>Hz</w:t>
            </w:r>
          </w:p>
        </w:tc>
      </w:tr>
      <w:tr w:rsidR="004F0EE5" w:rsidRPr="00FB2B66" w14:paraId="72943547" w14:textId="77777777" w:rsidTr="004F0EE5">
        <w:tc>
          <w:tcPr>
            <w:tcW w:w="467" w:type="dxa"/>
            <w:shd w:val="clear" w:color="auto" w:fill="auto"/>
          </w:tcPr>
          <w:p w14:paraId="1551A064"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782C7EF"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Anamnese (inkl. Komorbiditäten) und Status</w:t>
            </w:r>
          </w:p>
        </w:tc>
        <w:tc>
          <w:tcPr>
            <w:tcW w:w="2551" w:type="dxa"/>
            <w:tcBorders>
              <w:bottom w:val="single" w:sz="4" w:space="0" w:color="auto"/>
            </w:tcBorders>
            <w:shd w:val="clear" w:color="auto" w:fill="auto"/>
          </w:tcPr>
          <w:p w14:paraId="6F3D1116"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14C55D2D"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0038217C" w14:textId="77777777" w:rsidTr="004F0EE5">
        <w:tc>
          <w:tcPr>
            <w:tcW w:w="467" w:type="dxa"/>
            <w:shd w:val="clear" w:color="auto" w:fill="auto"/>
          </w:tcPr>
          <w:p w14:paraId="3ACCCBE5"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DB6E7A2"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Familienanamnese </w:t>
            </w:r>
          </w:p>
          <w:p w14:paraId="4CE10AB7"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8"/>
                <w:szCs w:val="22"/>
                <w:lang w:eastAsia="de-AT"/>
              </w:rPr>
              <w:t>(Stammbaum; Risc Assessment)</w:t>
            </w:r>
          </w:p>
        </w:tc>
        <w:tc>
          <w:tcPr>
            <w:tcW w:w="2551" w:type="dxa"/>
            <w:shd w:val="clear" w:color="auto" w:fill="auto"/>
          </w:tcPr>
          <w:p w14:paraId="7064F8A7" w14:textId="77777777" w:rsidR="004F0EE5" w:rsidRPr="00FB2B66" w:rsidRDefault="004F0EE5" w:rsidP="004F0EE5">
            <w:pPr>
              <w:spacing w:line="240" w:lineRule="auto"/>
              <w:jc w:val="left"/>
              <w:rPr>
                <w:rFonts w:cs="Arial"/>
                <w:color w:val="000000"/>
                <w:szCs w:val="22"/>
                <w:lang w:eastAsia="de-AT"/>
              </w:rPr>
            </w:pPr>
            <w:r w:rsidRPr="00FB2B66">
              <w:rPr>
                <w:rFonts w:cs="Arial"/>
                <w:color w:val="000000"/>
                <w:szCs w:val="22"/>
                <w:lang w:eastAsia="de-AT"/>
              </w:rPr>
              <w:t>bereits früher erfolgt</w:t>
            </w:r>
            <w:r w:rsidRPr="00FB2B66">
              <w:rPr>
                <w:rFonts w:cs="Arial"/>
                <w:color w:val="000000"/>
                <w:szCs w:val="22"/>
                <w:lang w:eastAsia="de-AT"/>
              </w:rPr>
              <w:tab/>
            </w:r>
            <w:r w:rsidRPr="00FB2B66">
              <w:rPr>
                <w:rFonts w:ascii="Wingdings" w:hAnsi="Wingdings" w:cs="Arial"/>
                <w:color w:val="000000"/>
                <w:szCs w:val="22"/>
                <w:lang w:eastAsia="de-AT"/>
              </w:rPr>
              <w:t></w:t>
            </w:r>
          </w:p>
          <w:p w14:paraId="6CA40744"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offen</w:t>
            </w:r>
            <w:r w:rsidRPr="00FB2B66">
              <w:rPr>
                <w:rFonts w:cs="Arial"/>
                <w:color w:val="000000"/>
                <w:szCs w:val="22"/>
                <w:lang w:eastAsia="de-AT"/>
              </w:rPr>
              <w:tab/>
            </w:r>
            <w:r w:rsidRPr="00FB2B66">
              <w:rPr>
                <w:rFonts w:ascii="Wingdings" w:hAnsi="Wingdings" w:cs="Arial"/>
                <w:color w:val="000000"/>
                <w:szCs w:val="22"/>
                <w:lang w:eastAsia="de-AT"/>
              </w:rPr>
              <w:t></w:t>
            </w:r>
          </w:p>
        </w:tc>
        <w:tc>
          <w:tcPr>
            <w:tcW w:w="992" w:type="dxa"/>
            <w:shd w:val="clear" w:color="auto" w:fill="auto"/>
          </w:tcPr>
          <w:p w14:paraId="6BB7AB6B"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17BD08FF" w14:textId="77777777" w:rsidTr="004F0EE5">
        <w:trPr>
          <w:trHeight w:val="1578"/>
        </w:trPr>
        <w:tc>
          <w:tcPr>
            <w:tcW w:w="467" w:type="dxa"/>
            <w:shd w:val="clear" w:color="auto" w:fill="auto"/>
          </w:tcPr>
          <w:p w14:paraId="04693E09"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auto"/>
          </w:tcPr>
          <w:p w14:paraId="547D8449" w14:textId="77777777" w:rsidR="004F0EE5" w:rsidRPr="00FB2B66" w:rsidRDefault="004F0EE5" w:rsidP="004F0EE5">
            <w:pPr>
              <w:spacing w:before="60" w:after="60" w:line="240" w:lineRule="auto"/>
              <w:jc w:val="left"/>
              <w:rPr>
                <w:rFonts w:cs="Arial"/>
                <w:color w:val="000000"/>
                <w:szCs w:val="22"/>
                <w:lang w:eastAsia="de-AT"/>
              </w:rPr>
            </w:pPr>
            <w:r w:rsidRPr="00FB2B66">
              <w:rPr>
                <w:rFonts w:ascii="Calibri" w:hAnsi="Calibri" w:cs="Calibri"/>
                <w:b/>
                <w:sz w:val="16"/>
                <w:szCs w:val="16"/>
                <w:lang w:eastAsia="de-AT"/>
              </w:rPr>
              <w:t xml:space="preserve"> </w:t>
            </w:r>
            <w:r w:rsidRPr="00FB2B66">
              <w:rPr>
                <w:rFonts w:cs="Arial"/>
                <w:color w:val="000000"/>
                <w:szCs w:val="22"/>
                <w:lang w:eastAsia="de-AT"/>
              </w:rPr>
              <w:t>WHO/ECOG Performance</w:t>
            </w:r>
          </w:p>
        </w:tc>
        <w:tc>
          <w:tcPr>
            <w:tcW w:w="4536" w:type="dxa"/>
            <w:gridSpan w:val="2"/>
            <w:shd w:val="clear" w:color="auto" w:fill="auto"/>
          </w:tcPr>
          <w:p w14:paraId="6E48C263"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(0) volle Aktivität, normales Leben möglich</w:t>
            </w:r>
          </w:p>
          <w:p w14:paraId="7856502A"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(1) eingeschränkte Aktivität, leichte Arbeit möglich</w:t>
            </w:r>
          </w:p>
          <w:p w14:paraId="224E535F"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(2) Selbstversorgung möglich, nicht arbeitsfähig, nicht </w:t>
            </w:r>
          </w:p>
          <w:p w14:paraId="31E11D95"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bettlägerig, muss &lt; 50% der Tageszeit ruhen</w:t>
            </w:r>
          </w:p>
          <w:p w14:paraId="2438AE34"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 xml:space="preserve">(3) Selbstversorgung sehr eingeschränkt, &gt; 50% der </w:t>
            </w:r>
          </w:p>
          <w:p w14:paraId="2D7FC8E6" w14:textId="77777777" w:rsidR="004F0EE5" w:rsidRPr="00FB2B66" w:rsidRDefault="004F0EE5" w:rsidP="004F0EE5">
            <w:pPr>
              <w:spacing w:line="240" w:lineRule="auto"/>
              <w:jc w:val="left"/>
              <w:rPr>
                <w:rFonts w:cs="Arial"/>
                <w:sz w:val="16"/>
                <w:szCs w:val="16"/>
                <w:lang w:val="de-DE"/>
              </w:rPr>
            </w:pPr>
            <w:r w:rsidRPr="00FB2B66">
              <w:rPr>
                <w:rFonts w:cs="Arial"/>
                <w:sz w:val="16"/>
                <w:szCs w:val="16"/>
                <w:lang w:val="de-DE"/>
              </w:rPr>
              <w:t xml:space="preserve">           Tageszeit ruhebedürftig, Pflege/Hilfe notwendig</w:t>
            </w:r>
          </w:p>
          <w:p w14:paraId="1A4AE863" w14:textId="77777777" w:rsidR="004F0EE5" w:rsidRPr="00FB2B66" w:rsidRDefault="004F0EE5" w:rsidP="004F0EE5">
            <w:pPr>
              <w:spacing w:line="240" w:lineRule="auto"/>
              <w:jc w:val="left"/>
              <w:rPr>
                <w:rFonts w:cs="Arial"/>
                <w:sz w:val="16"/>
                <w:szCs w:val="16"/>
                <w:lang w:val="de-DE"/>
              </w:rPr>
            </w:pPr>
            <w:r w:rsidRPr="00FB2B66">
              <w:rPr>
                <w:rFonts w:cs="Arial"/>
                <w:b/>
                <w:sz w:val="24"/>
                <w:szCs w:val="16"/>
                <w:lang w:val="de-DE"/>
              </w:rPr>
              <w:t xml:space="preserve"> </w:t>
            </w:r>
            <w:r w:rsidRPr="00FB2B66">
              <w:rPr>
                <w:rFonts w:cs="Arial"/>
                <w:sz w:val="16"/>
                <w:szCs w:val="16"/>
                <w:lang w:val="de-DE"/>
              </w:rPr>
              <w:t>(4) bettlägerig und völlig pflegebedürftig</w:t>
            </w:r>
            <w:r w:rsidRPr="00FB2B66">
              <w:rPr>
                <w:rFonts w:cs="Arial"/>
                <w:sz w:val="14"/>
                <w:szCs w:val="16"/>
                <w:lang w:val="de-DE"/>
              </w:rPr>
              <w:tab/>
            </w:r>
          </w:p>
        </w:tc>
        <w:tc>
          <w:tcPr>
            <w:tcW w:w="992" w:type="dxa"/>
            <w:shd w:val="clear" w:color="auto" w:fill="auto"/>
          </w:tcPr>
          <w:p w14:paraId="46C1E6B8"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75A67825" w14:textId="77777777" w:rsidTr="004F0EE5">
        <w:tc>
          <w:tcPr>
            <w:tcW w:w="467" w:type="dxa"/>
            <w:shd w:val="clear" w:color="auto" w:fill="auto"/>
          </w:tcPr>
          <w:p w14:paraId="4A0EE48B"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8629465"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Ernährungsassessment (bei Gewichtsabnahme &gt;5% Vorstellung Ernährungsberatung)</w:t>
            </w:r>
          </w:p>
        </w:tc>
        <w:tc>
          <w:tcPr>
            <w:tcW w:w="2551" w:type="dxa"/>
            <w:tcBorders>
              <w:bottom w:val="single" w:sz="4" w:space="0" w:color="auto"/>
            </w:tcBorders>
            <w:shd w:val="clear" w:color="auto" w:fill="auto"/>
          </w:tcPr>
          <w:p w14:paraId="38E3AFBF"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11DA100D"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2455B2C" w14:textId="77777777" w:rsidTr="004F0EE5">
        <w:tc>
          <w:tcPr>
            <w:tcW w:w="467" w:type="dxa"/>
            <w:shd w:val="clear" w:color="auto" w:fill="auto"/>
          </w:tcPr>
          <w:p w14:paraId="0E5C10D7"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CFEC312"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Geriatrische</w:t>
            </w:r>
            <w:r w:rsidR="008879AD">
              <w:rPr>
                <w:rFonts w:cs="Arial"/>
                <w:color w:val="000000"/>
                <w:szCs w:val="22"/>
                <w:lang w:eastAsia="de-AT"/>
              </w:rPr>
              <w:t>s</w:t>
            </w:r>
            <w:r w:rsidRPr="00FB2B66">
              <w:rPr>
                <w:rFonts w:cs="Arial"/>
                <w:color w:val="000000"/>
                <w:szCs w:val="22"/>
                <w:lang w:eastAsia="de-AT"/>
              </w:rPr>
              <w:t xml:space="preserve"> Assessment bei Alter &gt; 70 </w:t>
            </w:r>
          </w:p>
          <w:p w14:paraId="548E87DE"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 w:val="16"/>
                <w:szCs w:val="22"/>
                <w:lang w:eastAsia="de-AT"/>
              </w:rPr>
              <w:t>(entsprechend der lokalen Vorgehensweise)</w:t>
            </w:r>
          </w:p>
        </w:tc>
        <w:tc>
          <w:tcPr>
            <w:tcW w:w="2551" w:type="dxa"/>
            <w:shd w:val="clear" w:color="auto" w:fill="auto"/>
          </w:tcPr>
          <w:p w14:paraId="7AFF3313"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2B576188"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0ACF23A2" w14:textId="77777777" w:rsidTr="004F0EE5">
        <w:tc>
          <w:tcPr>
            <w:tcW w:w="467" w:type="dxa"/>
            <w:shd w:val="clear" w:color="auto" w:fill="auto"/>
          </w:tcPr>
          <w:p w14:paraId="49C78CBD"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076EFBC4"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Psychoonkologische Bedarfserhebung</w:t>
            </w:r>
          </w:p>
        </w:tc>
        <w:tc>
          <w:tcPr>
            <w:tcW w:w="2551" w:type="dxa"/>
            <w:shd w:val="clear" w:color="auto" w:fill="auto"/>
          </w:tcPr>
          <w:p w14:paraId="47BD3E28"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420667F6"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10DD632B" w14:textId="77777777" w:rsidTr="004F0EE5">
        <w:tc>
          <w:tcPr>
            <w:tcW w:w="467" w:type="dxa"/>
            <w:shd w:val="clear" w:color="auto" w:fill="auto"/>
          </w:tcPr>
          <w:p w14:paraId="4796BA78"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7C7C6568"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Labor </w:t>
            </w:r>
            <w:r w:rsidRPr="00FB2B66">
              <w:rPr>
                <w:rFonts w:cs="Arial"/>
                <w:color w:val="000000"/>
                <w:sz w:val="18"/>
                <w:szCs w:val="18"/>
                <w:lang w:eastAsia="de-AT"/>
              </w:rPr>
              <w:t>( inkl. CEA, Eisenstatus)</w:t>
            </w:r>
          </w:p>
        </w:tc>
        <w:tc>
          <w:tcPr>
            <w:tcW w:w="2551" w:type="dxa"/>
            <w:shd w:val="clear" w:color="auto" w:fill="auto"/>
          </w:tcPr>
          <w:p w14:paraId="4B4B427D"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21428B0E"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7F6CFCD8" w14:textId="77777777" w:rsidTr="004F0EE5">
        <w:tc>
          <w:tcPr>
            <w:tcW w:w="467" w:type="dxa"/>
            <w:shd w:val="clear" w:color="auto" w:fill="auto"/>
          </w:tcPr>
          <w:p w14:paraId="18321C40"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5727C7F"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CT (Thorax, Abdomen, Becken) </w:t>
            </w:r>
          </w:p>
        </w:tc>
        <w:tc>
          <w:tcPr>
            <w:tcW w:w="2551" w:type="dxa"/>
            <w:shd w:val="clear" w:color="auto" w:fill="auto"/>
          </w:tcPr>
          <w:p w14:paraId="241EE549"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504EF07E"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FCF7DE8" w14:textId="77777777" w:rsidTr="004F0EE5">
        <w:tc>
          <w:tcPr>
            <w:tcW w:w="467" w:type="dxa"/>
            <w:shd w:val="clear" w:color="auto" w:fill="auto"/>
          </w:tcPr>
          <w:p w14:paraId="132CD9F7"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AB296FF"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Leberspezifisches MRT bei unklarem CT</w:t>
            </w:r>
          </w:p>
        </w:tc>
        <w:tc>
          <w:tcPr>
            <w:tcW w:w="2551" w:type="dxa"/>
            <w:shd w:val="clear" w:color="auto" w:fill="auto"/>
          </w:tcPr>
          <w:p w14:paraId="70578C4D"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69AE53BE"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24B62F8D" w14:textId="77777777" w:rsidTr="004F0EE5">
        <w:tc>
          <w:tcPr>
            <w:tcW w:w="467" w:type="dxa"/>
            <w:shd w:val="clear" w:color="auto" w:fill="auto"/>
          </w:tcPr>
          <w:p w14:paraId="361E1DF9"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3C70BA7D" w14:textId="77777777" w:rsidR="004F0EE5" w:rsidRPr="00FB2B66" w:rsidRDefault="004F0EE5" w:rsidP="004F0EE5">
            <w:pPr>
              <w:spacing w:before="60" w:after="60" w:line="240" w:lineRule="auto"/>
              <w:jc w:val="left"/>
              <w:rPr>
                <w:rFonts w:cs="Arial"/>
                <w:color w:val="000000"/>
                <w:sz w:val="16"/>
                <w:szCs w:val="22"/>
                <w:lang w:eastAsia="de-AT"/>
              </w:rPr>
            </w:pPr>
            <w:r w:rsidRPr="00FB2B66">
              <w:rPr>
                <w:rFonts w:cs="Arial"/>
                <w:color w:val="000000"/>
                <w:szCs w:val="22"/>
                <w:lang w:eastAsia="de-AT"/>
              </w:rPr>
              <w:t>MRT Becken</w:t>
            </w:r>
            <w:r w:rsidRPr="00FB2B66">
              <w:rPr>
                <w:rFonts w:cs="Arial"/>
                <w:color w:val="000000"/>
                <w:sz w:val="16"/>
                <w:szCs w:val="22"/>
                <w:lang w:eastAsia="de-AT"/>
              </w:rPr>
              <w:t xml:space="preserve"> (bei Z.n. Rektum-Ca)</w:t>
            </w:r>
          </w:p>
        </w:tc>
        <w:tc>
          <w:tcPr>
            <w:tcW w:w="2551" w:type="dxa"/>
            <w:shd w:val="clear" w:color="auto" w:fill="auto"/>
          </w:tcPr>
          <w:p w14:paraId="4BAF2FDE"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1ACC250D"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2E2380A2" w14:textId="77777777" w:rsidTr="004F0EE5">
        <w:tc>
          <w:tcPr>
            <w:tcW w:w="467" w:type="dxa"/>
            <w:shd w:val="clear" w:color="auto" w:fill="auto"/>
          </w:tcPr>
          <w:p w14:paraId="7C4B072A"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55ED961" w14:textId="77777777" w:rsidR="004F0EE5" w:rsidRPr="00FB2B66" w:rsidRDefault="004F0EE5" w:rsidP="004F0EE5">
            <w:pPr>
              <w:spacing w:line="240" w:lineRule="auto"/>
              <w:jc w:val="left"/>
              <w:rPr>
                <w:rFonts w:cs="Arial"/>
                <w:color w:val="000000"/>
                <w:szCs w:val="22"/>
                <w:lang w:eastAsia="de-AT"/>
              </w:rPr>
            </w:pPr>
            <w:r w:rsidRPr="00FB2B66">
              <w:rPr>
                <w:rFonts w:cs="Arial"/>
                <w:color w:val="000000"/>
                <w:szCs w:val="22"/>
                <w:lang w:eastAsia="de-AT"/>
              </w:rPr>
              <w:t>Endoskopie + Biopsie</w:t>
            </w:r>
          </w:p>
          <w:p w14:paraId="02C659A6" w14:textId="77777777" w:rsidR="004F0EE5" w:rsidRPr="00FB2B66" w:rsidRDefault="004F0EE5" w:rsidP="004F0EE5">
            <w:pPr>
              <w:spacing w:before="60" w:after="60" w:line="240" w:lineRule="auto"/>
              <w:jc w:val="left"/>
              <w:rPr>
                <w:rFonts w:cs="Arial"/>
                <w:sz w:val="18"/>
                <w:szCs w:val="22"/>
                <w:lang w:eastAsia="de-AT"/>
              </w:rPr>
            </w:pPr>
            <w:r w:rsidRPr="00FB2B66">
              <w:rPr>
                <w:rFonts w:cs="Arial"/>
                <w:color w:val="000000"/>
                <w:sz w:val="18"/>
                <w:szCs w:val="22"/>
                <w:lang w:eastAsia="de-AT"/>
              </w:rPr>
              <w:t xml:space="preserve">(falls Letztuntersuchung länger als 1 Jahr zurückliegt: </w:t>
            </w:r>
            <w:r w:rsidRPr="00FB2B66">
              <w:rPr>
                <w:rFonts w:cs="Arial"/>
                <w:sz w:val="18"/>
                <w:szCs w:val="22"/>
                <w:lang w:eastAsia="de-AT"/>
              </w:rPr>
              <w:t xml:space="preserve">Colonoskopie </w:t>
            </w:r>
            <w:r w:rsidRPr="00FB2B66">
              <w:rPr>
                <w:rFonts w:cs="Arial"/>
                <w:sz w:val="18"/>
                <w:szCs w:val="22"/>
                <w:u w:val="single"/>
                <w:lang w:eastAsia="de-AT"/>
              </w:rPr>
              <w:t>komplett</w:t>
            </w:r>
            <w:r w:rsidRPr="00FB2B66">
              <w:rPr>
                <w:rFonts w:cs="Arial"/>
                <w:sz w:val="18"/>
                <w:szCs w:val="22"/>
                <w:lang w:eastAsia="de-AT"/>
              </w:rPr>
              <w:t xml:space="preserve"> bis Ileozökalklappe, bei inkompletter</w:t>
            </w:r>
          </w:p>
          <w:p w14:paraId="0E69EF01" w14:textId="77777777" w:rsidR="004F0EE5" w:rsidRPr="00FB2B66" w:rsidRDefault="004F0EE5" w:rsidP="004F0EE5">
            <w:pPr>
              <w:spacing w:line="240" w:lineRule="auto"/>
              <w:jc w:val="left"/>
              <w:rPr>
                <w:rFonts w:cs="Arial"/>
                <w:color w:val="000000"/>
                <w:szCs w:val="22"/>
                <w:lang w:eastAsia="de-AT"/>
              </w:rPr>
            </w:pPr>
            <w:r w:rsidRPr="00FB2B66">
              <w:rPr>
                <w:rFonts w:cs="Arial"/>
                <w:sz w:val="18"/>
                <w:szCs w:val="22"/>
                <w:lang w:eastAsia="de-AT"/>
              </w:rPr>
              <w:t>Coloskopie CT-Kolonographie)</w:t>
            </w:r>
          </w:p>
        </w:tc>
        <w:tc>
          <w:tcPr>
            <w:tcW w:w="2551" w:type="dxa"/>
            <w:shd w:val="clear" w:color="auto" w:fill="auto"/>
          </w:tcPr>
          <w:p w14:paraId="1102A799"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2DE465D6"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0097DAD9" w14:textId="77777777" w:rsidTr="004F0EE5">
        <w:tc>
          <w:tcPr>
            <w:tcW w:w="467" w:type="dxa"/>
            <w:shd w:val="clear" w:color="auto" w:fill="D9D9D9"/>
          </w:tcPr>
          <w:p w14:paraId="230AA20B"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D9D9D9"/>
          </w:tcPr>
          <w:p w14:paraId="69F735A4"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 xml:space="preserve">Gewebebiopsie inkl. </w:t>
            </w:r>
            <w:r w:rsidRPr="00FB2B66">
              <w:rPr>
                <w:rFonts w:cs="Arial"/>
                <w:szCs w:val="22"/>
                <w:lang w:eastAsia="de-AT"/>
              </w:rPr>
              <w:t>RAS</w:t>
            </w:r>
            <w:r w:rsidR="007C5CCC">
              <w:rPr>
                <w:rFonts w:cs="Arial"/>
                <w:szCs w:val="22"/>
                <w:lang w:eastAsia="de-AT"/>
              </w:rPr>
              <w:t>/BRAF</w:t>
            </w:r>
            <w:r w:rsidRPr="00FB2B66">
              <w:rPr>
                <w:rFonts w:cs="Arial"/>
                <w:szCs w:val="22"/>
                <w:lang w:eastAsia="de-AT"/>
              </w:rPr>
              <w:t xml:space="preserve"> - Status</w:t>
            </w:r>
          </w:p>
        </w:tc>
        <w:tc>
          <w:tcPr>
            <w:tcW w:w="2551" w:type="dxa"/>
            <w:shd w:val="clear" w:color="auto" w:fill="D9D9D9"/>
          </w:tcPr>
          <w:p w14:paraId="4BD1D6E1" w14:textId="77777777" w:rsidR="004F0EE5" w:rsidRPr="00FB2B66" w:rsidRDefault="004F0EE5" w:rsidP="004F0EE5">
            <w:pPr>
              <w:tabs>
                <w:tab w:val="left" w:pos="1289"/>
              </w:tabs>
              <w:spacing w:before="60" w:after="60" w:line="240" w:lineRule="auto"/>
              <w:rPr>
                <w:rFonts w:cs="Arial"/>
                <w:color w:val="000000"/>
                <w:szCs w:val="22"/>
                <w:lang w:eastAsia="de-AT"/>
              </w:rPr>
            </w:pPr>
          </w:p>
        </w:tc>
        <w:tc>
          <w:tcPr>
            <w:tcW w:w="992" w:type="dxa"/>
            <w:shd w:val="clear" w:color="auto" w:fill="D9D9D9"/>
          </w:tcPr>
          <w:p w14:paraId="4C2D4AB5"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5C9C8D14" w14:textId="77777777" w:rsidTr="004F0EE5">
        <w:tc>
          <w:tcPr>
            <w:tcW w:w="467" w:type="dxa"/>
            <w:shd w:val="clear" w:color="auto" w:fill="auto"/>
          </w:tcPr>
          <w:p w14:paraId="5CB3692F"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9D70C4F"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Bildgebung ZNS bei klinischem Verdacht</w:t>
            </w:r>
          </w:p>
        </w:tc>
        <w:tc>
          <w:tcPr>
            <w:tcW w:w="2551" w:type="dxa"/>
            <w:shd w:val="clear" w:color="auto" w:fill="auto"/>
          </w:tcPr>
          <w:p w14:paraId="7A002F01"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74182050" w14:textId="77777777" w:rsidR="004F0EE5" w:rsidRPr="00FB2B66" w:rsidRDefault="004F0EE5" w:rsidP="004F0EE5">
            <w:pPr>
              <w:spacing w:before="60" w:after="60" w:line="240" w:lineRule="auto"/>
              <w:rPr>
                <w:rFonts w:cs="Arial"/>
                <w:color w:val="000000"/>
                <w:szCs w:val="22"/>
                <w:lang w:eastAsia="de-AT"/>
              </w:rPr>
            </w:pPr>
          </w:p>
        </w:tc>
      </w:tr>
      <w:tr w:rsidR="007C5CCC" w:rsidRPr="00FB2B66" w14:paraId="12F4B478" w14:textId="77777777" w:rsidTr="00EC122B">
        <w:tc>
          <w:tcPr>
            <w:tcW w:w="467" w:type="dxa"/>
            <w:shd w:val="clear" w:color="auto" w:fill="auto"/>
          </w:tcPr>
          <w:p w14:paraId="7CDD2762" w14:textId="77777777" w:rsidR="007C5CCC" w:rsidRPr="00FB2B66" w:rsidRDefault="007C5CCC" w:rsidP="00EC122B">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4B3CC2C0" w14:textId="77777777" w:rsidR="007C5CCC" w:rsidRPr="00FB2B66" w:rsidRDefault="007C5CCC" w:rsidP="00EC122B">
            <w:pPr>
              <w:spacing w:before="60" w:after="60" w:line="240" w:lineRule="auto"/>
              <w:jc w:val="left"/>
              <w:rPr>
                <w:rFonts w:cs="Arial"/>
                <w:color w:val="000000"/>
                <w:szCs w:val="22"/>
                <w:lang w:eastAsia="de-AT"/>
              </w:rPr>
            </w:pPr>
            <w:r w:rsidRPr="0041373A">
              <w:rPr>
                <w:rFonts w:cs="Arial"/>
                <w:szCs w:val="22"/>
                <w:lang w:eastAsia="de-AT"/>
              </w:rPr>
              <w:t xml:space="preserve">Onko-PET-CT bei inkonklusiven anderen </w:t>
            </w:r>
            <w:r w:rsidRPr="0041373A">
              <w:rPr>
                <w:rFonts w:cs="Arial"/>
                <w:szCs w:val="22"/>
                <w:lang w:eastAsia="de-AT"/>
              </w:rPr>
              <w:br/>
              <w:t>bildgebenden Verfahren und therap. Konsequenz</w:t>
            </w:r>
          </w:p>
        </w:tc>
        <w:tc>
          <w:tcPr>
            <w:tcW w:w="2551" w:type="dxa"/>
            <w:shd w:val="clear" w:color="auto" w:fill="auto"/>
          </w:tcPr>
          <w:p w14:paraId="75082C2B" w14:textId="77777777" w:rsidR="007C5CCC" w:rsidRPr="00FB2B66" w:rsidRDefault="007C5CCC" w:rsidP="00EC122B">
            <w:pPr>
              <w:spacing w:before="60" w:after="60" w:line="240" w:lineRule="auto"/>
              <w:rPr>
                <w:rFonts w:cs="Arial"/>
                <w:color w:val="000000"/>
                <w:szCs w:val="22"/>
                <w:lang w:eastAsia="de-AT"/>
              </w:rPr>
            </w:pPr>
          </w:p>
        </w:tc>
        <w:tc>
          <w:tcPr>
            <w:tcW w:w="992" w:type="dxa"/>
            <w:shd w:val="clear" w:color="auto" w:fill="auto"/>
          </w:tcPr>
          <w:p w14:paraId="55936774" w14:textId="77777777" w:rsidR="007C5CCC" w:rsidRPr="00FB2B66" w:rsidRDefault="007C5CCC" w:rsidP="00EC122B">
            <w:pPr>
              <w:spacing w:before="60" w:after="60" w:line="240" w:lineRule="auto"/>
              <w:rPr>
                <w:rFonts w:cs="Arial"/>
                <w:color w:val="000000"/>
                <w:szCs w:val="22"/>
                <w:lang w:eastAsia="de-AT"/>
              </w:rPr>
            </w:pPr>
          </w:p>
        </w:tc>
      </w:tr>
      <w:tr w:rsidR="004F0EE5" w:rsidRPr="00FB2B66" w14:paraId="1C616290" w14:textId="77777777" w:rsidTr="004F0EE5">
        <w:tc>
          <w:tcPr>
            <w:tcW w:w="467" w:type="dxa"/>
            <w:shd w:val="clear" w:color="auto" w:fill="D9D9D9"/>
          </w:tcPr>
          <w:p w14:paraId="50BC2593"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3185" w:type="dxa"/>
            <w:shd w:val="clear" w:color="auto" w:fill="D9D9D9"/>
          </w:tcPr>
          <w:p w14:paraId="5CFA6B44"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Festlegung des klin./patholog. TNM Stagings</w:t>
            </w:r>
          </w:p>
        </w:tc>
        <w:tc>
          <w:tcPr>
            <w:tcW w:w="4536" w:type="dxa"/>
            <w:gridSpan w:val="2"/>
            <w:shd w:val="clear" w:color="auto" w:fill="D9D9D9"/>
          </w:tcPr>
          <w:p w14:paraId="0DF1FB01" w14:textId="77777777" w:rsidR="004F0EE5" w:rsidRPr="00FB2B66" w:rsidRDefault="004F0EE5" w:rsidP="004F0EE5">
            <w:pPr>
              <w:spacing w:before="60" w:after="60" w:line="240" w:lineRule="auto"/>
              <w:jc w:val="left"/>
              <w:rPr>
                <w:rFonts w:cs="Arial"/>
                <w:color w:val="000000"/>
                <w:sz w:val="20"/>
                <w:lang w:eastAsia="de-AT"/>
              </w:rPr>
            </w:pPr>
            <w:r w:rsidRPr="00FB2B66">
              <w:rPr>
                <w:rFonts w:cs="Arial"/>
                <w:color w:val="000000"/>
                <w:sz w:val="20"/>
                <w:lang w:eastAsia="de-AT"/>
              </w:rPr>
              <w:t>T__    _N __    M__</w:t>
            </w:r>
          </w:p>
          <w:p w14:paraId="17370D0A" w14:textId="77777777" w:rsidR="004F0EE5" w:rsidRPr="00FB2B66" w:rsidRDefault="004F0EE5" w:rsidP="004F0EE5">
            <w:pPr>
              <w:spacing w:before="60" w:after="60" w:line="240" w:lineRule="auto"/>
              <w:jc w:val="left"/>
              <w:rPr>
                <w:rFonts w:cs="Arial"/>
                <w:color w:val="000000"/>
                <w:sz w:val="20"/>
                <w:lang w:eastAsia="de-AT"/>
              </w:rPr>
            </w:pPr>
            <w:r w:rsidRPr="00FB2B66">
              <w:rPr>
                <w:rFonts w:cs="Arial"/>
                <w:color w:val="000000"/>
                <w:sz w:val="20"/>
                <w:lang w:eastAsia="de-AT"/>
              </w:rPr>
              <w:t xml:space="preserve">Sphinkterinfiltration (Lokalrezidiv)   </w:t>
            </w:r>
            <w:r w:rsidRPr="00FB2B66">
              <w:rPr>
                <w:rFonts w:cs="Arial"/>
                <w:b/>
                <w:sz w:val="20"/>
                <w:lang w:val="de-DE"/>
              </w:rPr>
              <w:t></w:t>
            </w:r>
            <w:r w:rsidRPr="00FB2B66">
              <w:rPr>
                <w:rFonts w:cs="Arial"/>
                <w:sz w:val="20"/>
                <w:lang w:val="de-DE"/>
              </w:rPr>
              <w:t xml:space="preserve"> ja </w:t>
            </w:r>
            <w:r w:rsidRPr="00FB2B66">
              <w:rPr>
                <w:rFonts w:cs="Arial"/>
                <w:b/>
                <w:sz w:val="20"/>
                <w:lang w:val="de-DE"/>
              </w:rPr>
              <w:t></w:t>
            </w:r>
            <w:r w:rsidRPr="00FB2B66">
              <w:rPr>
                <w:rFonts w:cs="Arial"/>
                <w:sz w:val="20"/>
                <w:lang w:val="de-DE"/>
              </w:rPr>
              <w:t xml:space="preserve"> nein</w:t>
            </w:r>
          </w:p>
        </w:tc>
        <w:tc>
          <w:tcPr>
            <w:tcW w:w="992" w:type="dxa"/>
            <w:shd w:val="clear" w:color="auto" w:fill="D9D9D9"/>
          </w:tcPr>
          <w:p w14:paraId="35FBEA89"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031C13BE" w14:textId="77777777" w:rsidTr="004F0EE5">
        <w:tc>
          <w:tcPr>
            <w:tcW w:w="467" w:type="dxa"/>
            <w:shd w:val="clear" w:color="auto" w:fill="auto"/>
          </w:tcPr>
          <w:p w14:paraId="5F0EEB27"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5A6023E3"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Eingabe in Tumordatenbank</w:t>
            </w:r>
          </w:p>
        </w:tc>
        <w:tc>
          <w:tcPr>
            <w:tcW w:w="2551" w:type="dxa"/>
            <w:shd w:val="clear" w:color="auto" w:fill="auto"/>
          </w:tcPr>
          <w:p w14:paraId="354DAACF"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7F9E9DE3" w14:textId="77777777" w:rsidR="004F0EE5" w:rsidRPr="00FB2B66" w:rsidRDefault="004F0EE5" w:rsidP="004F0EE5">
            <w:pPr>
              <w:spacing w:before="60" w:after="60" w:line="240" w:lineRule="auto"/>
              <w:rPr>
                <w:rFonts w:cs="Arial"/>
                <w:color w:val="000000"/>
                <w:szCs w:val="22"/>
                <w:lang w:eastAsia="de-AT"/>
              </w:rPr>
            </w:pPr>
          </w:p>
        </w:tc>
      </w:tr>
      <w:tr w:rsidR="004F0EE5" w:rsidRPr="00FB2B66" w14:paraId="3464582B" w14:textId="77777777" w:rsidTr="004F0EE5">
        <w:tc>
          <w:tcPr>
            <w:tcW w:w="467" w:type="dxa"/>
            <w:shd w:val="clear" w:color="auto" w:fill="auto"/>
          </w:tcPr>
          <w:p w14:paraId="672E0051" w14:textId="77777777" w:rsidR="004F0EE5" w:rsidRPr="00FB2B66" w:rsidRDefault="004F0EE5" w:rsidP="004F0EE5">
            <w:pPr>
              <w:spacing w:before="60" w:after="60" w:line="240" w:lineRule="auto"/>
              <w:rPr>
                <w:rFonts w:ascii="Wingdings" w:hAnsi="Wingdings" w:cs="Arial"/>
                <w:color w:val="000000"/>
                <w:szCs w:val="22"/>
                <w:lang w:eastAsia="de-AT"/>
              </w:rPr>
            </w:pPr>
            <w:r w:rsidRPr="00FB2B66">
              <w:rPr>
                <w:rFonts w:ascii="Wingdings" w:hAnsi="Wingdings" w:cs="Arial"/>
                <w:color w:val="000000"/>
                <w:szCs w:val="22"/>
                <w:lang w:eastAsia="de-AT"/>
              </w:rPr>
              <w:t></w:t>
            </w:r>
          </w:p>
        </w:tc>
        <w:tc>
          <w:tcPr>
            <w:tcW w:w="5170" w:type="dxa"/>
            <w:gridSpan w:val="2"/>
            <w:shd w:val="clear" w:color="auto" w:fill="auto"/>
          </w:tcPr>
          <w:p w14:paraId="6ACF0848" w14:textId="77777777" w:rsidR="004F0EE5" w:rsidRPr="00FB2B66" w:rsidRDefault="004F0EE5" w:rsidP="004F0EE5">
            <w:pPr>
              <w:spacing w:before="60" w:after="60" w:line="240" w:lineRule="auto"/>
              <w:jc w:val="left"/>
              <w:rPr>
                <w:rFonts w:cs="Arial"/>
                <w:color w:val="000000"/>
                <w:szCs w:val="22"/>
                <w:lang w:eastAsia="de-AT"/>
              </w:rPr>
            </w:pPr>
            <w:r w:rsidRPr="00FB2B66">
              <w:rPr>
                <w:rFonts w:cs="Arial"/>
                <w:color w:val="000000"/>
                <w:szCs w:val="22"/>
                <w:lang w:eastAsia="de-AT"/>
              </w:rPr>
              <w:t>Tumorboardanforderung</w:t>
            </w:r>
          </w:p>
        </w:tc>
        <w:tc>
          <w:tcPr>
            <w:tcW w:w="2551" w:type="dxa"/>
            <w:shd w:val="clear" w:color="auto" w:fill="auto"/>
          </w:tcPr>
          <w:p w14:paraId="237D8F5E" w14:textId="77777777" w:rsidR="004F0EE5" w:rsidRPr="00FB2B66" w:rsidRDefault="004F0EE5" w:rsidP="004F0EE5">
            <w:pPr>
              <w:spacing w:before="60" w:after="60" w:line="240" w:lineRule="auto"/>
              <w:rPr>
                <w:rFonts w:cs="Arial"/>
                <w:color w:val="000000"/>
                <w:szCs w:val="22"/>
                <w:lang w:eastAsia="de-AT"/>
              </w:rPr>
            </w:pPr>
          </w:p>
        </w:tc>
        <w:tc>
          <w:tcPr>
            <w:tcW w:w="992" w:type="dxa"/>
            <w:shd w:val="clear" w:color="auto" w:fill="auto"/>
          </w:tcPr>
          <w:p w14:paraId="22F1E17E" w14:textId="77777777" w:rsidR="004F0EE5" w:rsidRPr="00FB2B66" w:rsidRDefault="004F0EE5" w:rsidP="004F0EE5">
            <w:pPr>
              <w:spacing w:before="60" w:after="60" w:line="240" w:lineRule="auto"/>
              <w:rPr>
                <w:rFonts w:cs="Arial"/>
                <w:color w:val="000000"/>
                <w:szCs w:val="22"/>
                <w:lang w:eastAsia="de-AT"/>
              </w:rPr>
            </w:pPr>
          </w:p>
        </w:tc>
      </w:tr>
    </w:tbl>
    <w:p w14:paraId="089748B5"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2ECD0E7D"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0BB196DF" w14:textId="77777777" w:rsidR="004F0EE5" w:rsidRDefault="004F0EE5" w:rsidP="001F2BEC">
      <w:pPr>
        <w:pStyle w:val="Textkrper-Einzug2"/>
        <w:spacing w:after="0" w:line="276" w:lineRule="auto"/>
        <w:ind w:left="0"/>
        <w:jc w:val="both"/>
        <w:rPr>
          <w:rFonts w:asciiTheme="minorHAnsi" w:hAnsiTheme="minorHAnsi" w:cstheme="minorHAnsi"/>
          <w:i/>
          <w:szCs w:val="22"/>
        </w:rPr>
      </w:pPr>
    </w:p>
    <w:p w14:paraId="36F5AB19" w14:textId="77777777" w:rsidR="009F76EC" w:rsidRDefault="009F76EC" w:rsidP="001F2BEC">
      <w:pPr>
        <w:pStyle w:val="Textkrper-Einzug2"/>
        <w:spacing w:after="0" w:line="276" w:lineRule="auto"/>
        <w:ind w:left="0"/>
        <w:jc w:val="both"/>
        <w:rPr>
          <w:rFonts w:asciiTheme="minorHAnsi" w:hAnsiTheme="minorHAnsi" w:cstheme="minorHAnsi"/>
          <w:i/>
          <w:szCs w:val="22"/>
        </w:rPr>
      </w:pPr>
    </w:p>
    <w:p w14:paraId="09B1BFDE" w14:textId="77777777" w:rsidR="009F76EC" w:rsidRDefault="009F76EC" w:rsidP="001F2BEC">
      <w:pPr>
        <w:pStyle w:val="Textkrper-Einzug2"/>
        <w:spacing w:after="0" w:line="276" w:lineRule="auto"/>
        <w:ind w:left="0"/>
        <w:jc w:val="both"/>
        <w:rPr>
          <w:rFonts w:asciiTheme="minorHAnsi" w:hAnsiTheme="minorHAnsi" w:cstheme="minorHAnsi"/>
          <w:i/>
          <w:szCs w:val="22"/>
        </w:rPr>
      </w:pPr>
    </w:p>
    <w:p w14:paraId="031A5CB4" w14:textId="77777777" w:rsidR="009F76EC" w:rsidRDefault="009F76EC" w:rsidP="001F2BEC">
      <w:pPr>
        <w:pStyle w:val="Textkrper-Einzug2"/>
        <w:spacing w:after="0" w:line="276" w:lineRule="auto"/>
        <w:ind w:left="0"/>
        <w:jc w:val="both"/>
        <w:rPr>
          <w:rFonts w:asciiTheme="minorHAnsi" w:hAnsiTheme="minorHAnsi" w:cstheme="minorHAnsi"/>
          <w:i/>
          <w:szCs w:val="22"/>
        </w:rPr>
      </w:pPr>
    </w:p>
    <w:p w14:paraId="25630995" w14:textId="77777777" w:rsidR="009F76EC" w:rsidRDefault="009F76EC" w:rsidP="001F2BEC">
      <w:pPr>
        <w:pStyle w:val="Textkrper-Einzug2"/>
        <w:spacing w:after="0" w:line="276" w:lineRule="auto"/>
        <w:ind w:left="0"/>
        <w:jc w:val="both"/>
        <w:rPr>
          <w:rFonts w:asciiTheme="minorHAnsi" w:hAnsiTheme="minorHAnsi" w:cstheme="minorHAnsi"/>
          <w:i/>
          <w:szCs w:val="22"/>
        </w:rPr>
      </w:pPr>
    </w:p>
    <w:p w14:paraId="637368B4" w14:textId="77777777" w:rsidR="009F76EC" w:rsidRPr="009208C6" w:rsidRDefault="003E138F" w:rsidP="009F76EC">
      <w:pPr>
        <w:pStyle w:val="berschrift2"/>
        <w:rPr>
          <w:lang w:val="de-DE" w:eastAsia="de-AT"/>
        </w:rPr>
      </w:pPr>
      <w:bookmarkStart w:id="13" w:name="_Toc93523274"/>
      <w:r>
        <w:rPr>
          <w:lang w:val="de-DE" w:eastAsia="de-AT"/>
        </w:rPr>
        <w:lastRenderedPageBreak/>
        <w:t>2.</w:t>
      </w:r>
      <w:r w:rsidR="00C5792C">
        <w:rPr>
          <w:lang w:val="de-DE" w:eastAsia="de-AT"/>
        </w:rPr>
        <w:t>7</w:t>
      </w:r>
      <w:r w:rsidR="009F76EC">
        <w:rPr>
          <w:lang w:val="de-DE" w:eastAsia="de-AT"/>
        </w:rPr>
        <w:tab/>
      </w:r>
      <w:r w:rsidR="009F76EC" w:rsidRPr="009208C6">
        <w:rPr>
          <w:lang w:val="de-DE" w:eastAsia="de-AT"/>
        </w:rPr>
        <w:t>Anmerkungen Pathologie</w:t>
      </w:r>
      <w:bookmarkEnd w:id="13"/>
    </w:p>
    <w:p w14:paraId="5D84AE7C" w14:textId="77777777" w:rsidR="009F76EC" w:rsidRPr="009208C6" w:rsidRDefault="003E138F" w:rsidP="009F76EC">
      <w:pPr>
        <w:pStyle w:val="berschrift3"/>
        <w:rPr>
          <w:rFonts w:eastAsia="Calibri"/>
          <w:lang w:eastAsia="de-AT"/>
        </w:rPr>
      </w:pPr>
      <w:bookmarkStart w:id="14" w:name="_Toc93523275"/>
      <w:r>
        <w:rPr>
          <w:rFonts w:eastAsia="Calibri"/>
          <w:lang w:eastAsia="de-AT"/>
        </w:rPr>
        <w:t>2.</w:t>
      </w:r>
      <w:r w:rsidR="00C5792C">
        <w:rPr>
          <w:rFonts w:eastAsia="Calibri"/>
          <w:lang w:eastAsia="de-AT"/>
        </w:rPr>
        <w:t>7</w:t>
      </w:r>
      <w:r w:rsidR="009F76EC">
        <w:rPr>
          <w:rFonts w:eastAsia="Calibri"/>
          <w:lang w:eastAsia="de-AT"/>
        </w:rPr>
        <w:t>.1</w:t>
      </w:r>
      <w:r w:rsidR="009F76EC">
        <w:rPr>
          <w:rFonts w:eastAsia="Calibri"/>
          <w:lang w:eastAsia="de-AT"/>
        </w:rPr>
        <w:tab/>
      </w:r>
      <w:r w:rsidR="009F76EC" w:rsidRPr="009208C6">
        <w:rPr>
          <w:rFonts w:eastAsia="Calibri"/>
          <w:lang w:eastAsia="de-AT"/>
        </w:rPr>
        <w:t>E</w:t>
      </w:r>
      <w:r w:rsidR="00BE1E71">
        <w:rPr>
          <w:rFonts w:eastAsia="Calibri"/>
          <w:lang w:eastAsia="de-AT"/>
        </w:rPr>
        <w:t>ndoskopische Präpa</w:t>
      </w:r>
      <w:r w:rsidR="009F76EC">
        <w:rPr>
          <w:rFonts w:eastAsia="Calibri"/>
          <w:lang w:eastAsia="de-AT"/>
        </w:rPr>
        <w:t>rate</w:t>
      </w:r>
      <w:bookmarkEnd w:id="14"/>
    </w:p>
    <w:p w14:paraId="4626B6DE" w14:textId="77777777" w:rsidR="009F76EC" w:rsidRPr="009F76EC" w:rsidRDefault="009F76EC" w:rsidP="009F76EC">
      <w:pPr>
        <w:spacing w:line="276" w:lineRule="auto"/>
        <w:jc w:val="both"/>
        <w:rPr>
          <w:rFonts w:asciiTheme="minorHAnsi" w:hAnsiTheme="minorHAnsi" w:cstheme="minorHAnsi"/>
          <w:b/>
        </w:rPr>
      </w:pPr>
      <w:r w:rsidRPr="009F76EC">
        <w:rPr>
          <w:rFonts w:asciiTheme="minorHAnsi" w:hAnsiTheme="minorHAnsi" w:cstheme="minorHAnsi"/>
          <w:b/>
        </w:rPr>
        <w:t>B</w:t>
      </w:r>
      <w:r>
        <w:rPr>
          <w:rFonts w:asciiTheme="minorHAnsi" w:hAnsiTheme="minorHAnsi" w:cstheme="minorHAnsi"/>
          <w:b/>
        </w:rPr>
        <w:t>erichterstattung</w:t>
      </w:r>
    </w:p>
    <w:p w14:paraId="56424B19"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Anatomische Lokalisation (gemäß klinischer Angabe)</w:t>
      </w:r>
    </w:p>
    <w:p w14:paraId="4847DFDD" w14:textId="77777777" w:rsidR="009F76EC" w:rsidRPr="009F76EC" w:rsidRDefault="009F76EC" w:rsidP="009F76EC">
      <w:pPr>
        <w:spacing w:line="276" w:lineRule="auto"/>
        <w:jc w:val="both"/>
        <w:rPr>
          <w:rFonts w:asciiTheme="minorHAnsi" w:hAnsiTheme="minorHAnsi" w:cstheme="minorHAnsi"/>
          <w:b/>
        </w:rPr>
      </w:pPr>
      <w:r w:rsidRPr="009F76EC">
        <w:rPr>
          <w:rFonts w:asciiTheme="minorHAnsi" w:hAnsiTheme="minorHAnsi" w:cstheme="minorHAnsi"/>
          <w:b/>
        </w:rPr>
        <w:t>Karzinom im Adenom</w:t>
      </w:r>
    </w:p>
    <w:p w14:paraId="0863FCB4"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Histologischer Subtyp</w:t>
      </w:r>
    </w:p>
    <w:p w14:paraId="7EE22994"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Differenzierungsgrad (gemäß der aktuell gültigen WHO-Klassifikation)</w:t>
      </w:r>
    </w:p>
    <w:p w14:paraId="456208B4"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Invasionstiefe (z.B. nach Kikuchi bei sessilen Läsionen [sm1 bis sm3], nach Haggitt bei gestielten Läsionen [Level 1 bis Level 4] und/oder metrisch)</w:t>
      </w:r>
    </w:p>
    <w:p w14:paraId="5CF4B7A2"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Lymphovaskuläre Invasion (L0, L1)</w:t>
      </w:r>
    </w:p>
    <w:p w14:paraId="33359E50"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Abstand zum Resektionsrand</w:t>
      </w:r>
    </w:p>
    <w:p w14:paraId="2B074273"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pTNM</w:t>
      </w:r>
    </w:p>
    <w:p w14:paraId="508CF205"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Risikostratifizierung bezüglich eines regionalen Lymphknotenbefalls (low risk bzw. high risk)</w:t>
      </w:r>
    </w:p>
    <w:p w14:paraId="4A2D8527"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Vollständigkeit der Entfernung</w:t>
      </w:r>
    </w:p>
    <w:p w14:paraId="4F5A131E"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Molekularpathologische Befunde je nach klinischer Fragestellung bzw. Therapieplan (z.B. MSI, KRAS, NRAS</w:t>
      </w:r>
      <w:r w:rsidR="00C13BD2">
        <w:rPr>
          <w:rFonts w:asciiTheme="minorHAnsi" w:hAnsiTheme="minorHAnsi" w:cstheme="minorHAnsi"/>
        </w:rPr>
        <w:t>, BRAF</w:t>
      </w:r>
      <w:r w:rsidRPr="009F76EC">
        <w:rPr>
          <w:rFonts w:asciiTheme="minorHAnsi" w:hAnsiTheme="minorHAnsi" w:cstheme="minorHAnsi"/>
        </w:rPr>
        <w:t>)</w:t>
      </w:r>
    </w:p>
    <w:p w14:paraId="4D9C3998" w14:textId="77777777" w:rsidR="009F76EC" w:rsidRDefault="009F76EC" w:rsidP="009F76EC">
      <w:pPr>
        <w:spacing w:line="276" w:lineRule="auto"/>
        <w:jc w:val="both"/>
        <w:rPr>
          <w:rFonts w:asciiTheme="minorHAnsi" w:hAnsiTheme="minorHAnsi" w:cstheme="minorHAnsi"/>
        </w:rPr>
      </w:pPr>
      <w:r w:rsidRPr="009208C6">
        <w:rPr>
          <w:rFonts w:cs="Arial"/>
          <w:sz w:val="24"/>
          <w:szCs w:val="24"/>
          <w:lang w:val="de-DE"/>
        </w:rPr>
        <w:br/>
      </w:r>
      <w:r w:rsidRPr="009F76EC">
        <w:rPr>
          <w:rFonts w:asciiTheme="minorHAnsi" w:hAnsiTheme="minorHAnsi" w:cstheme="minorHAnsi"/>
        </w:rPr>
        <w:t>Anmerkung: Gemäß WHO-Klassifikation wird empfohlen</w:t>
      </w:r>
      <w:r>
        <w:rPr>
          <w:rFonts w:asciiTheme="minorHAnsi" w:hAnsiTheme="minorHAnsi" w:cstheme="minorHAnsi"/>
        </w:rPr>
        <w:t>,</w:t>
      </w:r>
      <w:r w:rsidRPr="009F76EC">
        <w:rPr>
          <w:rFonts w:asciiTheme="minorHAnsi" w:hAnsiTheme="minorHAnsi" w:cstheme="minorHAnsi"/>
        </w:rPr>
        <w:t xml:space="preserve"> Karzinome, die maximal in die Lamina propria infiltrieren, jedoch keine Invasion der Submukosa aufweisen, als hochgradige (high grade) intraepitheliale Neoplasie zu bezeichnen, um eine Übertherapie zu vermeiden. Der Begriff Carcinoma in situ soll nicht verwendet werden.</w:t>
      </w:r>
    </w:p>
    <w:p w14:paraId="7D5A51EF" w14:textId="77777777" w:rsidR="000E4CFF" w:rsidRPr="009F76EC" w:rsidRDefault="000E4CFF" w:rsidP="009F76EC">
      <w:pPr>
        <w:spacing w:line="276" w:lineRule="auto"/>
        <w:jc w:val="both"/>
        <w:rPr>
          <w:rFonts w:asciiTheme="minorHAnsi" w:hAnsiTheme="minorHAnsi" w:cstheme="minorHAnsi"/>
        </w:rPr>
      </w:pPr>
    </w:p>
    <w:p w14:paraId="0D06363D" w14:textId="77777777" w:rsidR="009F76EC" w:rsidRPr="009208C6" w:rsidRDefault="003E138F" w:rsidP="009F76EC">
      <w:pPr>
        <w:pStyle w:val="berschrift3"/>
        <w:rPr>
          <w:rFonts w:eastAsia="Calibri"/>
          <w:lang w:eastAsia="de-AT"/>
        </w:rPr>
      </w:pPr>
      <w:bookmarkStart w:id="15" w:name="_Toc93523276"/>
      <w:r>
        <w:rPr>
          <w:rFonts w:eastAsia="Calibri"/>
          <w:lang w:eastAsia="de-AT"/>
        </w:rPr>
        <w:t>2.</w:t>
      </w:r>
      <w:r w:rsidR="00C5792C">
        <w:rPr>
          <w:rFonts w:eastAsia="Calibri"/>
          <w:lang w:eastAsia="de-AT"/>
        </w:rPr>
        <w:t>7</w:t>
      </w:r>
      <w:r w:rsidR="00BE1E71">
        <w:rPr>
          <w:rFonts w:eastAsia="Calibri"/>
          <w:lang w:eastAsia="de-AT"/>
        </w:rPr>
        <w:t>.2</w:t>
      </w:r>
      <w:r w:rsidR="00BE1E71">
        <w:rPr>
          <w:rFonts w:eastAsia="Calibri"/>
          <w:lang w:eastAsia="de-AT"/>
        </w:rPr>
        <w:tab/>
        <w:t>Chirurgische Präpa</w:t>
      </w:r>
      <w:r w:rsidR="009F76EC">
        <w:rPr>
          <w:rFonts w:eastAsia="Calibri"/>
          <w:lang w:eastAsia="de-AT"/>
        </w:rPr>
        <w:t>rate</w:t>
      </w:r>
      <w:bookmarkEnd w:id="15"/>
    </w:p>
    <w:p w14:paraId="425B71BD" w14:textId="77777777" w:rsidR="009F76EC" w:rsidRPr="009F76EC" w:rsidRDefault="009F76EC" w:rsidP="009F76EC">
      <w:pPr>
        <w:spacing w:line="276" w:lineRule="auto"/>
        <w:jc w:val="both"/>
        <w:rPr>
          <w:rFonts w:asciiTheme="minorHAnsi" w:hAnsiTheme="minorHAnsi" w:cstheme="minorHAnsi"/>
          <w:b/>
        </w:rPr>
      </w:pPr>
      <w:r w:rsidRPr="009F76EC">
        <w:rPr>
          <w:rFonts w:asciiTheme="minorHAnsi" w:hAnsiTheme="minorHAnsi" w:cstheme="minorHAnsi"/>
          <w:b/>
        </w:rPr>
        <w:t>Übersendung</w:t>
      </w:r>
    </w:p>
    <w:p w14:paraId="4927469D" w14:textId="77777777" w:rsidR="009F76EC" w:rsidRPr="009F76EC" w:rsidRDefault="009F76EC" w:rsidP="009F76EC">
      <w:pPr>
        <w:spacing w:line="276" w:lineRule="auto"/>
        <w:jc w:val="both"/>
        <w:rPr>
          <w:rFonts w:asciiTheme="minorHAnsi" w:hAnsiTheme="minorHAnsi" w:cstheme="minorHAnsi"/>
        </w:rPr>
      </w:pPr>
      <w:r w:rsidRPr="009F76EC">
        <w:rPr>
          <w:rFonts w:asciiTheme="minorHAnsi" w:hAnsiTheme="minorHAnsi" w:cstheme="minorHAnsi"/>
        </w:rPr>
        <w:t>Wenn Präparat flacher Läsionen in toto gewonnen (z.B. transanale Vollwandexzision), aufspannen, zur Orientierung markieren.</w:t>
      </w:r>
    </w:p>
    <w:p w14:paraId="02CCBE8B" w14:textId="77777777" w:rsidR="009F76EC" w:rsidRPr="009208C6" w:rsidRDefault="009F76EC" w:rsidP="009F76EC">
      <w:pPr>
        <w:spacing w:line="276" w:lineRule="auto"/>
        <w:jc w:val="both"/>
        <w:rPr>
          <w:rFonts w:eastAsia="Calibri" w:cs="Arial"/>
          <w:b/>
          <w:color w:val="000000"/>
          <w:szCs w:val="22"/>
          <w:lang w:eastAsia="de-AT"/>
        </w:rPr>
      </w:pPr>
      <w:r w:rsidRPr="009F76EC">
        <w:rPr>
          <w:rFonts w:asciiTheme="minorHAnsi" w:hAnsiTheme="minorHAnsi" w:cstheme="minorHAnsi"/>
          <w:b/>
        </w:rPr>
        <w:t>B</w:t>
      </w:r>
      <w:r>
        <w:rPr>
          <w:rFonts w:asciiTheme="minorHAnsi" w:hAnsiTheme="minorHAnsi" w:cstheme="minorHAnsi"/>
          <w:b/>
        </w:rPr>
        <w:t>erichterstattung</w:t>
      </w:r>
    </w:p>
    <w:p w14:paraId="03B6953E"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 xml:space="preserve">Art des Präparates (z.B. Hemikolektomie rechts) </w:t>
      </w:r>
    </w:p>
    <w:p w14:paraId="0E882E97" w14:textId="77777777" w:rsidR="009F76EC" w:rsidRPr="009F76EC" w:rsidRDefault="009F76EC" w:rsidP="000B1AD6">
      <w:pPr>
        <w:pStyle w:val="Listenabsatz"/>
        <w:numPr>
          <w:ilvl w:val="1"/>
          <w:numId w:val="3"/>
        </w:numPr>
        <w:spacing w:line="276" w:lineRule="auto"/>
        <w:jc w:val="left"/>
        <w:rPr>
          <w:rFonts w:eastAsia="Calibri" w:cs="Arial"/>
          <w:color w:val="000000"/>
          <w:szCs w:val="22"/>
          <w:lang w:eastAsia="de-AT"/>
        </w:rPr>
      </w:pPr>
      <w:r w:rsidRPr="009F76EC">
        <w:rPr>
          <w:rFonts w:asciiTheme="minorHAnsi" w:hAnsiTheme="minorHAnsi" w:cstheme="minorHAnsi"/>
        </w:rPr>
        <w:t>Bei Rectumkarzinomen: Zustand des mesorektalen Außenfläche bei totaler (oder partieller) mesorektaler Exzision (TME-Präparate):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044"/>
        <w:gridCol w:w="6237"/>
      </w:tblGrid>
      <w:tr w:rsidR="009F76EC" w:rsidRPr="009F76EC" w14:paraId="36810BF3" w14:textId="77777777" w:rsidTr="009F76EC">
        <w:trPr>
          <w:trHeight w:val="366"/>
        </w:trPr>
        <w:tc>
          <w:tcPr>
            <w:tcW w:w="1070" w:type="dxa"/>
            <w:tcBorders>
              <w:bottom w:val="single" w:sz="4" w:space="0" w:color="auto"/>
            </w:tcBorders>
            <w:shd w:val="clear" w:color="auto" w:fill="606060"/>
            <w:vAlign w:val="center"/>
          </w:tcPr>
          <w:p w14:paraId="197010C5" w14:textId="77777777" w:rsidR="009F76EC" w:rsidRPr="009F76EC" w:rsidRDefault="009F76EC" w:rsidP="009F76EC">
            <w:pPr>
              <w:shd w:val="clear" w:color="auto" w:fill="606060"/>
              <w:spacing w:line="240" w:lineRule="auto"/>
              <w:jc w:val="both"/>
              <w:rPr>
                <w:rFonts w:asciiTheme="minorHAnsi" w:hAnsiTheme="minorHAnsi" w:cstheme="minorHAnsi"/>
                <w:b/>
                <w:bCs/>
                <w:szCs w:val="22"/>
                <w:lang w:val="de-DE"/>
              </w:rPr>
            </w:pPr>
            <w:r w:rsidRPr="009F76EC">
              <w:rPr>
                <w:rFonts w:asciiTheme="minorHAnsi" w:hAnsiTheme="minorHAnsi" w:cstheme="minorHAnsi"/>
                <w:b/>
                <w:bCs/>
                <w:color w:val="FFFFFF"/>
                <w:szCs w:val="22"/>
                <w:lang w:val="de-DE"/>
              </w:rPr>
              <w:t>Qualität</w:t>
            </w:r>
          </w:p>
        </w:tc>
        <w:tc>
          <w:tcPr>
            <w:tcW w:w="2044" w:type="dxa"/>
            <w:tcBorders>
              <w:bottom w:val="single" w:sz="4" w:space="0" w:color="auto"/>
            </w:tcBorders>
            <w:shd w:val="clear" w:color="auto" w:fill="606060"/>
            <w:vAlign w:val="center"/>
          </w:tcPr>
          <w:p w14:paraId="7B400973" w14:textId="77777777" w:rsidR="009F76EC" w:rsidRPr="009F76EC" w:rsidRDefault="009F76EC" w:rsidP="009F76EC">
            <w:pPr>
              <w:shd w:val="clear" w:color="auto" w:fill="606060"/>
              <w:spacing w:line="240" w:lineRule="auto"/>
              <w:rPr>
                <w:rFonts w:asciiTheme="minorHAnsi" w:hAnsiTheme="minorHAnsi" w:cstheme="minorHAnsi"/>
                <w:b/>
                <w:bCs/>
                <w:szCs w:val="22"/>
                <w:lang w:val="de-DE"/>
              </w:rPr>
            </w:pPr>
            <w:r w:rsidRPr="009F76EC">
              <w:rPr>
                <w:rFonts w:asciiTheme="minorHAnsi" w:hAnsiTheme="minorHAnsi" w:cstheme="minorHAnsi"/>
                <w:b/>
                <w:bCs/>
                <w:color w:val="FFFFFF"/>
                <w:szCs w:val="22"/>
                <w:lang w:val="de-DE"/>
              </w:rPr>
              <w:t>Bewertung</w:t>
            </w:r>
          </w:p>
        </w:tc>
        <w:tc>
          <w:tcPr>
            <w:tcW w:w="6237" w:type="dxa"/>
            <w:tcBorders>
              <w:bottom w:val="single" w:sz="4" w:space="0" w:color="auto"/>
            </w:tcBorders>
            <w:shd w:val="clear" w:color="auto" w:fill="606060"/>
            <w:vAlign w:val="center"/>
          </w:tcPr>
          <w:p w14:paraId="62B78BF4" w14:textId="77777777" w:rsidR="009F76EC" w:rsidRPr="009F76EC" w:rsidRDefault="009F76EC" w:rsidP="009F76EC">
            <w:pPr>
              <w:shd w:val="clear" w:color="auto" w:fill="606060"/>
              <w:spacing w:line="240" w:lineRule="auto"/>
              <w:rPr>
                <w:rFonts w:asciiTheme="minorHAnsi" w:hAnsiTheme="minorHAnsi" w:cstheme="minorHAnsi"/>
                <w:b/>
                <w:bCs/>
                <w:szCs w:val="22"/>
                <w:lang w:val="de-DE"/>
              </w:rPr>
            </w:pPr>
            <w:r w:rsidRPr="009F76EC">
              <w:rPr>
                <w:rFonts w:asciiTheme="minorHAnsi" w:hAnsiTheme="minorHAnsi" w:cstheme="minorHAnsi"/>
                <w:b/>
                <w:bCs/>
                <w:color w:val="FFFFFF"/>
                <w:szCs w:val="22"/>
                <w:lang w:val="de-DE"/>
              </w:rPr>
              <w:t>Definition</w:t>
            </w:r>
          </w:p>
        </w:tc>
      </w:tr>
      <w:tr w:rsidR="009F76EC" w:rsidRPr="009F76EC" w14:paraId="0284A8D8" w14:textId="77777777" w:rsidTr="009F76EC">
        <w:tc>
          <w:tcPr>
            <w:tcW w:w="1070" w:type="dxa"/>
            <w:shd w:val="clear" w:color="auto" w:fill="CCCCCC"/>
            <w:vAlign w:val="center"/>
          </w:tcPr>
          <w:p w14:paraId="0FB429DE" w14:textId="77777777" w:rsidR="009F76EC" w:rsidRPr="009F76EC" w:rsidRDefault="009F76EC" w:rsidP="009F76EC">
            <w:pPr>
              <w:spacing w:line="240" w:lineRule="auto"/>
              <w:jc w:val="both"/>
              <w:rPr>
                <w:rFonts w:asciiTheme="minorHAnsi" w:hAnsiTheme="minorHAnsi" w:cstheme="minorHAnsi"/>
                <w:sz w:val="24"/>
                <w:lang w:val="de-DE"/>
              </w:rPr>
            </w:pPr>
            <w:r w:rsidRPr="009F76EC">
              <w:rPr>
                <w:rFonts w:asciiTheme="minorHAnsi" w:hAnsiTheme="minorHAnsi" w:cstheme="minorHAnsi"/>
                <w:sz w:val="24"/>
                <w:lang w:val="de-DE"/>
              </w:rPr>
              <w:t>Grad 1</w:t>
            </w:r>
          </w:p>
        </w:tc>
        <w:tc>
          <w:tcPr>
            <w:tcW w:w="2044" w:type="dxa"/>
            <w:shd w:val="clear" w:color="auto" w:fill="E0E0E0"/>
            <w:vAlign w:val="center"/>
          </w:tcPr>
          <w:p w14:paraId="0DB6F328" w14:textId="77777777" w:rsidR="009F76EC" w:rsidRPr="009F76EC" w:rsidRDefault="009F76EC" w:rsidP="009F76EC">
            <w:pPr>
              <w:spacing w:line="240" w:lineRule="auto"/>
              <w:rPr>
                <w:rFonts w:asciiTheme="minorHAnsi" w:hAnsiTheme="minorHAnsi" w:cstheme="minorHAnsi"/>
                <w:b/>
                <w:sz w:val="20"/>
                <w:lang w:val="de-DE"/>
              </w:rPr>
            </w:pPr>
            <w:r w:rsidRPr="009F76EC">
              <w:rPr>
                <w:rFonts w:asciiTheme="minorHAnsi" w:hAnsiTheme="minorHAnsi" w:cstheme="minorHAnsi"/>
                <w:b/>
                <w:sz w:val="20"/>
                <w:lang w:val="de-DE"/>
              </w:rPr>
              <w:t>Komplett („good“)</w:t>
            </w:r>
          </w:p>
          <w:p w14:paraId="3E9B0047" w14:textId="77777777" w:rsidR="009F76EC" w:rsidRPr="009F76EC" w:rsidRDefault="009F76EC" w:rsidP="009F76EC">
            <w:pPr>
              <w:spacing w:line="240" w:lineRule="auto"/>
              <w:rPr>
                <w:rFonts w:asciiTheme="minorHAnsi" w:hAnsiTheme="minorHAnsi" w:cstheme="minorHAnsi"/>
                <w:sz w:val="24"/>
                <w:lang w:val="de-DE"/>
              </w:rPr>
            </w:pPr>
            <w:r w:rsidRPr="009F76EC">
              <w:rPr>
                <w:rFonts w:asciiTheme="minorHAnsi" w:hAnsiTheme="minorHAnsi" w:cstheme="minorHAnsi"/>
                <w:sz w:val="20"/>
                <w:lang w:val="de-DE"/>
              </w:rPr>
              <w:t>Komplette Mesorektumexzision</w:t>
            </w:r>
          </w:p>
        </w:tc>
        <w:tc>
          <w:tcPr>
            <w:tcW w:w="6237" w:type="dxa"/>
            <w:shd w:val="clear" w:color="auto" w:fill="F3F3F3"/>
            <w:vAlign w:val="center"/>
          </w:tcPr>
          <w:p w14:paraId="5B6666DA" w14:textId="77777777" w:rsidR="009F76EC" w:rsidRPr="009F76EC" w:rsidRDefault="009F76EC" w:rsidP="009F76EC">
            <w:pPr>
              <w:spacing w:before="60" w:after="60" w:line="240" w:lineRule="auto"/>
              <w:jc w:val="both"/>
              <w:rPr>
                <w:rFonts w:asciiTheme="minorHAnsi" w:hAnsiTheme="minorHAnsi" w:cstheme="minorHAnsi"/>
                <w:sz w:val="24"/>
                <w:lang w:val="de-DE"/>
              </w:rPr>
            </w:pPr>
            <w:r w:rsidRPr="009F76EC">
              <w:rPr>
                <w:rFonts w:asciiTheme="minorHAnsi" w:hAnsiTheme="minorHAnsi" w:cstheme="minorHAnsi"/>
                <w:sz w:val="20"/>
                <w:lang w:val="de-DE"/>
              </w:rPr>
              <w:t>Intaktes Mesorektum mit nur geringen Unregelmäßigkeiten der glatten Mesorektumoberfläche, kein Defekt tiefer als 5 mm, der distale Resektionsrand sollte kein „coning“ aufweisen („coning“ = nicht zylinderförmig-tubuläre, sondern nach unten sich zuspitzende kegelförmige Absetzung des mesorektalen Fettgewebes).</w:t>
            </w:r>
          </w:p>
        </w:tc>
      </w:tr>
      <w:tr w:rsidR="009F76EC" w:rsidRPr="009F76EC" w14:paraId="51E57A49" w14:textId="77777777" w:rsidTr="009F76EC">
        <w:tc>
          <w:tcPr>
            <w:tcW w:w="1070" w:type="dxa"/>
            <w:shd w:val="clear" w:color="auto" w:fill="CCCCCC"/>
            <w:vAlign w:val="center"/>
          </w:tcPr>
          <w:p w14:paraId="364E0C4F" w14:textId="77777777" w:rsidR="009F76EC" w:rsidRPr="009F76EC" w:rsidRDefault="009F76EC" w:rsidP="009F76EC">
            <w:pPr>
              <w:spacing w:line="240" w:lineRule="auto"/>
              <w:jc w:val="both"/>
              <w:rPr>
                <w:rFonts w:asciiTheme="minorHAnsi" w:hAnsiTheme="minorHAnsi" w:cstheme="minorHAnsi"/>
                <w:sz w:val="24"/>
                <w:lang w:val="de-DE"/>
              </w:rPr>
            </w:pPr>
            <w:r w:rsidRPr="009F76EC">
              <w:rPr>
                <w:rFonts w:asciiTheme="minorHAnsi" w:hAnsiTheme="minorHAnsi" w:cstheme="minorHAnsi"/>
                <w:sz w:val="24"/>
                <w:lang w:val="de-DE"/>
              </w:rPr>
              <w:t>Grad 2</w:t>
            </w:r>
          </w:p>
        </w:tc>
        <w:tc>
          <w:tcPr>
            <w:tcW w:w="2044" w:type="dxa"/>
            <w:shd w:val="clear" w:color="auto" w:fill="E0E0E0"/>
            <w:vAlign w:val="center"/>
          </w:tcPr>
          <w:p w14:paraId="6B3B0220" w14:textId="77777777" w:rsidR="009F76EC" w:rsidRPr="009F76EC" w:rsidRDefault="009F76EC" w:rsidP="009F76EC">
            <w:pPr>
              <w:spacing w:line="240" w:lineRule="auto"/>
              <w:rPr>
                <w:rFonts w:asciiTheme="minorHAnsi" w:hAnsiTheme="minorHAnsi" w:cstheme="minorHAnsi"/>
                <w:b/>
                <w:sz w:val="20"/>
                <w:lang w:val="de-DE"/>
              </w:rPr>
            </w:pPr>
            <w:r w:rsidRPr="009F76EC">
              <w:rPr>
                <w:rFonts w:asciiTheme="minorHAnsi" w:hAnsiTheme="minorHAnsi" w:cstheme="minorHAnsi"/>
                <w:b/>
                <w:sz w:val="20"/>
                <w:lang w:val="de-DE"/>
              </w:rPr>
              <w:t>Nahezu komplett (moderat)</w:t>
            </w:r>
          </w:p>
          <w:p w14:paraId="51CD64C8" w14:textId="77777777" w:rsidR="009F76EC" w:rsidRPr="009F76EC" w:rsidRDefault="009F76EC" w:rsidP="009F76EC">
            <w:pPr>
              <w:spacing w:line="240" w:lineRule="auto"/>
              <w:rPr>
                <w:rFonts w:asciiTheme="minorHAnsi" w:hAnsiTheme="minorHAnsi" w:cstheme="minorHAnsi"/>
                <w:sz w:val="24"/>
                <w:lang w:val="de-DE"/>
              </w:rPr>
            </w:pPr>
            <w:r w:rsidRPr="009F76EC">
              <w:rPr>
                <w:rFonts w:asciiTheme="minorHAnsi" w:hAnsiTheme="minorHAnsi" w:cstheme="minorHAnsi"/>
                <w:sz w:val="20"/>
                <w:lang w:val="de-DE"/>
              </w:rPr>
              <w:t>Nahezu komplette Mesorektumexzision</w:t>
            </w:r>
          </w:p>
        </w:tc>
        <w:tc>
          <w:tcPr>
            <w:tcW w:w="6237" w:type="dxa"/>
            <w:shd w:val="clear" w:color="auto" w:fill="F3F3F3"/>
            <w:vAlign w:val="center"/>
          </w:tcPr>
          <w:p w14:paraId="4FA040DF" w14:textId="77777777" w:rsidR="009F76EC" w:rsidRPr="009F76EC" w:rsidRDefault="009F76EC" w:rsidP="009F76EC">
            <w:pPr>
              <w:spacing w:before="60" w:after="60" w:line="240" w:lineRule="auto"/>
              <w:jc w:val="both"/>
              <w:rPr>
                <w:rFonts w:asciiTheme="minorHAnsi" w:hAnsiTheme="minorHAnsi" w:cstheme="minorHAnsi"/>
                <w:sz w:val="24"/>
                <w:lang w:val="de-DE"/>
              </w:rPr>
            </w:pPr>
            <w:r w:rsidRPr="009F76EC">
              <w:rPr>
                <w:rFonts w:asciiTheme="minorHAnsi" w:hAnsiTheme="minorHAnsi" w:cstheme="minorHAnsi"/>
                <w:sz w:val="20"/>
                <w:lang w:val="de-DE"/>
              </w:rPr>
              <w:t>Mäßige Menge von Mesorektum mit Unregelmäßigkeiten der Mesorektumoberfläche. Defekte tiefer als 5 mm, aber Muscularis propria nicht sichtbar (außer am Ansatz der Levatormuskulatur), ein mäßiggradig ausgeprägtes „coning“ kann nachweisbar sein.</w:t>
            </w:r>
          </w:p>
        </w:tc>
      </w:tr>
      <w:tr w:rsidR="009F76EC" w:rsidRPr="009F76EC" w14:paraId="02413105" w14:textId="77777777" w:rsidTr="009F76EC">
        <w:tc>
          <w:tcPr>
            <w:tcW w:w="1070" w:type="dxa"/>
            <w:shd w:val="clear" w:color="auto" w:fill="CCCCCC"/>
            <w:vAlign w:val="center"/>
          </w:tcPr>
          <w:p w14:paraId="6B91231A" w14:textId="77777777" w:rsidR="009F76EC" w:rsidRPr="009F76EC" w:rsidRDefault="009F76EC" w:rsidP="009F76EC">
            <w:pPr>
              <w:spacing w:line="240" w:lineRule="auto"/>
              <w:jc w:val="both"/>
              <w:rPr>
                <w:rFonts w:asciiTheme="minorHAnsi" w:hAnsiTheme="minorHAnsi" w:cstheme="minorHAnsi"/>
                <w:sz w:val="24"/>
                <w:lang w:val="de-DE"/>
              </w:rPr>
            </w:pPr>
            <w:r w:rsidRPr="009F76EC">
              <w:rPr>
                <w:rFonts w:asciiTheme="minorHAnsi" w:hAnsiTheme="minorHAnsi" w:cstheme="minorHAnsi"/>
                <w:sz w:val="24"/>
                <w:lang w:val="de-DE"/>
              </w:rPr>
              <w:t>Grad 3</w:t>
            </w:r>
          </w:p>
        </w:tc>
        <w:tc>
          <w:tcPr>
            <w:tcW w:w="2044" w:type="dxa"/>
            <w:shd w:val="clear" w:color="auto" w:fill="E0E0E0"/>
            <w:vAlign w:val="center"/>
          </w:tcPr>
          <w:p w14:paraId="39FC7B75" w14:textId="77777777" w:rsidR="009F76EC" w:rsidRPr="009F76EC" w:rsidRDefault="009F76EC" w:rsidP="009F76EC">
            <w:pPr>
              <w:spacing w:line="240" w:lineRule="auto"/>
              <w:rPr>
                <w:rFonts w:asciiTheme="minorHAnsi" w:hAnsiTheme="minorHAnsi" w:cstheme="minorHAnsi"/>
                <w:b/>
                <w:sz w:val="20"/>
                <w:lang w:val="de-DE"/>
              </w:rPr>
            </w:pPr>
            <w:r w:rsidRPr="009F76EC">
              <w:rPr>
                <w:rFonts w:asciiTheme="minorHAnsi" w:hAnsiTheme="minorHAnsi" w:cstheme="minorHAnsi"/>
                <w:b/>
                <w:sz w:val="20"/>
                <w:lang w:val="de-DE"/>
              </w:rPr>
              <w:t>Inkomplett(„poor“)</w:t>
            </w:r>
          </w:p>
          <w:p w14:paraId="2618F745" w14:textId="77777777" w:rsidR="009F76EC" w:rsidRPr="009F76EC" w:rsidRDefault="009F76EC" w:rsidP="009F76EC">
            <w:pPr>
              <w:spacing w:line="240" w:lineRule="auto"/>
              <w:rPr>
                <w:rFonts w:asciiTheme="minorHAnsi" w:hAnsiTheme="minorHAnsi" w:cstheme="minorHAnsi"/>
                <w:sz w:val="24"/>
                <w:lang w:val="de-DE"/>
              </w:rPr>
            </w:pPr>
            <w:r w:rsidRPr="009F76EC">
              <w:rPr>
                <w:rFonts w:asciiTheme="minorHAnsi" w:hAnsiTheme="minorHAnsi" w:cstheme="minorHAnsi"/>
                <w:sz w:val="20"/>
                <w:lang w:val="de-DE"/>
              </w:rPr>
              <w:t>Inkomplette Mesorektumexzision</w:t>
            </w:r>
          </w:p>
        </w:tc>
        <w:tc>
          <w:tcPr>
            <w:tcW w:w="6237" w:type="dxa"/>
            <w:shd w:val="clear" w:color="auto" w:fill="F3F3F3"/>
            <w:vAlign w:val="center"/>
          </w:tcPr>
          <w:p w14:paraId="26D2DBA6" w14:textId="77777777" w:rsidR="009F76EC" w:rsidRPr="009F76EC" w:rsidRDefault="009F76EC" w:rsidP="009F76EC">
            <w:pPr>
              <w:spacing w:before="60" w:after="60" w:line="240" w:lineRule="auto"/>
              <w:jc w:val="both"/>
              <w:rPr>
                <w:rFonts w:asciiTheme="minorHAnsi" w:hAnsiTheme="minorHAnsi" w:cstheme="minorHAnsi"/>
                <w:sz w:val="24"/>
                <w:lang w:val="de-DE"/>
              </w:rPr>
            </w:pPr>
            <w:r w:rsidRPr="009F76EC">
              <w:rPr>
                <w:rFonts w:asciiTheme="minorHAnsi" w:hAnsiTheme="minorHAnsi" w:cstheme="minorHAnsi"/>
                <w:sz w:val="20"/>
                <w:lang w:val="de-DE"/>
              </w:rPr>
              <w:t>Wenig Mesorektum mit Defekten bis zur Muscularis propria, dementsprechend unregelmäßiger zirkumferenzieller Resektionsrand, mäßiges bis starkes „coning“.</w:t>
            </w:r>
          </w:p>
        </w:tc>
      </w:tr>
    </w:tbl>
    <w:p w14:paraId="1A024BC2" w14:textId="77777777" w:rsidR="009F76EC" w:rsidRPr="009208C6" w:rsidRDefault="009F76EC" w:rsidP="009F76EC">
      <w:pPr>
        <w:autoSpaceDE w:val="0"/>
        <w:autoSpaceDN w:val="0"/>
        <w:adjustRightInd w:val="0"/>
        <w:spacing w:line="240" w:lineRule="auto"/>
        <w:rPr>
          <w:rFonts w:eastAsia="Calibri" w:cs="Arial"/>
          <w:color w:val="000000"/>
          <w:szCs w:val="22"/>
          <w:lang w:eastAsia="de-AT"/>
        </w:rPr>
      </w:pPr>
    </w:p>
    <w:p w14:paraId="65211B22"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 xml:space="preserve">Histologischer Subtyp (gemäß der aktuell gültigen WHO-Klassifikation, z.B. Adenokarzinom, muzinöses Adenokarzinom) </w:t>
      </w:r>
    </w:p>
    <w:p w14:paraId="421AC709"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lastRenderedPageBreak/>
        <w:t xml:space="preserve">Differenzierungsgrad (gemäß der aktuell gültigen WHO-Klassifikation) </w:t>
      </w:r>
    </w:p>
    <w:p w14:paraId="18527C63" w14:textId="77777777" w:rsidR="009F76EC" w:rsidRPr="009F76EC" w:rsidRDefault="009F76EC" w:rsidP="000B1AD6">
      <w:pPr>
        <w:pStyle w:val="Listenabsatz"/>
        <w:numPr>
          <w:ilvl w:val="0"/>
          <w:numId w:val="3"/>
        </w:numPr>
        <w:spacing w:line="276" w:lineRule="auto"/>
        <w:ind w:left="426" w:hanging="426"/>
        <w:jc w:val="both"/>
        <w:rPr>
          <w:rFonts w:asciiTheme="minorHAnsi" w:hAnsiTheme="minorHAnsi" w:cstheme="minorHAnsi"/>
        </w:rPr>
      </w:pPr>
      <w:r w:rsidRPr="009F76EC">
        <w:rPr>
          <w:rFonts w:asciiTheme="minorHAnsi" w:hAnsiTheme="minorHAnsi" w:cstheme="minorHAnsi"/>
        </w:rPr>
        <w:t xml:space="preserve">Tumorstadium (pTNM) – bei kolorektalem Frühkarzinom (pT1) Angaben zur Invasionstiefe (z.B. nach Kikuchi bei sessilen Läsionen [sm1 bis sm3], nach Haggitt bei gestielten Läsionen [Level 1 bis Level 4] und/oder metrisch) empfohlen. </w:t>
      </w:r>
    </w:p>
    <w:p w14:paraId="2F7AACD2" w14:textId="77777777" w:rsidR="009F76EC" w:rsidRPr="00094D41" w:rsidRDefault="009F76EC" w:rsidP="000B1AD6">
      <w:pPr>
        <w:pStyle w:val="Listenabsatz"/>
        <w:numPr>
          <w:ilvl w:val="1"/>
          <w:numId w:val="3"/>
        </w:numPr>
        <w:spacing w:line="276" w:lineRule="auto"/>
        <w:jc w:val="both"/>
        <w:rPr>
          <w:rFonts w:asciiTheme="minorHAnsi" w:hAnsiTheme="minorHAnsi" w:cstheme="minorHAnsi"/>
        </w:rPr>
      </w:pPr>
      <w:r w:rsidRPr="00094D41">
        <w:rPr>
          <w:rFonts w:asciiTheme="minorHAnsi" w:hAnsiTheme="minorHAnsi" w:cstheme="minorHAnsi"/>
        </w:rPr>
        <w:t>Mindestens 12 Lymphknoten.</w:t>
      </w:r>
    </w:p>
    <w:p w14:paraId="1044B960" w14:textId="77777777" w:rsidR="009F76EC" w:rsidRPr="00094D41" w:rsidRDefault="009F76EC" w:rsidP="000B1AD6">
      <w:pPr>
        <w:pStyle w:val="Listenabsatz"/>
        <w:numPr>
          <w:ilvl w:val="1"/>
          <w:numId w:val="3"/>
        </w:numPr>
        <w:spacing w:line="276" w:lineRule="auto"/>
        <w:jc w:val="both"/>
        <w:rPr>
          <w:rFonts w:asciiTheme="minorHAnsi" w:hAnsiTheme="minorHAnsi" w:cstheme="minorHAnsi"/>
        </w:rPr>
      </w:pPr>
      <w:r w:rsidRPr="00094D41">
        <w:rPr>
          <w:rFonts w:asciiTheme="minorHAnsi" w:hAnsiTheme="minorHAnsi" w:cstheme="minorHAnsi"/>
        </w:rPr>
        <w:t>Das Verhältnis von untersuchten zu befallenen Lymphknoten sollte angegeben werden.</w:t>
      </w:r>
    </w:p>
    <w:p w14:paraId="37885D7C" w14:textId="77777777" w:rsidR="009F76EC" w:rsidRPr="00094D41" w:rsidRDefault="009F76EC" w:rsidP="000B1AD6">
      <w:pPr>
        <w:pStyle w:val="Listenabsatz"/>
        <w:numPr>
          <w:ilvl w:val="1"/>
          <w:numId w:val="3"/>
        </w:numPr>
        <w:spacing w:line="276" w:lineRule="auto"/>
        <w:jc w:val="both"/>
        <w:rPr>
          <w:rFonts w:asciiTheme="minorHAnsi" w:hAnsiTheme="minorHAnsi" w:cstheme="minorHAnsi"/>
        </w:rPr>
      </w:pPr>
      <w:r w:rsidRPr="00094D41">
        <w:rPr>
          <w:rFonts w:asciiTheme="minorHAnsi" w:hAnsiTheme="minorHAnsi" w:cstheme="minorHAnsi"/>
        </w:rPr>
        <w:t xml:space="preserve">Stellungnahme zu Risikofaktoren (z.B. lymphovaskuläre Invasion [L0, L1], venöse Invasion [V0, V1] und perineurale Invasion [Pn0, Pn1]) </w:t>
      </w:r>
    </w:p>
    <w:p w14:paraId="05772E13" w14:textId="77777777" w:rsidR="009F76EC" w:rsidRPr="00094D41" w:rsidRDefault="009F76EC" w:rsidP="000B1AD6">
      <w:pPr>
        <w:pStyle w:val="Listenabsatz"/>
        <w:numPr>
          <w:ilvl w:val="0"/>
          <w:numId w:val="3"/>
        </w:numPr>
        <w:spacing w:line="276" w:lineRule="auto"/>
        <w:ind w:left="426" w:hanging="426"/>
        <w:jc w:val="both"/>
        <w:rPr>
          <w:rFonts w:asciiTheme="minorHAnsi" w:hAnsiTheme="minorHAnsi" w:cstheme="minorHAnsi"/>
        </w:rPr>
      </w:pPr>
      <w:r w:rsidRPr="00094D41">
        <w:rPr>
          <w:rFonts w:asciiTheme="minorHAnsi" w:hAnsiTheme="minorHAnsi" w:cstheme="minorHAnsi"/>
        </w:rPr>
        <w:t xml:space="preserve">Abstand zum Resektionsrand (oral, aboral und lateral / zirkumferenziell) </w:t>
      </w:r>
    </w:p>
    <w:p w14:paraId="482F4214" w14:textId="77777777" w:rsidR="009F76EC" w:rsidRPr="00094D41" w:rsidRDefault="009F76EC" w:rsidP="000B1AD6">
      <w:pPr>
        <w:pStyle w:val="Listenabsatz"/>
        <w:numPr>
          <w:ilvl w:val="1"/>
          <w:numId w:val="3"/>
        </w:numPr>
        <w:spacing w:line="276" w:lineRule="auto"/>
        <w:jc w:val="both"/>
        <w:rPr>
          <w:rFonts w:asciiTheme="minorHAnsi" w:hAnsiTheme="minorHAnsi" w:cstheme="minorHAnsi"/>
        </w:rPr>
      </w:pPr>
      <w:r w:rsidRPr="00094D41">
        <w:rPr>
          <w:rFonts w:asciiTheme="minorHAnsi" w:hAnsiTheme="minorHAnsi" w:cstheme="minorHAnsi"/>
        </w:rPr>
        <w:t>Lateral / zirkumferenziell bei allen Rektumkarzinomen; bei Kolonkarzinomen, wenn der Tumor weniger als 2 cm an den Resektionsrand heranreicht.</w:t>
      </w:r>
    </w:p>
    <w:p w14:paraId="5806D56D" w14:textId="77777777" w:rsidR="009F76EC" w:rsidRPr="00094D41" w:rsidRDefault="009F76EC" w:rsidP="000B1AD6">
      <w:pPr>
        <w:pStyle w:val="Listenabsatz"/>
        <w:numPr>
          <w:ilvl w:val="0"/>
          <w:numId w:val="3"/>
        </w:numPr>
        <w:spacing w:line="276" w:lineRule="auto"/>
        <w:ind w:left="426" w:hanging="426"/>
        <w:jc w:val="both"/>
        <w:rPr>
          <w:rFonts w:asciiTheme="minorHAnsi" w:hAnsiTheme="minorHAnsi" w:cstheme="minorHAnsi"/>
        </w:rPr>
      </w:pPr>
      <w:r w:rsidRPr="00094D41">
        <w:rPr>
          <w:rFonts w:asciiTheme="minorHAnsi" w:hAnsiTheme="minorHAnsi" w:cstheme="minorHAnsi"/>
        </w:rPr>
        <w:t xml:space="preserve">Bei neoadjuvanter Therapie - Abschätzung des Ausmaßes der Tumorregression. </w:t>
      </w:r>
    </w:p>
    <w:p w14:paraId="1936A079" w14:textId="77777777" w:rsidR="009F76EC" w:rsidRPr="00094D41" w:rsidRDefault="009F76EC" w:rsidP="000B1AD6">
      <w:pPr>
        <w:pStyle w:val="Listenabsatz"/>
        <w:numPr>
          <w:ilvl w:val="0"/>
          <w:numId w:val="3"/>
        </w:numPr>
        <w:spacing w:line="276" w:lineRule="auto"/>
        <w:ind w:left="426" w:hanging="426"/>
        <w:jc w:val="both"/>
        <w:rPr>
          <w:rFonts w:asciiTheme="minorHAnsi" w:hAnsiTheme="minorHAnsi" w:cstheme="minorHAnsi"/>
        </w:rPr>
      </w:pPr>
      <w:r w:rsidRPr="00094D41">
        <w:rPr>
          <w:rFonts w:asciiTheme="minorHAnsi" w:hAnsiTheme="minorHAnsi" w:cstheme="minorHAnsi"/>
        </w:rPr>
        <w:t xml:space="preserve">Weitere pathologische Befunde (falls vorhanden) </w:t>
      </w:r>
    </w:p>
    <w:p w14:paraId="5FB70EAF" w14:textId="77777777" w:rsidR="009F76EC" w:rsidRPr="00094D41" w:rsidRDefault="009F76EC" w:rsidP="000B1AD6">
      <w:pPr>
        <w:pStyle w:val="Listenabsatz"/>
        <w:numPr>
          <w:ilvl w:val="0"/>
          <w:numId w:val="3"/>
        </w:numPr>
        <w:spacing w:line="276" w:lineRule="auto"/>
        <w:ind w:left="426" w:hanging="426"/>
        <w:jc w:val="both"/>
        <w:rPr>
          <w:rFonts w:asciiTheme="minorHAnsi" w:hAnsiTheme="minorHAnsi" w:cstheme="minorHAnsi"/>
        </w:rPr>
      </w:pPr>
      <w:r w:rsidRPr="00094D41">
        <w:rPr>
          <w:rFonts w:asciiTheme="minorHAnsi" w:hAnsiTheme="minorHAnsi" w:cstheme="minorHAnsi"/>
        </w:rPr>
        <w:t>Molekularpathologische Befunde je nach klinischer Fragestellung bzw. Therapieplan (z.B. MSI, KRAS, NRAS</w:t>
      </w:r>
      <w:r w:rsidR="00C13BD2">
        <w:rPr>
          <w:rFonts w:asciiTheme="minorHAnsi" w:hAnsiTheme="minorHAnsi" w:cstheme="minorHAnsi"/>
        </w:rPr>
        <w:t>, BRAF</w:t>
      </w:r>
      <w:r w:rsidRPr="00094D41">
        <w:rPr>
          <w:rFonts w:asciiTheme="minorHAnsi" w:hAnsiTheme="minorHAnsi" w:cstheme="minorHAnsi"/>
        </w:rPr>
        <w:t xml:space="preserve">) </w:t>
      </w:r>
    </w:p>
    <w:p w14:paraId="0CBB296B" w14:textId="77777777" w:rsidR="009F76EC" w:rsidRPr="009208C6" w:rsidRDefault="009F76EC" w:rsidP="009F76EC">
      <w:pPr>
        <w:autoSpaceDE w:val="0"/>
        <w:autoSpaceDN w:val="0"/>
        <w:adjustRightInd w:val="0"/>
        <w:spacing w:line="240" w:lineRule="auto"/>
        <w:rPr>
          <w:rFonts w:eastAsia="Calibri" w:cs="Arial"/>
          <w:color w:val="000000"/>
          <w:szCs w:val="22"/>
          <w:lang w:eastAsia="de-AT"/>
        </w:rPr>
      </w:pPr>
    </w:p>
    <w:p w14:paraId="0330992F" w14:textId="77777777" w:rsidR="009F76EC" w:rsidRDefault="009F76EC" w:rsidP="00094D41">
      <w:pPr>
        <w:spacing w:line="276" w:lineRule="auto"/>
        <w:jc w:val="both"/>
        <w:rPr>
          <w:rFonts w:asciiTheme="minorHAnsi" w:hAnsiTheme="minorHAnsi" w:cstheme="minorHAnsi"/>
        </w:rPr>
      </w:pPr>
      <w:r w:rsidRPr="00094D41">
        <w:rPr>
          <w:rFonts w:asciiTheme="minorHAnsi" w:hAnsiTheme="minorHAnsi" w:cstheme="minorHAnsi"/>
        </w:rPr>
        <w:t>Anmerkung</w:t>
      </w:r>
      <w:r w:rsidR="008A28CE">
        <w:rPr>
          <w:rFonts w:asciiTheme="minorHAnsi" w:hAnsiTheme="minorHAnsi" w:cstheme="minorHAnsi"/>
        </w:rPr>
        <w:t xml:space="preserve"> MSI</w:t>
      </w:r>
      <w:r w:rsidRPr="00094D41">
        <w:rPr>
          <w:rFonts w:asciiTheme="minorHAnsi" w:hAnsiTheme="minorHAnsi" w:cstheme="minorHAnsi"/>
        </w:rPr>
        <w:t>: Für Bestimmung des Mikrosatellitenstatus bei Verdacht auf Lynch-Syndrom (HNPCC-Syndrom) kann eine immunhistochemische und/oder molekularpathologische Analyse durchgeführt werden</w:t>
      </w:r>
      <w:r w:rsidR="008A28CE">
        <w:rPr>
          <w:rFonts w:asciiTheme="minorHAnsi" w:hAnsiTheme="minorHAnsi" w:cstheme="minorHAnsi"/>
        </w:rPr>
        <w:t xml:space="preserve"> (siehe 2.7. </w:t>
      </w:r>
      <w:r w:rsidR="008A28CE" w:rsidRPr="008A28CE">
        <w:rPr>
          <w:rFonts w:asciiTheme="minorHAnsi" w:hAnsiTheme="minorHAnsi" w:cstheme="minorHAnsi"/>
        </w:rPr>
        <w:t>Testalgorithmus zur Abklärung auf Lynchsyndrom / MSI-Testung</w:t>
      </w:r>
      <w:r w:rsidR="008A28CE">
        <w:rPr>
          <w:rFonts w:asciiTheme="minorHAnsi" w:hAnsiTheme="minorHAnsi" w:cstheme="minorHAnsi"/>
        </w:rPr>
        <w:t>).</w:t>
      </w:r>
    </w:p>
    <w:p w14:paraId="7A715319" w14:textId="77777777" w:rsidR="008A28CE" w:rsidRPr="00667A57" w:rsidRDefault="008A28CE" w:rsidP="00094D41">
      <w:pPr>
        <w:spacing w:line="276" w:lineRule="auto"/>
        <w:jc w:val="both"/>
        <w:rPr>
          <w:rFonts w:asciiTheme="minorHAnsi" w:hAnsiTheme="minorHAnsi" w:cstheme="minorHAnsi"/>
        </w:rPr>
      </w:pPr>
      <w:r w:rsidRPr="00667A57">
        <w:rPr>
          <w:rFonts w:asciiTheme="minorHAnsi" w:hAnsiTheme="minorHAnsi" w:cstheme="minorHAnsi"/>
        </w:rPr>
        <w:t>Wenig differenzierte Adenokarzinome einschließlich muzinöser Adenokarzinome und undifferenzierte Karzinome sollen immunhistochemisch auf die Expression von hMLH1 und hMSH2 getestet und bei einem Ausfall von hMLH1 oder hMSH2 als niedriggradige (low grade) Karzinome graduiert werden.</w:t>
      </w:r>
    </w:p>
    <w:p w14:paraId="688DDAAC" w14:textId="77777777" w:rsidR="00094D41" w:rsidRPr="00667A57" w:rsidRDefault="00094D41" w:rsidP="00094D41">
      <w:pPr>
        <w:spacing w:line="276" w:lineRule="auto"/>
        <w:jc w:val="both"/>
        <w:rPr>
          <w:rFonts w:asciiTheme="minorHAnsi" w:hAnsiTheme="minorHAnsi" w:cstheme="minorHAnsi"/>
          <w:sz w:val="18"/>
        </w:rPr>
      </w:pPr>
    </w:p>
    <w:p w14:paraId="250ADB51" w14:textId="77777777" w:rsidR="004F0EE5" w:rsidRDefault="009F76EC" w:rsidP="00094D41">
      <w:pPr>
        <w:spacing w:line="276" w:lineRule="auto"/>
        <w:jc w:val="both"/>
        <w:rPr>
          <w:rFonts w:asciiTheme="minorHAnsi" w:hAnsiTheme="minorHAnsi" w:cstheme="minorHAnsi"/>
          <w:sz w:val="18"/>
        </w:rPr>
      </w:pPr>
      <w:r w:rsidRPr="00094D41">
        <w:rPr>
          <w:rFonts w:asciiTheme="minorHAnsi" w:hAnsiTheme="minorHAnsi" w:cstheme="minorHAnsi"/>
          <w:sz w:val="18"/>
        </w:rPr>
        <w:t>Qualitätsstandards der ÖGPath, Organspezifische Standards, Kolon und Rektum (Langner, Offner) PDF, 2013, V 1.0 (Oktober 2913)</w:t>
      </w:r>
    </w:p>
    <w:p w14:paraId="2C8C7C4E" w14:textId="77777777" w:rsidR="000E4CFF" w:rsidRDefault="000E4CFF" w:rsidP="00094D41">
      <w:pPr>
        <w:spacing w:line="276" w:lineRule="auto"/>
        <w:jc w:val="both"/>
        <w:rPr>
          <w:rFonts w:asciiTheme="minorHAnsi" w:hAnsiTheme="minorHAnsi" w:cstheme="minorHAnsi"/>
          <w:sz w:val="18"/>
        </w:rPr>
      </w:pPr>
    </w:p>
    <w:p w14:paraId="248999EC" w14:textId="77777777" w:rsidR="000E4CFF" w:rsidRDefault="000E4CFF" w:rsidP="00094D41">
      <w:pPr>
        <w:spacing w:line="276" w:lineRule="auto"/>
        <w:jc w:val="both"/>
        <w:rPr>
          <w:rFonts w:asciiTheme="minorHAnsi" w:hAnsiTheme="minorHAnsi" w:cstheme="minorHAnsi"/>
          <w:sz w:val="18"/>
        </w:rPr>
      </w:pPr>
    </w:p>
    <w:p w14:paraId="4DE2C78D" w14:textId="77777777" w:rsidR="000E4CFF" w:rsidRDefault="000E4CFF" w:rsidP="00094D41">
      <w:pPr>
        <w:spacing w:line="276" w:lineRule="auto"/>
        <w:jc w:val="both"/>
        <w:rPr>
          <w:rFonts w:asciiTheme="minorHAnsi" w:hAnsiTheme="minorHAnsi" w:cstheme="minorHAnsi"/>
          <w:sz w:val="18"/>
        </w:rPr>
      </w:pPr>
    </w:p>
    <w:p w14:paraId="100E5DBE" w14:textId="77777777" w:rsidR="000E4CFF" w:rsidRDefault="000E4CFF" w:rsidP="00094D41">
      <w:pPr>
        <w:spacing w:line="276" w:lineRule="auto"/>
        <w:jc w:val="both"/>
        <w:rPr>
          <w:rFonts w:asciiTheme="minorHAnsi" w:hAnsiTheme="minorHAnsi" w:cstheme="minorHAnsi"/>
          <w:sz w:val="18"/>
        </w:rPr>
      </w:pPr>
    </w:p>
    <w:p w14:paraId="122EFC9F" w14:textId="77777777" w:rsidR="000E4CFF" w:rsidRDefault="000E4CFF" w:rsidP="00094D41">
      <w:pPr>
        <w:spacing w:line="276" w:lineRule="auto"/>
        <w:jc w:val="both"/>
        <w:rPr>
          <w:rFonts w:asciiTheme="minorHAnsi" w:hAnsiTheme="minorHAnsi" w:cstheme="minorHAnsi"/>
          <w:sz w:val="18"/>
        </w:rPr>
      </w:pPr>
    </w:p>
    <w:p w14:paraId="2F9E14E3" w14:textId="77777777" w:rsidR="000E4CFF" w:rsidRDefault="000E4CFF" w:rsidP="00094D41">
      <w:pPr>
        <w:spacing w:line="276" w:lineRule="auto"/>
        <w:jc w:val="both"/>
        <w:rPr>
          <w:rFonts w:asciiTheme="minorHAnsi" w:hAnsiTheme="minorHAnsi" w:cstheme="minorHAnsi"/>
          <w:sz w:val="18"/>
        </w:rPr>
      </w:pPr>
    </w:p>
    <w:p w14:paraId="5E9419FC" w14:textId="77777777" w:rsidR="000E4CFF" w:rsidRDefault="000E4CFF" w:rsidP="00094D41">
      <w:pPr>
        <w:spacing w:line="276" w:lineRule="auto"/>
        <w:jc w:val="both"/>
        <w:rPr>
          <w:rFonts w:asciiTheme="minorHAnsi" w:hAnsiTheme="minorHAnsi" w:cstheme="minorHAnsi"/>
          <w:sz w:val="18"/>
        </w:rPr>
      </w:pPr>
    </w:p>
    <w:p w14:paraId="72B5CA5C" w14:textId="77777777" w:rsidR="000E4CFF" w:rsidRDefault="000E4CFF" w:rsidP="00094D41">
      <w:pPr>
        <w:spacing w:line="276" w:lineRule="auto"/>
        <w:jc w:val="both"/>
        <w:rPr>
          <w:rFonts w:asciiTheme="minorHAnsi" w:hAnsiTheme="minorHAnsi" w:cstheme="minorHAnsi"/>
          <w:sz w:val="18"/>
        </w:rPr>
      </w:pPr>
    </w:p>
    <w:p w14:paraId="43212841" w14:textId="77777777" w:rsidR="000E4CFF" w:rsidRDefault="000E4CFF" w:rsidP="00094D41">
      <w:pPr>
        <w:spacing w:line="276" w:lineRule="auto"/>
        <w:jc w:val="both"/>
        <w:rPr>
          <w:rFonts w:asciiTheme="minorHAnsi" w:hAnsiTheme="minorHAnsi" w:cstheme="minorHAnsi"/>
          <w:sz w:val="18"/>
        </w:rPr>
      </w:pPr>
    </w:p>
    <w:p w14:paraId="6A1210C4" w14:textId="77777777" w:rsidR="000E4CFF" w:rsidRDefault="000E4CFF" w:rsidP="00094D41">
      <w:pPr>
        <w:spacing w:line="276" w:lineRule="auto"/>
        <w:jc w:val="both"/>
        <w:rPr>
          <w:rFonts w:asciiTheme="minorHAnsi" w:hAnsiTheme="minorHAnsi" w:cstheme="minorHAnsi"/>
          <w:sz w:val="18"/>
        </w:rPr>
      </w:pPr>
    </w:p>
    <w:p w14:paraId="521A1029" w14:textId="77777777" w:rsidR="000E4CFF" w:rsidRDefault="000E4CFF" w:rsidP="00094D41">
      <w:pPr>
        <w:spacing w:line="276" w:lineRule="auto"/>
        <w:jc w:val="both"/>
        <w:rPr>
          <w:rFonts w:asciiTheme="minorHAnsi" w:hAnsiTheme="minorHAnsi" w:cstheme="minorHAnsi"/>
          <w:sz w:val="18"/>
        </w:rPr>
      </w:pPr>
    </w:p>
    <w:p w14:paraId="4CEAD062" w14:textId="77777777" w:rsidR="000E4CFF" w:rsidRDefault="000E4CFF" w:rsidP="00094D41">
      <w:pPr>
        <w:spacing w:line="276" w:lineRule="auto"/>
        <w:jc w:val="both"/>
        <w:rPr>
          <w:rFonts w:asciiTheme="minorHAnsi" w:hAnsiTheme="minorHAnsi" w:cstheme="minorHAnsi"/>
          <w:sz w:val="18"/>
        </w:rPr>
      </w:pPr>
    </w:p>
    <w:p w14:paraId="6749111F" w14:textId="77777777" w:rsidR="000E4CFF" w:rsidRDefault="000E4CFF" w:rsidP="00094D41">
      <w:pPr>
        <w:spacing w:line="276" w:lineRule="auto"/>
        <w:jc w:val="both"/>
        <w:rPr>
          <w:rFonts w:asciiTheme="minorHAnsi" w:hAnsiTheme="minorHAnsi" w:cstheme="minorHAnsi"/>
          <w:sz w:val="18"/>
        </w:rPr>
      </w:pPr>
    </w:p>
    <w:p w14:paraId="7922C413" w14:textId="77777777" w:rsidR="000E4CFF" w:rsidRDefault="000E4CFF" w:rsidP="00094D41">
      <w:pPr>
        <w:spacing w:line="276" w:lineRule="auto"/>
        <w:jc w:val="both"/>
        <w:rPr>
          <w:rFonts w:asciiTheme="minorHAnsi" w:hAnsiTheme="minorHAnsi" w:cstheme="minorHAnsi"/>
          <w:sz w:val="18"/>
        </w:rPr>
      </w:pPr>
    </w:p>
    <w:p w14:paraId="45C909BC" w14:textId="77777777" w:rsidR="000E4CFF" w:rsidRDefault="000E4CFF" w:rsidP="00094D41">
      <w:pPr>
        <w:spacing w:line="276" w:lineRule="auto"/>
        <w:jc w:val="both"/>
        <w:rPr>
          <w:rFonts w:asciiTheme="minorHAnsi" w:hAnsiTheme="minorHAnsi" w:cstheme="minorHAnsi"/>
          <w:sz w:val="18"/>
        </w:rPr>
      </w:pPr>
    </w:p>
    <w:p w14:paraId="4C873C73" w14:textId="77777777" w:rsidR="000E4CFF" w:rsidRDefault="000E4CFF" w:rsidP="00094D41">
      <w:pPr>
        <w:spacing w:line="276" w:lineRule="auto"/>
        <w:jc w:val="both"/>
        <w:rPr>
          <w:rFonts w:asciiTheme="minorHAnsi" w:hAnsiTheme="minorHAnsi" w:cstheme="minorHAnsi"/>
          <w:sz w:val="18"/>
        </w:rPr>
      </w:pPr>
    </w:p>
    <w:p w14:paraId="7B26E8BB" w14:textId="77777777" w:rsidR="000E4CFF" w:rsidRDefault="000E4CFF" w:rsidP="00094D41">
      <w:pPr>
        <w:spacing w:line="276" w:lineRule="auto"/>
        <w:jc w:val="both"/>
        <w:rPr>
          <w:rFonts w:asciiTheme="minorHAnsi" w:hAnsiTheme="minorHAnsi" w:cstheme="minorHAnsi"/>
          <w:sz w:val="18"/>
        </w:rPr>
      </w:pPr>
    </w:p>
    <w:p w14:paraId="1EBB4FC9" w14:textId="77777777" w:rsidR="000E4CFF" w:rsidRDefault="000E4CFF" w:rsidP="00094D41">
      <w:pPr>
        <w:spacing w:line="276" w:lineRule="auto"/>
        <w:jc w:val="both"/>
        <w:rPr>
          <w:rFonts w:asciiTheme="minorHAnsi" w:hAnsiTheme="minorHAnsi" w:cstheme="minorHAnsi"/>
          <w:sz w:val="18"/>
        </w:rPr>
      </w:pPr>
    </w:p>
    <w:p w14:paraId="12F0A39F" w14:textId="77777777" w:rsidR="000E4CFF" w:rsidRDefault="000E4CFF" w:rsidP="00094D41">
      <w:pPr>
        <w:spacing w:line="276" w:lineRule="auto"/>
        <w:jc w:val="both"/>
        <w:rPr>
          <w:rFonts w:asciiTheme="minorHAnsi" w:hAnsiTheme="minorHAnsi" w:cstheme="minorHAnsi"/>
          <w:sz w:val="18"/>
        </w:rPr>
      </w:pPr>
    </w:p>
    <w:p w14:paraId="34C1B6D2" w14:textId="77777777" w:rsidR="000E4CFF" w:rsidRDefault="000E4CFF" w:rsidP="00094D41">
      <w:pPr>
        <w:spacing w:line="276" w:lineRule="auto"/>
        <w:jc w:val="both"/>
        <w:rPr>
          <w:rFonts w:asciiTheme="minorHAnsi" w:hAnsiTheme="minorHAnsi" w:cstheme="minorHAnsi"/>
          <w:sz w:val="18"/>
        </w:rPr>
      </w:pPr>
    </w:p>
    <w:p w14:paraId="068F68A4" w14:textId="77777777" w:rsidR="000E4CFF" w:rsidRDefault="000E4CFF" w:rsidP="00094D41">
      <w:pPr>
        <w:spacing w:line="276" w:lineRule="auto"/>
        <w:jc w:val="both"/>
        <w:rPr>
          <w:rFonts w:asciiTheme="minorHAnsi" w:hAnsiTheme="minorHAnsi" w:cstheme="minorHAnsi"/>
          <w:sz w:val="18"/>
        </w:rPr>
      </w:pPr>
    </w:p>
    <w:p w14:paraId="46AE0098" w14:textId="77777777" w:rsidR="000E4CFF" w:rsidRDefault="000E4CFF" w:rsidP="00094D41">
      <w:pPr>
        <w:spacing w:line="276" w:lineRule="auto"/>
        <w:jc w:val="both"/>
        <w:rPr>
          <w:rFonts w:asciiTheme="minorHAnsi" w:hAnsiTheme="minorHAnsi" w:cstheme="minorHAnsi"/>
          <w:sz w:val="18"/>
        </w:rPr>
      </w:pPr>
    </w:p>
    <w:p w14:paraId="1C5996B8" w14:textId="77777777" w:rsidR="001B0846" w:rsidRPr="001B0846" w:rsidRDefault="00333C89" w:rsidP="001B0846">
      <w:pPr>
        <w:keepNext/>
        <w:spacing w:before="240" w:after="60"/>
        <w:ind w:left="705" w:hanging="705"/>
        <w:jc w:val="left"/>
        <w:outlineLvl w:val="1"/>
        <w:rPr>
          <w:rFonts w:cs="Arial"/>
          <w:b/>
          <w:bCs/>
          <w:i/>
          <w:iCs/>
          <w:sz w:val="24"/>
          <w:szCs w:val="24"/>
          <w:lang w:val="de-DE" w:eastAsia="de-AT"/>
        </w:rPr>
      </w:pPr>
      <w:bookmarkStart w:id="16" w:name="_Toc93523277"/>
      <w:r>
        <w:rPr>
          <w:rFonts w:cs="Arial"/>
          <w:b/>
          <w:bCs/>
          <w:i/>
          <w:iCs/>
          <w:sz w:val="24"/>
          <w:szCs w:val="24"/>
          <w:lang w:val="de-DE" w:eastAsia="de-AT"/>
        </w:rPr>
        <w:lastRenderedPageBreak/>
        <w:t>2</w:t>
      </w:r>
      <w:r w:rsidRPr="00333C89">
        <w:rPr>
          <w:rFonts w:cs="Arial"/>
          <w:b/>
          <w:bCs/>
          <w:i/>
          <w:iCs/>
          <w:sz w:val="24"/>
          <w:szCs w:val="24"/>
          <w:lang w:val="de-DE" w:eastAsia="de-AT"/>
        </w:rPr>
        <w:t>.</w:t>
      </w:r>
      <w:r w:rsidR="00C5792C">
        <w:rPr>
          <w:rFonts w:cs="Arial"/>
          <w:b/>
          <w:bCs/>
          <w:i/>
          <w:iCs/>
          <w:sz w:val="24"/>
          <w:szCs w:val="24"/>
          <w:lang w:val="de-DE" w:eastAsia="de-AT"/>
        </w:rPr>
        <w:t>8</w:t>
      </w:r>
      <w:r w:rsidRPr="00333C89">
        <w:rPr>
          <w:rFonts w:cs="Arial"/>
          <w:b/>
          <w:bCs/>
          <w:i/>
          <w:iCs/>
          <w:sz w:val="24"/>
          <w:szCs w:val="24"/>
          <w:lang w:val="de-DE" w:eastAsia="de-AT"/>
        </w:rPr>
        <w:tab/>
      </w:r>
      <w:bookmarkStart w:id="17" w:name="_Hlk530240299"/>
      <w:r w:rsidRPr="00564EAE">
        <w:rPr>
          <w:rFonts w:cs="Arial"/>
          <w:b/>
          <w:bCs/>
          <w:i/>
          <w:iCs/>
          <w:sz w:val="24"/>
          <w:szCs w:val="24"/>
          <w:lang w:eastAsia="de-AT"/>
        </w:rPr>
        <w:t>Testalgorithmus zur Abklärung auf Lynchsyndrom / MSI-Testung</w:t>
      </w:r>
      <w:bookmarkEnd w:id="16"/>
      <w:bookmarkEnd w:id="17"/>
    </w:p>
    <w:p w14:paraId="33F7DFF8" w14:textId="77777777" w:rsidR="00333C89" w:rsidRPr="007C5CCC" w:rsidRDefault="001B0846" w:rsidP="00333C89">
      <w:pPr>
        <w:spacing w:after="160" w:line="259" w:lineRule="auto"/>
        <w:jc w:val="left"/>
        <w:rPr>
          <w:rFonts w:ascii="Calibri" w:eastAsia="Calibri" w:hAnsi="Calibri"/>
          <w:color w:val="FF0000"/>
          <w:szCs w:val="22"/>
          <w:lang w:val="en-US" w:eastAsia="en-US"/>
        </w:rPr>
      </w:pPr>
      <w:r>
        <w:rPr>
          <w:noProof/>
          <w:lang w:eastAsia="de-AT"/>
        </w:rPr>
        <w:drawing>
          <wp:inline distT="0" distB="0" distL="0" distR="0" wp14:anchorId="0EFB6250" wp14:editId="5CF74D76">
            <wp:extent cx="5957570" cy="5658485"/>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7570" cy="5658485"/>
                    </a:xfrm>
                    <a:prstGeom prst="rect">
                      <a:avLst/>
                    </a:prstGeom>
                    <a:noFill/>
                    <a:ln>
                      <a:noFill/>
                    </a:ln>
                  </pic:spPr>
                </pic:pic>
              </a:graphicData>
            </a:graphic>
          </wp:inline>
        </w:drawing>
      </w:r>
    </w:p>
    <w:p w14:paraId="4757FFBD" w14:textId="77777777" w:rsidR="00333C89" w:rsidRPr="00564EAE" w:rsidRDefault="00333C89" w:rsidP="00333C89">
      <w:pPr>
        <w:spacing w:after="160" w:line="259" w:lineRule="auto"/>
        <w:jc w:val="left"/>
        <w:rPr>
          <w:rFonts w:ascii="Calibri" w:eastAsia="Calibri" w:hAnsi="Calibri"/>
          <w:sz w:val="24"/>
          <w:szCs w:val="24"/>
          <w:lang w:eastAsia="en-US"/>
        </w:rPr>
      </w:pPr>
      <w:r w:rsidRPr="00564EAE">
        <w:rPr>
          <w:rFonts w:ascii="Calibri" w:eastAsia="Calibri" w:hAnsi="Calibri"/>
          <w:b/>
          <w:sz w:val="24"/>
          <w:szCs w:val="24"/>
          <w:lang w:eastAsia="en-US"/>
        </w:rPr>
        <w:t>Überarbeitete Bethesda-Kriterien</w:t>
      </w:r>
      <w:r w:rsidRPr="00564EAE">
        <w:rPr>
          <w:rFonts w:ascii="Calibri" w:eastAsia="Calibri" w:hAnsi="Calibri"/>
          <w:sz w:val="24"/>
          <w:szCs w:val="24"/>
          <w:lang w:eastAsia="en-US"/>
        </w:rPr>
        <w:t xml:space="preserve"> (Umar A et al J Natl Cancer Ins 2004;261-268)</w:t>
      </w:r>
    </w:p>
    <w:tbl>
      <w:tblPr>
        <w:tblStyle w:val="Tabellenraster3"/>
        <w:tblW w:w="0" w:type="auto"/>
        <w:tblLook w:val="04A0" w:firstRow="1" w:lastRow="0" w:firstColumn="1" w:lastColumn="0" w:noHBand="0" w:noVBand="1"/>
      </w:tblPr>
      <w:tblGrid>
        <w:gridCol w:w="9372"/>
      </w:tblGrid>
      <w:tr w:rsidR="00333C89" w:rsidRPr="00333C89" w14:paraId="53F9BC06" w14:textId="77777777" w:rsidTr="00333C89">
        <w:tc>
          <w:tcPr>
            <w:tcW w:w="0" w:type="auto"/>
            <w:shd w:val="clear" w:color="auto" w:fill="BDD6EE"/>
          </w:tcPr>
          <w:p w14:paraId="15FADCEA" w14:textId="77777777" w:rsidR="00333C89" w:rsidRPr="00333C89" w:rsidRDefault="00333C89" w:rsidP="000B1AD6">
            <w:pPr>
              <w:numPr>
                <w:ilvl w:val="0"/>
                <w:numId w:val="5"/>
              </w:numPr>
              <w:spacing w:line="240" w:lineRule="auto"/>
              <w:contextualSpacing/>
              <w:jc w:val="left"/>
              <w:rPr>
                <w:rFonts w:ascii="Calibri" w:hAnsi="Calibri"/>
                <w:lang w:eastAsia="en-US"/>
              </w:rPr>
            </w:pPr>
            <w:r w:rsidRPr="00564EAE">
              <w:rPr>
                <w:rFonts w:ascii="Calibri" w:hAnsi="Calibri"/>
                <w:lang w:val="de-AT" w:eastAsia="en-US"/>
              </w:rPr>
              <w:t xml:space="preserve">Diagnose eines KRK vor dem 50. </w:t>
            </w:r>
            <w:r w:rsidRPr="00333C89">
              <w:rPr>
                <w:rFonts w:ascii="Calibri" w:hAnsi="Calibri"/>
                <w:lang w:eastAsia="en-US"/>
              </w:rPr>
              <w:t>Lebensjahr.</w:t>
            </w:r>
          </w:p>
        </w:tc>
      </w:tr>
      <w:tr w:rsidR="00333C89" w:rsidRPr="00333C89" w14:paraId="0B0B5D66" w14:textId="77777777" w:rsidTr="00333C89">
        <w:tc>
          <w:tcPr>
            <w:tcW w:w="0" w:type="auto"/>
            <w:shd w:val="clear" w:color="auto" w:fill="BDD6EE"/>
          </w:tcPr>
          <w:p w14:paraId="2EAF02CE" w14:textId="77777777" w:rsidR="00333C89" w:rsidRPr="00564EAE" w:rsidRDefault="00333C89" w:rsidP="000B1AD6">
            <w:pPr>
              <w:numPr>
                <w:ilvl w:val="0"/>
                <w:numId w:val="5"/>
              </w:numPr>
              <w:spacing w:line="240" w:lineRule="auto"/>
              <w:contextualSpacing/>
              <w:jc w:val="left"/>
              <w:rPr>
                <w:rFonts w:ascii="Calibri" w:hAnsi="Calibri"/>
                <w:lang w:val="de-AT" w:eastAsia="en-US"/>
              </w:rPr>
            </w:pPr>
            <w:r w:rsidRPr="00564EAE">
              <w:rPr>
                <w:rFonts w:ascii="Calibri" w:hAnsi="Calibri"/>
                <w:lang w:val="de-AT" w:eastAsia="en-US"/>
              </w:rPr>
              <w:t>Diagnose von syn- oder metachronen kolorektalen oder anderen HNPCC-assoziierten Tumoren (Kolon, Rektum, Endometrium, Magen, Ovar, Pankreas, Urothel, biliä</w:t>
            </w:r>
            <w:r w:rsidR="00C13BD2" w:rsidRPr="00564EAE">
              <w:rPr>
                <w:rFonts w:ascii="Calibri" w:hAnsi="Calibri"/>
                <w:lang w:val="de-AT" w:eastAsia="en-US"/>
              </w:rPr>
              <w:t>res System, Dünndarm , Gehirn</w:t>
            </w:r>
            <w:r w:rsidRPr="00564EAE">
              <w:rPr>
                <w:rFonts w:ascii="Calibri" w:hAnsi="Calibri"/>
                <w:lang w:val="de-AT" w:eastAsia="en-US"/>
              </w:rPr>
              <w:t xml:space="preserve"> </w:t>
            </w:r>
            <w:r w:rsidR="00C13BD2" w:rsidRPr="00564EAE">
              <w:rPr>
                <w:rFonts w:ascii="Calibri" w:hAnsi="Calibri"/>
                <w:lang w:val="de-AT" w:eastAsia="en-US"/>
              </w:rPr>
              <w:t>(</w:t>
            </w:r>
            <w:r w:rsidRPr="00564EAE">
              <w:rPr>
                <w:rFonts w:ascii="Calibri" w:hAnsi="Calibri"/>
                <w:lang w:val="de-AT" w:eastAsia="en-US"/>
              </w:rPr>
              <w:t>v.a. Glioblastom</w:t>
            </w:r>
            <w:r w:rsidR="00C13BD2" w:rsidRPr="00564EAE">
              <w:rPr>
                <w:rFonts w:ascii="Calibri" w:hAnsi="Calibri"/>
                <w:lang w:val="de-AT" w:eastAsia="en-US"/>
              </w:rPr>
              <w:t>)</w:t>
            </w:r>
            <w:r w:rsidRPr="00564EAE">
              <w:rPr>
                <w:rFonts w:ascii="Calibri" w:hAnsi="Calibri"/>
                <w:lang w:val="de-AT" w:eastAsia="en-US"/>
              </w:rPr>
              <w:t>, Haut (Talgdrüsenadenome und Keratoakanthome), unabhängig vom Alter bei Diagnose.</w:t>
            </w:r>
          </w:p>
        </w:tc>
      </w:tr>
      <w:tr w:rsidR="00333C89" w:rsidRPr="00333C89" w14:paraId="0F70D6C3" w14:textId="77777777" w:rsidTr="00333C89">
        <w:tc>
          <w:tcPr>
            <w:tcW w:w="0" w:type="auto"/>
            <w:shd w:val="clear" w:color="auto" w:fill="BDD6EE"/>
          </w:tcPr>
          <w:p w14:paraId="4E0ACD3F" w14:textId="77777777" w:rsidR="00333C89" w:rsidRPr="00564EAE" w:rsidRDefault="00333C89" w:rsidP="000B1AD6">
            <w:pPr>
              <w:numPr>
                <w:ilvl w:val="0"/>
                <w:numId w:val="5"/>
              </w:numPr>
              <w:spacing w:line="240" w:lineRule="auto"/>
              <w:contextualSpacing/>
              <w:jc w:val="left"/>
              <w:rPr>
                <w:rFonts w:ascii="Calibri" w:hAnsi="Calibri"/>
                <w:lang w:val="de-AT" w:eastAsia="en-US"/>
              </w:rPr>
            </w:pPr>
            <w:r w:rsidRPr="00564EAE">
              <w:rPr>
                <w:rFonts w:ascii="Calibri" w:hAnsi="Calibri"/>
                <w:lang w:val="de-AT" w:eastAsia="en-US"/>
              </w:rPr>
              <w:t>Diagnose eines KRK vor dem 60. Lebensjahr mit typischer Histologie eines MSI-H-Tumors (Tumor-infiltrierende Lymphozyten, Croh</w:t>
            </w:r>
            <w:r w:rsidR="00C13BD2" w:rsidRPr="00564EAE">
              <w:rPr>
                <w:rFonts w:ascii="Calibri" w:hAnsi="Calibri"/>
                <w:lang w:val="de-AT" w:eastAsia="en-US"/>
              </w:rPr>
              <w:t>n´s like Lesions, muzinöses oder</w:t>
            </w:r>
            <w:r w:rsidRPr="00564EAE">
              <w:rPr>
                <w:rFonts w:ascii="Calibri" w:hAnsi="Calibri"/>
                <w:lang w:val="de-AT" w:eastAsia="en-US"/>
              </w:rPr>
              <w:t xml:space="preserve"> siegelringzellige Differenzierung, medulläres  Karzinom).</w:t>
            </w:r>
          </w:p>
        </w:tc>
      </w:tr>
      <w:tr w:rsidR="00333C89" w:rsidRPr="00333C89" w14:paraId="49819C24" w14:textId="77777777" w:rsidTr="00333C89">
        <w:tc>
          <w:tcPr>
            <w:tcW w:w="0" w:type="auto"/>
            <w:shd w:val="clear" w:color="auto" w:fill="BDD6EE"/>
          </w:tcPr>
          <w:p w14:paraId="76EBA764" w14:textId="77777777" w:rsidR="00333C89" w:rsidRPr="00333C89" w:rsidRDefault="00333C89" w:rsidP="000B1AD6">
            <w:pPr>
              <w:numPr>
                <w:ilvl w:val="0"/>
                <w:numId w:val="5"/>
              </w:numPr>
              <w:spacing w:line="240" w:lineRule="auto"/>
              <w:contextualSpacing/>
              <w:jc w:val="left"/>
              <w:rPr>
                <w:rFonts w:ascii="Calibri" w:hAnsi="Calibri"/>
                <w:lang w:eastAsia="en-US"/>
              </w:rPr>
            </w:pPr>
            <w:r w:rsidRPr="00564EAE">
              <w:rPr>
                <w:rFonts w:ascii="Calibri" w:hAnsi="Calibri"/>
                <w:lang w:val="de-AT" w:eastAsia="en-US"/>
              </w:rPr>
              <w:t xml:space="preserve">Diagnose eines KRK bei mindestens einem  erstgradig Verwandten mit einem HNPCC-assoziiertem Tumor, davon Diagnose mindestens eines Tumors vor dem 50. </w:t>
            </w:r>
            <w:r w:rsidRPr="00333C89">
              <w:rPr>
                <w:rFonts w:ascii="Calibri" w:hAnsi="Calibri"/>
                <w:lang w:eastAsia="en-US"/>
              </w:rPr>
              <w:t>Lebensjahr.</w:t>
            </w:r>
          </w:p>
        </w:tc>
      </w:tr>
      <w:tr w:rsidR="00333C89" w:rsidRPr="00333C89" w14:paraId="71FC7F24" w14:textId="77777777" w:rsidTr="00333C89">
        <w:tc>
          <w:tcPr>
            <w:tcW w:w="0" w:type="auto"/>
            <w:shd w:val="clear" w:color="auto" w:fill="BDD6EE"/>
          </w:tcPr>
          <w:p w14:paraId="0C4FF1D0" w14:textId="77777777" w:rsidR="00333C89" w:rsidRPr="00564EAE" w:rsidRDefault="00333C89" w:rsidP="000B1AD6">
            <w:pPr>
              <w:numPr>
                <w:ilvl w:val="0"/>
                <w:numId w:val="5"/>
              </w:numPr>
              <w:spacing w:line="240" w:lineRule="auto"/>
              <w:contextualSpacing/>
              <w:jc w:val="left"/>
              <w:rPr>
                <w:rFonts w:ascii="Calibri" w:hAnsi="Calibri"/>
                <w:lang w:val="de-AT" w:eastAsia="en-US"/>
              </w:rPr>
            </w:pPr>
            <w:r w:rsidRPr="00564EAE">
              <w:rPr>
                <w:rFonts w:ascii="Calibri" w:hAnsi="Calibri"/>
                <w:lang w:val="de-AT" w:eastAsia="en-US"/>
              </w:rPr>
              <w:t>Diagnose eines KRK bei zwei oder mehr erstgradig Verwandten mit einem HNPCC-assoziierten Tumor, unabhängig vom Alter.</w:t>
            </w:r>
          </w:p>
        </w:tc>
      </w:tr>
    </w:tbl>
    <w:p w14:paraId="7EA68C53" w14:textId="77777777" w:rsidR="00333C89" w:rsidRPr="00564EAE" w:rsidRDefault="00333C89" w:rsidP="00333C89">
      <w:pPr>
        <w:spacing w:after="160" w:line="259" w:lineRule="auto"/>
        <w:jc w:val="left"/>
        <w:rPr>
          <w:rFonts w:ascii="Calibri" w:eastAsia="Calibri" w:hAnsi="Calibri"/>
          <w:sz w:val="24"/>
          <w:szCs w:val="24"/>
          <w:lang w:eastAsia="en-US"/>
        </w:rPr>
      </w:pPr>
    </w:p>
    <w:p w14:paraId="56623CEB" w14:textId="77777777" w:rsidR="00333C89" w:rsidRDefault="00333C89">
      <w:pPr>
        <w:spacing w:line="240" w:lineRule="auto"/>
        <w:jc w:val="left"/>
        <w:rPr>
          <w:rFonts w:cs="Arial"/>
          <w:b/>
          <w:bCs/>
          <w:i/>
          <w:iCs/>
          <w:noProof/>
          <w:sz w:val="24"/>
          <w:szCs w:val="24"/>
          <w:lang w:eastAsia="de-AT"/>
        </w:rPr>
      </w:pPr>
      <w:r>
        <w:rPr>
          <w:noProof/>
          <w:lang w:eastAsia="de-AT"/>
        </w:rPr>
        <w:br w:type="page"/>
      </w:r>
    </w:p>
    <w:p w14:paraId="11C7EB73" w14:textId="77777777" w:rsidR="000848C0" w:rsidRPr="000848C0" w:rsidRDefault="003E138F" w:rsidP="000848C0">
      <w:pPr>
        <w:keepNext/>
        <w:spacing w:before="240" w:after="60"/>
        <w:ind w:left="705" w:hanging="705"/>
        <w:jc w:val="left"/>
        <w:outlineLvl w:val="1"/>
        <w:rPr>
          <w:rFonts w:cs="Arial"/>
          <w:b/>
          <w:bCs/>
          <w:i/>
          <w:iCs/>
          <w:sz w:val="24"/>
          <w:szCs w:val="24"/>
          <w:lang w:val="de-DE" w:eastAsia="de-AT"/>
        </w:rPr>
      </w:pPr>
      <w:bookmarkStart w:id="18" w:name="_Toc93523278"/>
      <w:bookmarkStart w:id="19" w:name="_Toc382815678"/>
      <w:r>
        <w:rPr>
          <w:rFonts w:cs="Arial"/>
          <w:b/>
          <w:bCs/>
          <w:i/>
          <w:iCs/>
          <w:sz w:val="24"/>
          <w:szCs w:val="24"/>
          <w:lang w:val="de-DE" w:eastAsia="de-AT"/>
        </w:rPr>
        <w:lastRenderedPageBreak/>
        <w:t>2.</w:t>
      </w:r>
      <w:r w:rsidR="00C5792C">
        <w:rPr>
          <w:rFonts w:cs="Arial"/>
          <w:b/>
          <w:bCs/>
          <w:i/>
          <w:iCs/>
          <w:sz w:val="24"/>
          <w:szCs w:val="24"/>
          <w:lang w:val="de-DE" w:eastAsia="de-AT"/>
        </w:rPr>
        <w:t>9</w:t>
      </w:r>
      <w:r w:rsidR="000848C0" w:rsidRPr="000848C0">
        <w:rPr>
          <w:rFonts w:cs="Arial"/>
          <w:b/>
          <w:bCs/>
          <w:i/>
          <w:iCs/>
          <w:sz w:val="24"/>
          <w:szCs w:val="24"/>
          <w:lang w:val="de-DE" w:eastAsia="de-AT"/>
        </w:rPr>
        <w:tab/>
      </w:r>
      <w:r w:rsidR="000848C0" w:rsidRPr="00564EAE">
        <w:rPr>
          <w:rFonts w:cs="Arial"/>
          <w:b/>
          <w:bCs/>
          <w:i/>
          <w:iCs/>
          <w:sz w:val="24"/>
          <w:szCs w:val="24"/>
          <w:lang w:eastAsia="de-AT"/>
        </w:rPr>
        <w:t>Anmerkungen zur RAS- und BRAF-Testung</w:t>
      </w:r>
      <w:bookmarkEnd w:id="18"/>
    </w:p>
    <w:p w14:paraId="3DA059B8" w14:textId="77777777" w:rsidR="000848C0" w:rsidRPr="000848C0" w:rsidRDefault="00C32190" w:rsidP="000848C0">
      <w:pPr>
        <w:keepNext/>
        <w:spacing w:line="480" w:lineRule="auto"/>
        <w:jc w:val="left"/>
        <w:outlineLvl w:val="2"/>
        <w:rPr>
          <w:rFonts w:eastAsia="Calibri"/>
          <w:b/>
          <w:bCs/>
          <w:lang w:eastAsia="de-AT"/>
        </w:rPr>
      </w:pPr>
      <w:bookmarkStart w:id="20" w:name="_Toc93523279"/>
      <w:bookmarkStart w:id="21" w:name="_Hlk58315372"/>
      <w:r>
        <w:rPr>
          <w:rFonts w:eastAsia="Calibri"/>
          <w:b/>
          <w:bCs/>
          <w:lang w:eastAsia="de-AT"/>
        </w:rPr>
        <w:t>2.</w:t>
      </w:r>
      <w:r w:rsidR="00C5792C">
        <w:rPr>
          <w:rFonts w:eastAsia="Calibri"/>
          <w:b/>
          <w:bCs/>
          <w:lang w:eastAsia="de-AT"/>
        </w:rPr>
        <w:t>9</w:t>
      </w:r>
      <w:r w:rsidR="000848C0" w:rsidRPr="000848C0">
        <w:rPr>
          <w:rFonts w:eastAsia="Calibri"/>
          <w:b/>
          <w:bCs/>
          <w:lang w:eastAsia="de-AT"/>
        </w:rPr>
        <w:t>.1</w:t>
      </w:r>
      <w:r w:rsidR="000848C0" w:rsidRPr="000848C0">
        <w:rPr>
          <w:rFonts w:eastAsia="Calibri"/>
          <w:b/>
          <w:bCs/>
          <w:lang w:eastAsia="de-AT"/>
        </w:rPr>
        <w:tab/>
      </w:r>
      <w:bookmarkStart w:id="22" w:name="_Hlk58315334"/>
      <w:bookmarkEnd w:id="19"/>
      <w:r w:rsidR="000848C0" w:rsidRPr="000848C0">
        <w:rPr>
          <w:rFonts w:eastAsia="Calibri"/>
          <w:b/>
          <w:bCs/>
          <w:lang w:eastAsia="de-AT"/>
        </w:rPr>
        <w:t>RAS-Testung</w:t>
      </w:r>
      <w:bookmarkEnd w:id="20"/>
    </w:p>
    <w:p w14:paraId="4B9EB17F"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Sollte bei allen Patienten zum Zeitpunkt der Diagnosestellung einer Metastasierung erfolgen.</w:t>
      </w:r>
    </w:p>
    <w:p w14:paraId="220C442F"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Die RAS-Testung sollte die KRAS-Exons 2, 3 und 4 (Codons 12, 13, 59, 61, 117 und 146) sowie die NRAS-Exons 2, 3 und 4 (Codons 12, 13, 59, 61, und 117) inkludieren.</w:t>
      </w:r>
    </w:p>
    <w:p w14:paraId="4BA079E4"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 xml:space="preserve">Die Testung kann </w:t>
      </w:r>
      <w:bookmarkEnd w:id="21"/>
      <w:r w:rsidRPr="000848C0">
        <w:rPr>
          <w:rFonts w:ascii="Calibri" w:hAnsi="Calibri" w:cs="Calibri"/>
        </w:rPr>
        <w:t xml:space="preserve">aus Gewebe des Primärtumors oder aus einer Lebermetastase erfolgen. Anderes Gewebe (z.B. aus Lungen- oder LK-Metastasen) sollte für die Testung nur verwendet werden, wenn </w:t>
      </w:r>
      <w:bookmarkEnd w:id="22"/>
      <w:r w:rsidRPr="000848C0">
        <w:rPr>
          <w:rFonts w:ascii="Calibri" w:hAnsi="Calibri" w:cs="Calibri"/>
        </w:rPr>
        <w:t>Proben aus dem Primum oder der aus der Leber nicht verfügbar sind.</w:t>
      </w:r>
    </w:p>
    <w:p w14:paraId="66711038"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Eine RAS-Mutation ist ein negativer prädiktiver Faktor für das Ansprechen auf eine EGFR-Antikörper-Therapie.</w:t>
      </w:r>
    </w:p>
    <w:p w14:paraId="1A881FDE"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Eine EGFR-Antikörper-Therapie ist obsolet bei Vorhandensein einer RAS-Mutation.</w:t>
      </w:r>
    </w:p>
    <w:p w14:paraId="733B5439" w14:textId="77777777" w:rsidR="000848C0" w:rsidRPr="000848C0" w:rsidRDefault="000848C0" w:rsidP="000848C0">
      <w:pPr>
        <w:spacing w:line="276" w:lineRule="auto"/>
        <w:jc w:val="both"/>
        <w:rPr>
          <w:rFonts w:ascii="Calibri" w:hAnsi="Calibri" w:cs="Calibri"/>
          <w:b/>
        </w:rPr>
      </w:pPr>
    </w:p>
    <w:p w14:paraId="461B00F9" w14:textId="77777777" w:rsidR="000848C0" w:rsidRPr="000848C0" w:rsidRDefault="00C32190" w:rsidP="000848C0">
      <w:pPr>
        <w:keepNext/>
        <w:spacing w:line="480" w:lineRule="auto"/>
        <w:jc w:val="left"/>
        <w:outlineLvl w:val="2"/>
        <w:rPr>
          <w:rFonts w:eastAsia="Calibri"/>
          <w:b/>
          <w:bCs/>
          <w:lang w:eastAsia="de-AT"/>
        </w:rPr>
      </w:pPr>
      <w:bookmarkStart w:id="23" w:name="_Toc93523280"/>
      <w:r>
        <w:rPr>
          <w:rFonts w:eastAsia="Calibri"/>
          <w:b/>
          <w:bCs/>
          <w:lang w:eastAsia="de-AT"/>
        </w:rPr>
        <w:t>2.</w:t>
      </w:r>
      <w:r w:rsidR="00C5792C">
        <w:rPr>
          <w:rFonts w:eastAsia="Calibri"/>
          <w:b/>
          <w:bCs/>
          <w:lang w:eastAsia="de-AT"/>
        </w:rPr>
        <w:t>9</w:t>
      </w:r>
      <w:r w:rsidR="000848C0" w:rsidRPr="000848C0">
        <w:rPr>
          <w:rFonts w:eastAsia="Calibri"/>
          <w:b/>
          <w:bCs/>
          <w:lang w:eastAsia="de-AT"/>
        </w:rPr>
        <w:t>.2</w:t>
      </w:r>
      <w:r w:rsidR="000848C0" w:rsidRPr="000848C0">
        <w:rPr>
          <w:rFonts w:eastAsia="Calibri"/>
          <w:b/>
          <w:bCs/>
          <w:lang w:eastAsia="de-AT"/>
        </w:rPr>
        <w:tab/>
        <w:t>BRAF-Testung</w:t>
      </w:r>
      <w:bookmarkEnd w:id="23"/>
    </w:p>
    <w:p w14:paraId="15012A73" w14:textId="77777777" w:rsidR="000848C0" w:rsidRPr="000848C0" w:rsidRDefault="000848C0" w:rsidP="000B1AD6">
      <w:pPr>
        <w:numPr>
          <w:ilvl w:val="0"/>
          <w:numId w:val="3"/>
        </w:numPr>
        <w:spacing w:after="160" w:line="276" w:lineRule="auto"/>
        <w:ind w:left="426" w:hanging="426"/>
        <w:contextualSpacing/>
        <w:jc w:val="both"/>
        <w:rPr>
          <w:rFonts w:ascii="Calibri" w:hAnsi="Calibri" w:cs="Calibri"/>
        </w:rPr>
      </w:pPr>
      <w:r w:rsidRPr="000848C0">
        <w:rPr>
          <w:rFonts w:ascii="Calibri" w:hAnsi="Calibri" w:cs="Calibri"/>
        </w:rPr>
        <w:t>Sollte bei allen Patienten zum Zeitpunkt der Diagnosestellung einer Metastasierung erfolgen.</w:t>
      </w:r>
    </w:p>
    <w:p w14:paraId="68C63705" w14:textId="77777777" w:rsidR="000848C0" w:rsidRPr="00EC122B" w:rsidRDefault="000848C0" w:rsidP="000B1AD6">
      <w:pPr>
        <w:numPr>
          <w:ilvl w:val="0"/>
          <w:numId w:val="4"/>
        </w:numPr>
        <w:spacing w:after="160" w:line="276" w:lineRule="auto"/>
        <w:ind w:left="426" w:hanging="426"/>
        <w:contextualSpacing/>
        <w:jc w:val="both"/>
        <w:rPr>
          <w:rFonts w:ascii="Calibri" w:hAnsi="Calibri" w:cs="Calibri"/>
          <w:szCs w:val="22"/>
        </w:rPr>
      </w:pPr>
      <w:r w:rsidRPr="00EC122B">
        <w:rPr>
          <w:rFonts w:ascii="Calibri" w:hAnsi="Calibri" w:cs="Calibri"/>
        </w:rPr>
        <w:t>Eine BRAF-Mutation ist mit einer schlechten Prognose assoziiert.</w:t>
      </w:r>
      <w:r w:rsidR="00EC122B">
        <w:rPr>
          <w:rFonts w:ascii="Calibri" w:hAnsi="Calibri" w:cs="Calibri"/>
        </w:rPr>
        <w:t xml:space="preserve"> D</w:t>
      </w:r>
      <w:r w:rsidRPr="00EC122B">
        <w:rPr>
          <w:rFonts w:ascii="Calibri" w:hAnsi="Calibri" w:cs="Calibri"/>
          <w:szCs w:val="22"/>
        </w:rPr>
        <w:t xml:space="preserve">er prognostische Effekt </w:t>
      </w:r>
      <w:r w:rsidR="00EC122B">
        <w:rPr>
          <w:rFonts w:ascii="Calibri" w:hAnsi="Calibri" w:cs="Calibri"/>
          <w:szCs w:val="22"/>
        </w:rPr>
        <w:t xml:space="preserve"> ist zusätzlich </w:t>
      </w:r>
      <w:r w:rsidRPr="00EC122B">
        <w:rPr>
          <w:rFonts w:ascii="Calibri" w:hAnsi="Calibri" w:cs="Calibri"/>
          <w:szCs w:val="22"/>
        </w:rPr>
        <w:t>vom MSI-Status abhängig</w:t>
      </w:r>
      <w:r w:rsidR="00EC122B">
        <w:rPr>
          <w:rFonts w:ascii="Calibri" w:hAnsi="Calibri" w:cs="Calibri"/>
          <w:szCs w:val="22"/>
        </w:rPr>
        <w:t>.</w:t>
      </w:r>
      <w:r w:rsidRPr="00EC122B">
        <w:rPr>
          <w:rFonts w:ascii="Calibri" w:hAnsi="Calibri" w:cs="Calibri"/>
          <w:szCs w:val="22"/>
        </w:rPr>
        <w:t xml:space="preserve"> Mikrosatelliten-instabile/BRAF-mutierte Tumore haben eine bessere Prognose als Mikrosatelliten-stabile/BRAF-mutierte Tumore.</w:t>
      </w:r>
      <w:r w:rsidR="00E93716">
        <w:rPr>
          <w:rFonts w:ascii="Calibri" w:hAnsi="Calibri" w:cs="Calibri"/>
          <w:szCs w:val="22"/>
        </w:rPr>
        <w:t xml:space="preserve"> </w:t>
      </w:r>
      <w:r w:rsidR="00E93716" w:rsidRPr="00E93716">
        <w:rPr>
          <w:rFonts w:ascii="Calibri" w:hAnsi="Calibri" w:cs="Calibri"/>
          <w:b/>
          <w:bCs/>
          <w:szCs w:val="22"/>
          <w:vertAlign w:val="superscript"/>
        </w:rPr>
        <w:t>1, 2, 3</w:t>
      </w:r>
    </w:p>
    <w:p w14:paraId="7D3F38C9" w14:textId="34030C6F" w:rsidR="002F7D40" w:rsidRDefault="000848C0" w:rsidP="000B1AD6">
      <w:pPr>
        <w:numPr>
          <w:ilvl w:val="0"/>
          <w:numId w:val="3"/>
        </w:numPr>
        <w:spacing w:after="160" w:line="276" w:lineRule="auto"/>
        <w:ind w:left="426" w:hanging="426"/>
        <w:contextualSpacing/>
        <w:jc w:val="both"/>
        <w:rPr>
          <w:rFonts w:ascii="Calibri" w:hAnsi="Calibri" w:cs="Calibri"/>
        </w:rPr>
      </w:pPr>
      <w:r w:rsidRPr="000225FC">
        <w:rPr>
          <w:rFonts w:ascii="Calibri" w:hAnsi="Calibri" w:cs="Calibri"/>
        </w:rPr>
        <w:t>Eine BRAF-Mutation dürfte ein negativer prädiktiver Faktor für das Ansprechen auf eine EGFR-Antiköpertherapie sein. Zwei Meta-Analysen (von 10 bzw. 7 randomisierten Studien) zeigten keine Verbesserung des PFS und OS bei Zugabe eines EGFR-Antikörpers (Cetuximab oder Panitumumab) bei metastasierten CRC-Patienten mit BRAF-Mutation.</w:t>
      </w:r>
      <w:r w:rsidR="00E93716" w:rsidRPr="000225FC">
        <w:rPr>
          <w:rFonts w:ascii="Calibri" w:hAnsi="Calibri" w:cs="Calibri"/>
        </w:rPr>
        <w:t xml:space="preserve"> </w:t>
      </w:r>
      <w:bookmarkStart w:id="24" w:name="_Hlk98688512"/>
      <w:r w:rsidR="00E93716" w:rsidRPr="000225FC">
        <w:rPr>
          <w:rFonts w:ascii="Calibri" w:hAnsi="Calibri" w:cs="Calibri"/>
          <w:b/>
          <w:bCs/>
          <w:vertAlign w:val="superscript"/>
        </w:rPr>
        <w:t xml:space="preserve">4, 5  </w:t>
      </w:r>
      <w:bookmarkEnd w:id="24"/>
      <w:r w:rsidR="00D54225" w:rsidRPr="008D7345">
        <w:rPr>
          <w:rFonts w:ascii="Calibri" w:hAnsi="Calibri" w:cs="Calibri"/>
          <w:color w:val="000000" w:themeColor="text1"/>
        </w:rPr>
        <w:t>Bei der F</w:t>
      </w:r>
      <w:r w:rsidR="00DF7636" w:rsidRPr="008D7345">
        <w:rPr>
          <w:rFonts w:ascii="Calibri" w:hAnsi="Calibri" w:cs="Calibri"/>
          <w:color w:val="000000" w:themeColor="text1"/>
        </w:rPr>
        <w:t>IRE-4.5-Studie (</w:t>
      </w:r>
      <w:r w:rsidR="002F7D40" w:rsidRPr="008D7345">
        <w:rPr>
          <w:rFonts w:ascii="Calibri" w:hAnsi="Calibri" w:cs="Calibri"/>
          <w:color w:val="000000" w:themeColor="text1"/>
        </w:rPr>
        <w:t xml:space="preserve">Firstline-Therapie mit </w:t>
      </w:r>
      <w:r w:rsidR="00DF7636" w:rsidRPr="008D7345">
        <w:rPr>
          <w:rFonts w:ascii="Calibri" w:hAnsi="Calibri" w:cs="Calibri"/>
          <w:color w:val="000000" w:themeColor="text1"/>
        </w:rPr>
        <w:t xml:space="preserve">mFOLFOXIRI + Cetuximab versus mFOLFOXIR+Bevacizumab bei Patienten mitBRAF-V600E mutiertem mCRC) fand sich ein signifikanter Vorteil im Bevacizumab-Arm bzgl. ORR und PFS. </w:t>
      </w:r>
      <w:r w:rsidR="002F7D40" w:rsidRPr="008D7345">
        <w:rPr>
          <w:rFonts w:ascii="Calibri" w:hAnsi="Calibri" w:cs="Calibri"/>
          <w:b/>
          <w:bCs/>
          <w:color w:val="000000" w:themeColor="text1"/>
          <w:vertAlign w:val="superscript"/>
        </w:rPr>
        <w:t>6</w:t>
      </w:r>
    </w:p>
    <w:p w14:paraId="1739B254" w14:textId="7789D1B6" w:rsidR="000848C0" w:rsidRPr="000225FC" w:rsidRDefault="00DF7636" w:rsidP="002F7D40">
      <w:pPr>
        <w:spacing w:after="160" w:line="276" w:lineRule="auto"/>
        <w:ind w:left="426"/>
        <w:contextualSpacing/>
        <w:jc w:val="both"/>
        <w:rPr>
          <w:rFonts w:ascii="Calibri" w:hAnsi="Calibri" w:cs="Calibri"/>
        </w:rPr>
      </w:pPr>
      <w:r>
        <w:rPr>
          <w:rFonts w:ascii="Calibri" w:hAnsi="Calibri" w:cs="Calibri"/>
        </w:rPr>
        <w:t>D</w:t>
      </w:r>
      <w:r w:rsidR="00E93716" w:rsidRPr="000225FC">
        <w:rPr>
          <w:rFonts w:ascii="Calibri" w:hAnsi="Calibri" w:cs="Calibri"/>
        </w:rPr>
        <w:t>aher wird in unserer Leitlinie bei Vorliegen einer BRAF-Mutation die Verwendung eines EGFR-Antikörpers in der Erstlinientherapie nicht empfohlen.</w:t>
      </w:r>
    </w:p>
    <w:p w14:paraId="1B7B0F7E" w14:textId="77777777" w:rsidR="00DB38BC" w:rsidRPr="000225FC" w:rsidRDefault="00DB38BC" w:rsidP="00DB38BC">
      <w:pPr>
        <w:spacing w:after="160" w:line="276" w:lineRule="auto"/>
        <w:contextualSpacing/>
        <w:jc w:val="both"/>
        <w:rPr>
          <w:rFonts w:ascii="Calibri" w:hAnsi="Calibri" w:cs="Calibri"/>
        </w:rPr>
      </w:pPr>
    </w:p>
    <w:p w14:paraId="5B0E197B" w14:textId="77777777" w:rsidR="00EC5624" w:rsidRDefault="00EC5624" w:rsidP="00DB38BC">
      <w:pPr>
        <w:spacing w:after="160" w:line="276" w:lineRule="auto"/>
        <w:contextualSpacing/>
        <w:jc w:val="both"/>
        <w:rPr>
          <w:rFonts w:ascii="Calibri" w:hAnsi="Calibri" w:cs="Calibri"/>
          <w:color w:val="FF0000"/>
        </w:rPr>
      </w:pPr>
    </w:p>
    <w:p w14:paraId="46F4732D" w14:textId="77777777" w:rsidR="00EC5624" w:rsidRDefault="00EC5624" w:rsidP="00DB38BC">
      <w:pPr>
        <w:spacing w:after="160" w:line="276" w:lineRule="auto"/>
        <w:contextualSpacing/>
        <w:jc w:val="both"/>
        <w:rPr>
          <w:rFonts w:ascii="Calibri" w:hAnsi="Calibri" w:cs="Calibri"/>
          <w:color w:val="FF0000"/>
        </w:rPr>
      </w:pPr>
    </w:p>
    <w:p w14:paraId="2AF369FA" w14:textId="77777777" w:rsidR="00EC5624" w:rsidRDefault="00EC5624" w:rsidP="00DB38BC">
      <w:pPr>
        <w:spacing w:after="160" w:line="276" w:lineRule="auto"/>
        <w:contextualSpacing/>
        <w:jc w:val="both"/>
        <w:rPr>
          <w:rFonts w:ascii="Calibri" w:hAnsi="Calibri" w:cs="Calibri"/>
          <w:color w:val="FF0000"/>
        </w:rPr>
      </w:pPr>
    </w:p>
    <w:p w14:paraId="5735737C" w14:textId="77777777" w:rsidR="00EC5624" w:rsidRDefault="00EC5624" w:rsidP="00DB38BC">
      <w:pPr>
        <w:spacing w:after="160" w:line="276" w:lineRule="auto"/>
        <w:contextualSpacing/>
        <w:jc w:val="both"/>
        <w:rPr>
          <w:rFonts w:ascii="Calibri" w:hAnsi="Calibri" w:cs="Calibri"/>
          <w:color w:val="FF0000"/>
        </w:rPr>
      </w:pPr>
    </w:p>
    <w:p w14:paraId="389C49D1" w14:textId="77777777" w:rsidR="00EC5624" w:rsidRDefault="00EC5624" w:rsidP="00DB38BC">
      <w:pPr>
        <w:spacing w:after="160" w:line="276" w:lineRule="auto"/>
        <w:contextualSpacing/>
        <w:jc w:val="both"/>
        <w:rPr>
          <w:rFonts w:ascii="Calibri" w:hAnsi="Calibri" w:cs="Calibri"/>
          <w:color w:val="FF0000"/>
        </w:rPr>
      </w:pPr>
    </w:p>
    <w:p w14:paraId="5EC8B4BC" w14:textId="77777777" w:rsidR="00EC5624" w:rsidRDefault="00EC5624" w:rsidP="00DB38BC">
      <w:pPr>
        <w:spacing w:after="160" w:line="276" w:lineRule="auto"/>
        <w:contextualSpacing/>
        <w:jc w:val="both"/>
        <w:rPr>
          <w:rFonts w:ascii="Calibri" w:hAnsi="Calibri" w:cs="Calibri"/>
          <w:color w:val="FF0000"/>
        </w:rPr>
      </w:pPr>
    </w:p>
    <w:p w14:paraId="54CA7A05" w14:textId="77777777" w:rsidR="00EC5624" w:rsidRDefault="00EC5624" w:rsidP="00DB38BC">
      <w:pPr>
        <w:spacing w:after="160" w:line="276" w:lineRule="auto"/>
        <w:contextualSpacing/>
        <w:jc w:val="both"/>
        <w:rPr>
          <w:rFonts w:ascii="Calibri" w:hAnsi="Calibri" w:cs="Calibri"/>
          <w:color w:val="FF0000"/>
        </w:rPr>
      </w:pPr>
    </w:p>
    <w:p w14:paraId="76B7F6F7" w14:textId="77777777" w:rsidR="00EC5624" w:rsidRDefault="00EC5624" w:rsidP="00DB38BC">
      <w:pPr>
        <w:spacing w:after="160" w:line="276" w:lineRule="auto"/>
        <w:contextualSpacing/>
        <w:jc w:val="both"/>
        <w:rPr>
          <w:rFonts w:ascii="Calibri" w:hAnsi="Calibri" w:cs="Calibri"/>
          <w:color w:val="FF0000"/>
        </w:rPr>
      </w:pPr>
    </w:p>
    <w:p w14:paraId="0A8A6A2E" w14:textId="77777777" w:rsidR="00EC5624" w:rsidRDefault="00EC5624" w:rsidP="00DB38BC">
      <w:pPr>
        <w:spacing w:after="160" w:line="276" w:lineRule="auto"/>
        <w:contextualSpacing/>
        <w:jc w:val="both"/>
        <w:rPr>
          <w:rFonts w:ascii="Calibri" w:hAnsi="Calibri" w:cs="Calibri"/>
          <w:color w:val="FF0000"/>
        </w:rPr>
      </w:pPr>
    </w:p>
    <w:p w14:paraId="7B181158" w14:textId="77777777" w:rsidR="00EC5624" w:rsidRDefault="00EC5624" w:rsidP="00DB38BC">
      <w:pPr>
        <w:spacing w:after="160" w:line="276" w:lineRule="auto"/>
        <w:contextualSpacing/>
        <w:jc w:val="both"/>
        <w:rPr>
          <w:rFonts w:ascii="Calibri" w:hAnsi="Calibri" w:cs="Calibri"/>
          <w:color w:val="FF0000"/>
        </w:rPr>
      </w:pPr>
    </w:p>
    <w:p w14:paraId="655E445E" w14:textId="77777777" w:rsidR="00EC5624" w:rsidRDefault="00EC5624" w:rsidP="00DB38BC">
      <w:pPr>
        <w:spacing w:after="160" w:line="276" w:lineRule="auto"/>
        <w:contextualSpacing/>
        <w:jc w:val="both"/>
        <w:rPr>
          <w:rFonts w:ascii="Calibri" w:hAnsi="Calibri" w:cs="Calibri"/>
          <w:color w:val="FF0000"/>
        </w:rPr>
      </w:pPr>
    </w:p>
    <w:p w14:paraId="6C71BD76" w14:textId="77777777" w:rsidR="00EC5624" w:rsidRDefault="00EC5624" w:rsidP="00DB38BC">
      <w:pPr>
        <w:spacing w:after="160" w:line="276" w:lineRule="auto"/>
        <w:contextualSpacing/>
        <w:jc w:val="both"/>
        <w:rPr>
          <w:rFonts w:ascii="Calibri" w:hAnsi="Calibri" w:cs="Calibri"/>
          <w:color w:val="FF0000"/>
        </w:rPr>
      </w:pPr>
    </w:p>
    <w:p w14:paraId="2167BA7F" w14:textId="77777777" w:rsidR="000848C0" w:rsidRPr="000848C0" w:rsidRDefault="000848C0" w:rsidP="000848C0">
      <w:pPr>
        <w:spacing w:line="276" w:lineRule="auto"/>
        <w:contextualSpacing/>
        <w:jc w:val="both"/>
        <w:rPr>
          <w:rFonts w:ascii="Calibri" w:hAnsi="Calibri" w:cs="Calibri"/>
        </w:rPr>
      </w:pPr>
    </w:p>
    <w:p w14:paraId="236A5C3A" w14:textId="77777777" w:rsidR="00EC122B" w:rsidRPr="000225FC" w:rsidRDefault="000848C0" w:rsidP="000B1AD6">
      <w:pPr>
        <w:numPr>
          <w:ilvl w:val="0"/>
          <w:numId w:val="8"/>
        </w:numPr>
        <w:spacing w:after="160" w:line="276" w:lineRule="auto"/>
        <w:contextualSpacing/>
        <w:jc w:val="both"/>
        <w:rPr>
          <w:rFonts w:ascii="Calibri" w:hAnsi="Calibri" w:cs="Calibri"/>
          <w:sz w:val="18"/>
          <w:szCs w:val="18"/>
        </w:rPr>
      </w:pPr>
      <w:r w:rsidRPr="000225FC">
        <w:rPr>
          <w:rFonts w:ascii="Calibri" w:hAnsi="Calibri" w:cs="Calibri"/>
          <w:sz w:val="18"/>
          <w:szCs w:val="18"/>
        </w:rPr>
        <w:t>Br J Cancer 2015 Jun 9;112(12):1966-75.</w:t>
      </w:r>
    </w:p>
    <w:p w14:paraId="4260D87D" w14:textId="77777777" w:rsidR="00EC122B" w:rsidRPr="00564EAE" w:rsidRDefault="00EC122B" w:rsidP="000B1AD6">
      <w:pPr>
        <w:numPr>
          <w:ilvl w:val="0"/>
          <w:numId w:val="8"/>
        </w:numPr>
        <w:spacing w:after="160" w:line="276" w:lineRule="auto"/>
        <w:contextualSpacing/>
        <w:jc w:val="both"/>
        <w:rPr>
          <w:rFonts w:ascii="Calibri" w:hAnsi="Calibri" w:cs="Calibri"/>
          <w:sz w:val="18"/>
          <w:szCs w:val="18"/>
          <w:lang w:val="en-GB"/>
        </w:rPr>
      </w:pPr>
      <w:r w:rsidRPr="00564EAE">
        <w:rPr>
          <w:rFonts w:ascii="Calibri" w:hAnsi="Calibri" w:cs="Calibri"/>
          <w:sz w:val="18"/>
          <w:szCs w:val="18"/>
          <w:lang w:val="en-GB"/>
        </w:rPr>
        <w:t>Yingchi Yang et al., Cancer Management and Research 2018:10 3911–3929</w:t>
      </w:r>
    </w:p>
    <w:p w14:paraId="185E0ED3" w14:textId="77777777" w:rsidR="000848C0" w:rsidRPr="00564EAE" w:rsidRDefault="00EC122B" w:rsidP="000B1AD6">
      <w:pPr>
        <w:numPr>
          <w:ilvl w:val="0"/>
          <w:numId w:val="8"/>
        </w:numPr>
        <w:spacing w:after="160" w:line="276" w:lineRule="auto"/>
        <w:contextualSpacing/>
        <w:jc w:val="both"/>
        <w:rPr>
          <w:rFonts w:ascii="Calibri" w:hAnsi="Calibri" w:cs="Calibri"/>
          <w:sz w:val="18"/>
          <w:szCs w:val="18"/>
          <w:lang w:val="en-GB"/>
        </w:rPr>
      </w:pPr>
      <w:r w:rsidRPr="00564EAE">
        <w:rPr>
          <w:rFonts w:ascii="Calibri" w:hAnsi="Calibri" w:cs="Calibri"/>
          <w:sz w:val="18"/>
          <w:szCs w:val="18"/>
          <w:lang w:val="en-GB"/>
        </w:rPr>
        <w:t>Hendrik Bläker et al., Clinical Gastroenterology and Hepatology 2019;17:455–462</w:t>
      </w:r>
    </w:p>
    <w:p w14:paraId="6B6B7F34" w14:textId="77777777" w:rsidR="000848C0" w:rsidRPr="000225FC" w:rsidRDefault="000848C0" w:rsidP="000B1AD6">
      <w:pPr>
        <w:numPr>
          <w:ilvl w:val="0"/>
          <w:numId w:val="8"/>
        </w:numPr>
        <w:spacing w:after="160" w:line="276" w:lineRule="auto"/>
        <w:contextualSpacing/>
        <w:jc w:val="both"/>
        <w:rPr>
          <w:rFonts w:ascii="Calibri" w:hAnsi="Calibri" w:cs="Calibri"/>
          <w:sz w:val="18"/>
          <w:szCs w:val="18"/>
        </w:rPr>
      </w:pPr>
      <w:r w:rsidRPr="000225FC">
        <w:rPr>
          <w:rFonts w:ascii="Calibri" w:hAnsi="Calibri" w:cs="Calibri"/>
          <w:sz w:val="18"/>
          <w:szCs w:val="18"/>
        </w:rPr>
        <w:t>Eur J Cancer 2015; 51:587-594.</w:t>
      </w:r>
    </w:p>
    <w:p w14:paraId="15FBE3D5" w14:textId="7400BAB7" w:rsidR="000848C0" w:rsidRDefault="000848C0" w:rsidP="000B1AD6">
      <w:pPr>
        <w:numPr>
          <w:ilvl w:val="0"/>
          <w:numId w:val="8"/>
        </w:numPr>
        <w:spacing w:after="160" w:line="276" w:lineRule="auto"/>
        <w:contextualSpacing/>
        <w:jc w:val="both"/>
        <w:rPr>
          <w:rFonts w:ascii="Calibri" w:hAnsi="Calibri" w:cs="Calibri"/>
          <w:sz w:val="18"/>
          <w:szCs w:val="18"/>
        </w:rPr>
      </w:pPr>
      <w:r w:rsidRPr="000225FC">
        <w:rPr>
          <w:rFonts w:ascii="Calibri" w:hAnsi="Calibri" w:cs="Calibri"/>
          <w:sz w:val="18"/>
          <w:szCs w:val="18"/>
        </w:rPr>
        <w:t>Br J Cancer 2015; 112:1888-1894.</w:t>
      </w:r>
    </w:p>
    <w:p w14:paraId="5B07E7C1" w14:textId="75FE4230" w:rsidR="002F7D40" w:rsidRPr="008D7345" w:rsidRDefault="002F7D40" w:rsidP="000B1AD6">
      <w:pPr>
        <w:numPr>
          <w:ilvl w:val="0"/>
          <w:numId w:val="8"/>
        </w:numPr>
        <w:spacing w:after="160" w:line="276" w:lineRule="auto"/>
        <w:contextualSpacing/>
        <w:jc w:val="both"/>
        <w:rPr>
          <w:rFonts w:ascii="Calibri" w:hAnsi="Calibri" w:cs="Calibri"/>
          <w:color w:val="000000" w:themeColor="text1"/>
          <w:sz w:val="18"/>
          <w:szCs w:val="18"/>
          <w:lang w:val="en-GB"/>
        </w:rPr>
      </w:pPr>
      <w:r w:rsidRPr="008D7345">
        <w:rPr>
          <w:rFonts w:ascii="Calibri" w:hAnsi="Calibri" w:cs="Calibri"/>
          <w:color w:val="000000" w:themeColor="text1"/>
          <w:sz w:val="18"/>
          <w:szCs w:val="18"/>
          <w:lang w:val="en-GB"/>
        </w:rPr>
        <w:t>Stintzing et al., ASCO 2021, Abstract 3502</w:t>
      </w:r>
    </w:p>
    <w:p w14:paraId="7B601241" w14:textId="77777777" w:rsidR="000848C0" w:rsidRPr="008D7345" w:rsidRDefault="000848C0">
      <w:pPr>
        <w:spacing w:line="240" w:lineRule="auto"/>
        <w:jc w:val="left"/>
        <w:rPr>
          <w:rFonts w:cs="Arial"/>
          <w:b/>
          <w:bCs/>
          <w:i/>
          <w:iCs/>
          <w:noProof/>
          <w:sz w:val="24"/>
          <w:szCs w:val="24"/>
          <w:lang w:val="en-GB" w:eastAsia="de-AT"/>
        </w:rPr>
      </w:pPr>
      <w:r w:rsidRPr="008D7345">
        <w:rPr>
          <w:noProof/>
          <w:lang w:val="en-GB" w:eastAsia="de-AT"/>
        </w:rPr>
        <w:br w:type="page"/>
      </w:r>
    </w:p>
    <w:p w14:paraId="2FA94A70" w14:textId="77777777" w:rsidR="00E4520A" w:rsidRDefault="000848C0" w:rsidP="00E4520A">
      <w:pPr>
        <w:pStyle w:val="berschrift2"/>
        <w:rPr>
          <w:noProof/>
          <w:lang w:eastAsia="de-AT"/>
        </w:rPr>
      </w:pPr>
      <w:bookmarkStart w:id="25" w:name="_Toc93523281"/>
      <w:r>
        <w:rPr>
          <w:noProof/>
          <w:lang w:eastAsia="de-AT"/>
        </w:rPr>
        <w:lastRenderedPageBreak/>
        <w:t>2.</w:t>
      </w:r>
      <w:r w:rsidR="00C5792C">
        <w:rPr>
          <w:noProof/>
          <w:lang w:eastAsia="de-AT"/>
        </w:rPr>
        <w:t>10</w:t>
      </w:r>
      <w:r w:rsidR="00E4520A">
        <w:rPr>
          <w:noProof/>
          <w:lang w:eastAsia="de-AT"/>
        </w:rPr>
        <w:tab/>
      </w:r>
      <w:r w:rsidR="00E4520A" w:rsidRPr="00153D10">
        <w:rPr>
          <w:noProof/>
          <w:lang w:eastAsia="de-AT"/>
        </w:rPr>
        <w:t>C</w:t>
      </w:r>
      <w:r w:rsidR="00A74CC5">
        <w:rPr>
          <w:noProof/>
          <w:lang w:eastAsia="de-AT"/>
        </w:rPr>
        <w:t>RC TNM-Klassifikation (Version 8</w:t>
      </w:r>
      <w:r w:rsidR="00E4520A" w:rsidRPr="00153D10">
        <w:rPr>
          <w:noProof/>
          <w:lang w:eastAsia="de-AT"/>
        </w:rPr>
        <w:t>)</w:t>
      </w:r>
      <w:bookmarkEnd w:id="25"/>
    </w:p>
    <w:tbl>
      <w:tblPr>
        <w:tblStyle w:val="TableGrid"/>
        <w:tblW w:w="932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9" w:type="dxa"/>
          <w:left w:w="108" w:type="dxa"/>
          <w:right w:w="46" w:type="dxa"/>
        </w:tblCellMar>
        <w:tblLook w:val="04A0" w:firstRow="1" w:lastRow="0" w:firstColumn="1" w:lastColumn="0" w:noHBand="0" w:noVBand="1"/>
      </w:tblPr>
      <w:tblGrid>
        <w:gridCol w:w="725"/>
        <w:gridCol w:w="8597"/>
      </w:tblGrid>
      <w:tr w:rsidR="00E569BD" w:rsidRPr="00E569BD" w14:paraId="51D5B58F" w14:textId="77777777" w:rsidTr="00E569BD">
        <w:trPr>
          <w:trHeight w:val="284"/>
        </w:trPr>
        <w:tc>
          <w:tcPr>
            <w:tcW w:w="725" w:type="dxa"/>
            <w:shd w:val="clear" w:color="auto" w:fill="5B9BD5"/>
          </w:tcPr>
          <w:p w14:paraId="0C998A39"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Tx</w:t>
            </w:r>
          </w:p>
        </w:tc>
        <w:tc>
          <w:tcPr>
            <w:tcW w:w="8597" w:type="dxa"/>
            <w:shd w:val="clear" w:color="auto" w:fill="DEEAF6"/>
          </w:tcPr>
          <w:p w14:paraId="795876E2"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Primärtumor kann nicht beurteilt werden </w:t>
            </w:r>
          </w:p>
        </w:tc>
      </w:tr>
      <w:tr w:rsidR="00E569BD" w:rsidRPr="00E569BD" w14:paraId="0C3310C5" w14:textId="77777777" w:rsidTr="00E569BD">
        <w:trPr>
          <w:trHeight w:val="284"/>
        </w:trPr>
        <w:tc>
          <w:tcPr>
            <w:tcW w:w="725" w:type="dxa"/>
            <w:shd w:val="clear" w:color="auto" w:fill="5B9BD5"/>
          </w:tcPr>
          <w:p w14:paraId="0EA319BA"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T0  </w:t>
            </w:r>
          </w:p>
        </w:tc>
        <w:tc>
          <w:tcPr>
            <w:tcW w:w="8597" w:type="dxa"/>
            <w:shd w:val="clear" w:color="auto" w:fill="DEEAF6"/>
          </w:tcPr>
          <w:p w14:paraId="221EA1D4"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kein Anhalt für Primärtumor </w:t>
            </w:r>
          </w:p>
        </w:tc>
      </w:tr>
      <w:tr w:rsidR="00E569BD" w:rsidRPr="00E569BD" w14:paraId="525280DE" w14:textId="77777777" w:rsidTr="00E569BD">
        <w:trPr>
          <w:trHeight w:val="567"/>
        </w:trPr>
        <w:tc>
          <w:tcPr>
            <w:tcW w:w="725" w:type="dxa"/>
            <w:shd w:val="clear" w:color="auto" w:fill="5B9BD5"/>
          </w:tcPr>
          <w:p w14:paraId="1E170560"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Tis  </w:t>
            </w:r>
          </w:p>
        </w:tc>
        <w:tc>
          <w:tcPr>
            <w:tcW w:w="8597" w:type="dxa"/>
            <w:shd w:val="clear" w:color="auto" w:fill="DEEAF6"/>
          </w:tcPr>
          <w:p w14:paraId="7435E301" w14:textId="77777777" w:rsidR="00E569BD" w:rsidRPr="00E569BD" w:rsidRDefault="00E569BD" w:rsidP="00E569BD">
            <w:pPr>
              <w:spacing w:line="276" w:lineRule="auto"/>
              <w:jc w:val="both"/>
              <w:rPr>
                <w:rFonts w:cs="Arial"/>
                <w:color w:val="000000"/>
                <w:sz w:val="20"/>
                <w:lang w:eastAsia="de-AT"/>
              </w:rPr>
            </w:pPr>
            <w:r w:rsidRPr="00E569BD">
              <w:rPr>
                <w:rFonts w:cs="Arial"/>
                <w:color w:val="000000"/>
                <w:sz w:val="20"/>
                <w:lang w:eastAsia="de-AT"/>
              </w:rPr>
              <w:t xml:space="preserve">Carcinoma in situ, intraepithelial oder Infiltration der Lamina propria (ohne feststellbare Ausbreitung durch die Muscularis mucosae in die Submukosa) </w:t>
            </w:r>
          </w:p>
        </w:tc>
      </w:tr>
      <w:tr w:rsidR="00E569BD" w:rsidRPr="00E569BD" w14:paraId="383A99C6" w14:textId="77777777" w:rsidTr="00E569BD">
        <w:trPr>
          <w:trHeight w:val="284"/>
        </w:trPr>
        <w:tc>
          <w:tcPr>
            <w:tcW w:w="725" w:type="dxa"/>
            <w:shd w:val="clear" w:color="auto" w:fill="5B9BD5"/>
          </w:tcPr>
          <w:p w14:paraId="4226A6E1"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T1  </w:t>
            </w:r>
          </w:p>
        </w:tc>
        <w:tc>
          <w:tcPr>
            <w:tcW w:w="8597" w:type="dxa"/>
            <w:shd w:val="clear" w:color="auto" w:fill="DEEAF6"/>
          </w:tcPr>
          <w:p w14:paraId="5FDCE499"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Tumor infiltriert Submukosa </w:t>
            </w:r>
          </w:p>
        </w:tc>
      </w:tr>
      <w:tr w:rsidR="00E569BD" w:rsidRPr="00E569BD" w14:paraId="1A33C040" w14:textId="77777777" w:rsidTr="00E569BD">
        <w:trPr>
          <w:trHeight w:val="284"/>
        </w:trPr>
        <w:tc>
          <w:tcPr>
            <w:tcW w:w="725" w:type="dxa"/>
            <w:shd w:val="clear" w:color="auto" w:fill="5B9BD5"/>
          </w:tcPr>
          <w:p w14:paraId="3B2A12C1"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T2 </w:t>
            </w:r>
            <w:r w:rsidR="001646E6" w:rsidRPr="001646E6">
              <w:rPr>
                <w:rFonts w:cs="Arial"/>
                <w:b/>
                <w:color w:val="000000"/>
                <w:sz w:val="20"/>
                <w:lang w:eastAsia="de-AT"/>
              </w:rPr>
              <w:t>*</w:t>
            </w:r>
            <w:r w:rsidR="001646E6">
              <w:rPr>
                <w:rFonts w:cs="Arial"/>
                <w:b/>
                <w:color w:val="000000"/>
                <w:sz w:val="20"/>
                <w:lang w:eastAsia="de-AT"/>
              </w:rPr>
              <w:t>*</w:t>
            </w:r>
            <w:r w:rsidRPr="00E569BD">
              <w:rPr>
                <w:rFonts w:cs="Arial"/>
                <w:b/>
                <w:color w:val="000000"/>
                <w:sz w:val="20"/>
                <w:lang w:eastAsia="de-AT"/>
              </w:rPr>
              <w:t xml:space="preserve"> </w:t>
            </w:r>
          </w:p>
        </w:tc>
        <w:tc>
          <w:tcPr>
            <w:tcW w:w="8597" w:type="dxa"/>
            <w:shd w:val="clear" w:color="auto" w:fill="DEEAF6"/>
          </w:tcPr>
          <w:p w14:paraId="581E3713"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Tumor infiltriert Muskularis propria </w:t>
            </w:r>
          </w:p>
        </w:tc>
      </w:tr>
      <w:tr w:rsidR="00E569BD" w:rsidRPr="00E569BD" w14:paraId="03277266" w14:textId="77777777" w:rsidTr="00E569BD">
        <w:trPr>
          <w:trHeight w:val="284"/>
        </w:trPr>
        <w:tc>
          <w:tcPr>
            <w:tcW w:w="725" w:type="dxa"/>
            <w:tcBorders>
              <w:bottom w:val="single" w:sz="4" w:space="0" w:color="auto"/>
            </w:tcBorders>
            <w:shd w:val="clear" w:color="auto" w:fill="5B9BD5"/>
          </w:tcPr>
          <w:p w14:paraId="4E6323C0"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T3 </w:t>
            </w:r>
            <w:r w:rsidR="001646E6" w:rsidRPr="001646E6">
              <w:rPr>
                <w:rFonts w:cs="Arial"/>
                <w:b/>
                <w:color w:val="000000"/>
                <w:sz w:val="20"/>
                <w:lang w:eastAsia="de-AT"/>
              </w:rPr>
              <w:t>*</w:t>
            </w:r>
            <w:r w:rsidR="001646E6">
              <w:rPr>
                <w:rFonts w:cs="Arial"/>
                <w:b/>
                <w:color w:val="000000"/>
                <w:sz w:val="20"/>
                <w:lang w:eastAsia="de-AT"/>
              </w:rPr>
              <w:t>*</w:t>
            </w:r>
          </w:p>
        </w:tc>
        <w:tc>
          <w:tcPr>
            <w:tcW w:w="8597" w:type="dxa"/>
            <w:tcBorders>
              <w:bottom w:val="single" w:sz="4" w:space="0" w:color="auto"/>
            </w:tcBorders>
            <w:shd w:val="clear" w:color="auto" w:fill="DEEAF6"/>
          </w:tcPr>
          <w:p w14:paraId="4C5F680C"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Tumor infiltriert Subserosa oder nichtperitonealisiertes perikolisches Gewebe </w:t>
            </w:r>
          </w:p>
        </w:tc>
      </w:tr>
      <w:tr w:rsidR="00E569BD" w:rsidRPr="00E569BD" w14:paraId="24C4DCF5" w14:textId="77777777" w:rsidTr="00E569BD">
        <w:trPr>
          <w:trHeight w:val="284"/>
        </w:trPr>
        <w:tc>
          <w:tcPr>
            <w:tcW w:w="725" w:type="dxa"/>
            <w:tcBorders>
              <w:top w:val="single" w:sz="4" w:space="0" w:color="auto"/>
              <w:bottom w:val="single" w:sz="4" w:space="0" w:color="auto"/>
            </w:tcBorders>
            <w:shd w:val="clear" w:color="auto" w:fill="5B9BD5"/>
          </w:tcPr>
          <w:p w14:paraId="1B5C64F6"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(T3a)*</w:t>
            </w:r>
          </w:p>
        </w:tc>
        <w:tc>
          <w:tcPr>
            <w:tcW w:w="8597" w:type="dxa"/>
            <w:tcBorders>
              <w:top w:val="single" w:sz="4" w:space="0" w:color="auto"/>
              <w:bottom w:val="single" w:sz="4" w:space="0" w:color="auto"/>
            </w:tcBorders>
            <w:shd w:val="clear" w:color="auto" w:fill="DEEAF6"/>
          </w:tcPr>
          <w:p w14:paraId="4299E3CC"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&lt; 1 mm</w:t>
            </w:r>
          </w:p>
        </w:tc>
      </w:tr>
      <w:tr w:rsidR="00E569BD" w:rsidRPr="00E569BD" w14:paraId="49C37220" w14:textId="77777777" w:rsidTr="00E569BD">
        <w:trPr>
          <w:trHeight w:val="284"/>
        </w:trPr>
        <w:tc>
          <w:tcPr>
            <w:tcW w:w="725" w:type="dxa"/>
            <w:tcBorders>
              <w:top w:val="single" w:sz="4" w:space="0" w:color="auto"/>
              <w:bottom w:val="single" w:sz="4" w:space="0" w:color="auto"/>
            </w:tcBorders>
            <w:shd w:val="clear" w:color="auto" w:fill="5B9BD5"/>
          </w:tcPr>
          <w:p w14:paraId="2F5D604C"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(T3b)*</w:t>
            </w:r>
          </w:p>
        </w:tc>
        <w:tc>
          <w:tcPr>
            <w:tcW w:w="8597" w:type="dxa"/>
            <w:tcBorders>
              <w:top w:val="single" w:sz="4" w:space="0" w:color="auto"/>
              <w:bottom w:val="single" w:sz="4" w:space="0" w:color="auto"/>
            </w:tcBorders>
            <w:shd w:val="clear" w:color="auto" w:fill="DEEAF6"/>
          </w:tcPr>
          <w:p w14:paraId="2C440D6A"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1 – 5 mm</w:t>
            </w:r>
          </w:p>
        </w:tc>
      </w:tr>
      <w:tr w:rsidR="00E569BD" w:rsidRPr="00E569BD" w14:paraId="5135959E" w14:textId="77777777" w:rsidTr="00E569BD">
        <w:trPr>
          <w:trHeight w:val="284"/>
        </w:trPr>
        <w:tc>
          <w:tcPr>
            <w:tcW w:w="725" w:type="dxa"/>
            <w:tcBorders>
              <w:top w:val="single" w:sz="4" w:space="0" w:color="auto"/>
              <w:bottom w:val="single" w:sz="4" w:space="0" w:color="auto"/>
            </w:tcBorders>
            <w:shd w:val="clear" w:color="auto" w:fill="5B9BD5"/>
          </w:tcPr>
          <w:p w14:paraId="69FE0E90"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(T3c)*</w:t>
            </w:r>
          </w:p>
        </w:tc>
        <w:tc>
          <w:tcPr>
            <w:tcW w:w="8597" w:type="dxa"/>
            <w:tcBorders>
              <w:top w:val="single" w:sz="4" w:space="0" w:color="auto"/>
              <w:bottom w:val="single" w:sz="4" w:space="0" w:color="auto"/>
            </w:tcBorders>
            <w:shd w:val="clear" w:color="auto" w:fill="DEEAF6"/>
          </w:tcPr>
          <w:p w14:paraId="52819B74"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5 – 15 mm</w:t>
            </w:r>
          </w:p>
        </w:tc>
      </w:tr>
      <w:tr w:rsidR="00E569BD" w:rsidRPr="00E569BD" w14:paraId="6602874B" w14:textId="77777777" w:rsidTr="00E569BD">
        <w:trPr>
          <w:trHeight w:val="284"/>
        </w:trPr>
        <w:tc>
          <w:tcPr>
            <w:tcW w:w="725" w:type="dxa"/>
            <w:tcBorders>
              <w:top w:val="single" w:sz="4" w:space="0" w:color="auto"/>
            </w:tcBorders>
            <w:shd w:val="clear" w:color="auto" w:fill="5B9BD5"/>
          </w:tcPr>
          <w:p w14:paraId="0FB9BE7F"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(T3d)*</w:t>
            </w:r>
          </w:p>
        </w:tc>
        <w:tc>
          <w:tcPr>
            <w:tcW w:w="8597" w:type="dxa"/>
            <w:tcBorders>
              <w:top w:val="single" w:sz="4" w:space="0" w:color="auto"/>
            </w:tcBorders>
            <w:shd w:val="clear" w:color="auto" w:fill="DEEAF6"/>
          </w:tcPr>
          <w:p w14:paraId="63CDB76C"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&gt; 15 mm</w:t>
            </w:r>
          </w:p>
        </w:tc>
      </w:tr>
      <w:tr w:rsidR="00E569BD" w:rsidRPr="00E569BD" w14:paraId="18E320B1" w14:textId="77777777" w:rsidTr="00E569BD">
        <w:trPr>
          <w:trHeight w:val="567"/>
        </w:trPr>
        <w:tc>
          <w:tcPr>
            <w:tcW w:w="725" w:type="dxa"/>
            <w:tcBorders>
              <w:bottom w:val="single" w:sz="4" w:space="0" w:color="auto"/>
            </w:tcBorders>
            <w:shd w:val="clear" w:color="auto" w:fill="5B9BD5"/>
          </w:tcPr>
          <w:p w14:paraId="0A0D3904"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T4 </w:t>
            </w:r>
            <w:r w:rsidR="001646E6" w:rsidRPr="001646E6">
              <w:rPr>
                <w:rFonts w:cs="Arial"/>
                <w:b/>
                <w:color w:val="000000"/>
                <w:sz w:val="20"/>
                <w:lang w:eastAsia="de-AT"/>
              </w:rPr>
              <w:t>*</w:t>
            </w:r>
            <w:r w:rsidR="001646E6">
              <w:rPr>
                <w:rFonts w:cs="Arial"/>
                <w:b/>
                <w:color w:val="000000"/>
                <w:sz w:val="20"/>
                <w:lang w:eastAsia="de-AT"/>
              </w:rPr>
              <w:t>*</w:t>
            </w:r>
          </w:p>
        </w:tc>
        <w:tc>
          <w:tcPr>
            <w:tcW w:w="8597" w:type="dxa"/>
            <w:tcBorders>
              <w:bottom w:val="single" w:sz="4" w:space="0" w:color="auto"/>
            </w:tcBorders>
            <w:shd w:val="clear" w:color="auto" w:fill="DEEAF6"/>
          </w:tcPr>
          <w:p w14:paraId="38511017" w14:textId="77777777" w:rsidR="00E569BD" w:rsidRPr="00E569BD" w:rsidRDefault="00E569BD" w:rsidP="00E569BD">
            <w:pPr>
              <w:spacing w:line="276" w:lineRule="auto"/>
              <w:jc w:val="both"/>
              <w:rPr>
                <w:rFonts w:cs="Arial"/>
                <w:color w:val="000000"/>
                <w:sz w:val="20"/>
                <w:lang w:eastAsia="de-AT"/>
              </w:rPr>
            </w:pPr>
            <w:r w:rsidRPr="00E569BD">
              <w:rPr>
                <w:rFonts w:cs="Arial"/>
                <w:color w:val="000000"/>
                <w:sz w:val="20"/>
                <w:lang w:eastAsia="de-AT"/>
              </w:rPr>
              <w:t xml:space="preserve">Tumor perforiert das viszerale Peritoneum und/oder infiltriert anliegende Organe oder Strukturen bzw. andere Teile des Kolons. </w:t>
            </w:r>
          </w:p>
        </w:tc>
      </w:tr>
      <w:tr w:rsidR="00E569BD" w:rsidRPr="00E569BD" w14:paraId="1BBCA4BF" w14:textId="77777777" w:rsidTr="00E569BD">
        <w:trPr>
          <w:trHeight w:val="284"/>
        </w:trPr>
        <w:tc>
          <w:tcPr>
            <w:tcW w:w="725" w:type="dxa"/>
            <w:tcBorders>
              <w:top w:val="single" w:sz="4" w:space="0" w:color="auto"/>
              <w:bottom w:val="single" w:sz="4" w:space="0" w:color="auto"/>
            </w:tcBorders>
            <w:shd w:val="clear" w:color="auto" w:fill="5B9BD5"/>
          </w:tcPr>
          <w:p w14:paraId="5C69F413"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T4a </w:t>
            </w:r>
          </w:p>
        </w:tc>
        <w:tc>
          <w:tcPr>
            <w:tcW w:w="8597" w:type="dxa"/>
            <w:tcBorders>
              <w:top w:val="single" w:sz="4" w:space="0" w:color="auto"/>
              <w:bottom w:val="single" w:sz="4" w:space="0" w:color="auto"/>
            </w:tcBorders>
            <w:shd w:val="clear" w:color="auto" w:fill="DEEAF6"/>
          </w:tcPr>
          <w:p w14:paraId="67C56B92"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Tumor perforiert viszerales Peritoneum </w:t>
            </w:r>
          </w:p>
        </w:tc>
      </w:tr>
      <w:tr w:rsidR="00E569BD" w:rsidRPr="00E569BD" w14:paraId="77C07265" w14:textId="77777777" w:rsidTr="00E569BD">
        <w:trPr>
          <w:trHeight w:val="284"/>
        </w:trPr>
        <w:tc>
          <w:tcPr>
            <w:tcW w:w="725" w:type="dxa"/>
            <w:tcBorders>
              <w:top w:val="single" w:sz="4" w:space="0" w:color="auto"/>
            </w:tcBorders>
            <w:shd w:val="clear" w:color="auto" w:fill="5B9BD5"/>
          </w:tcPr>
          <w:p w14:paraId="2F08EBA9"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T4b </w:t>
            </w:r>
          </w:p>
        </w:tc>
        <w:tc>
          <w:tcPr>
            <w:tcW w:w="8597" w:type="dxa"/>
            <w:tcBorders>
              <w:top w:val="single" w:sz="4" w:space="0" w:color="auto"/>
            </w:tcBorders>
            <w:shd w:val="clear" w:color="auto" w:fill="DEEAF6"/>
          </w:tcPr>
          <w:p w14:paraId="044575AF"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Tumor infiltriert direkt anliegende Organe oder Strukturen </w:t>
            </w:r>
          </w:p>
        </w:tc>
      </w:tr>
    </w:tbl>
    <w:p w14:paraId="2CF172E5" w14:textId="77777777" w:rsidR="001646E6" w:rsidRPr="001646E6" w:rsidRDefault="00E569BD" w:rsidP="00E569BD">
      <w:pPr>
        <w:spacing w:after="173" w:line="346" w:lineRule="auto"/>
        <w:ind w:right="8"/>
        <w:jc w:val="both"/>
        <w:rPr>
          <w:rFonts w:cs="Arial"/>
          <w:color w:val="FF0000"/>
          <w:sz w:val="18"/>
          <w:szCs w:val="18"/>
          <w:lang w:eastAsia="de-AT"/>
        </w:rPr>
      </w:pPr>
      <w:r w:rsidRPr="00E569BD">
        <w:rPr>
          <w:rFonts w:cs="Arial"/>
          <w:color w:val="000000"/>
          <w:sz w:val="8"/>
          <w:szCs w:val="8"/>
          <w:lang w:eastAsia="de-AT"/>
        </w:rPr>
        <w:br/>
      </w:r>
      <w:r w:rsidRPr="00E569BD">
        <w:rPr>
          <w:rFonts w:cs="Arial"/>
          <w:color w:val="000000"/>
          <w:sz w:val="18"/>
          <w:szCs w:val="18"/>
          <w:lang w:eastAsia="de-AT"/>
        </w:rPr>
        <w:t>*) bezieht sich auf die präoperative Bildgebung, ist nicht Bestandteil der histopathologischen TNM-Klassifikation</w:t>
      </w:r>
      <w:r w:rsidR="001646E6">
        <w:rPr>
          <w:rFonts w:cs="Arial"/>
          <w:color w:val="000000"/>
          <w:sz w:val="18"/>
          <w:szCs w:val="18"/>
          <w:lang w:eastAsia="de-AT"/>
        </w:rPr>
        <w:br/>
      </w:r>
      <w:r w:rsidR="001646E6" w:rsidRPr="00E4567C">
        <w:rPr>
          <w:rFonts w:cs="Arial"/>
          <w:sz w:val="18"/>
          <w:szCs w:val="18"/>
          <w:lang w:eastAsia="de-AT"/>
        </w:rPr>
        <w:t xml:space="preserve">**) T-Klassifizierung beim Rektumkarzinom mit Sphinkterbeteiligung </w:t>
      </w:r>
      <w:r w:rsidR="001646E6" w:rsidRPr="00E4567C">
        <w:rPr>
          <w:rFonts w:cs="Arial"/>
          <w:sz w:val="18"/>
          <w:szCs w:val="18"/>
          <w:lang w:eastAsia="de-AT"/>
        </w:rPr>
        <w:sym w:font="Wingdings" w:char="F0E0"/>
      </w:r>
      <w:r w:rsidR="001646E6" w:rsidRPr="00E4567C">
        <w:rPr>
          <w:rFonts w:cs="Arial"/>
          <w:sz w:val="18"/>
          <w:szCs w:val="18"/>
          <w:lang w:eastAsia="de-AT"/>
        </w:rPr>
        <w:t xml:space="preserve"> siehe Seite 14</w:t>
      </w:r>
    </w:p>
    <w:tbl>
      <w:tblPr>
        <w:tblStyle w:val="TableGrid"/>
        <w:tblW w:w="9322"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59" w:type="dxa"/>
          <w:left w:w="108" w:type="dxa"/>
          <w:right w:w="48" w:type="dxa"/>
        </w:tblCellMar>
        <w:tblLook w:val="04A0" w:firstRow="1" w:lastRow="0" w:firstColumn="1" w:lastColumn="0" w:noHBand="0" w:noVBand="1"/>
      </w:tblPr>
      <w:tblGrid>
        <w:gridCol w:w="744"/>
        <w:gridCol w:w="8578"/>
      </w:tblGrid>
      <w:tr w:rsidR="00E569BD" w:rsidRPr="00E569BD" w14:paraId="51462DB6" w14:textId="77777777" w:rsidTr="00E569BD">
        <w:trPr>
          <w:trHeight w:val="284"/>
        </w:trPr>
        <w:tc>
          <w:tcPr>
            <w:tcW w:w="744" w:type="dxa"/>
            <w:tcBorders>
              <w:bottom w:val="single" w:sz="12" w:space="0" w:color="auto"/>
              <w:right w:val="single" w:sz="12" w:space="0" w:color="auto"/>
            </w:tcBorders>
            <w:shd w:val="clear" w:color="auto" w:fill="5B9BD5"/>
          </w:tcPr>
          <w:p w14:paraId="45D18BBD"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Nx  </w:t>
            </w:r>
          </w:p>
        </w:tc>
        <w:tc>
          <w:tcPr>
            <w:tcW w:w="8578" w:type="dxa"/>
            <w:tcBorders>
              <w:left w:val="single" w:sz="12" w:space="0" w:color="auto"/>
              <w:bottom w:val="single" w:sz="12" w:space="0" w:color="auto"/>
            </w:tcBorders>
            <w:shd w:val="clear" w:color="auto" w:fill="DEEAF6"/>
          </w:tcPr>
          <w:p w14:paraId="12EAB59E"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Regionäre Lymphknoten können nicht beurteilt werden </w:t>
            </w:r>
          </w:p>
        </w:tc>
      </w:tr>
      <w:tr w:rsidR="00E569BD" w:rsidRPr="00E569BD" w14:paraId="2BBC6504" w14:textId="77777777" w:rsidTr="00E569BD">
        <w:trPr>
          <w:trHeight w:val="284"/>
        </w:trPr>
        <w:tc>
          <w:tcPr>
            <w:tcW w:w="744" w:type="dxa"/>
            <w:tcBorders>
              <w:top w:val="single" w:sz="12" w:space="0" w:color="auto"/>
              <w:bottom w:val="single" w:sz="12" w:space="0" w:color="auto"/>
              <w:right w:val="single" w:sz="12" w:space="0" w:color="auto"/>
            </w:tcBorders>
            <w:shd w:val="clear" w:color="auto" w:fill="5B9BD5"/>
          </w:tcPr>
          <w:p w14:paraId="0C548B9E"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N0  </w:t>
            </w:r>
          </w:p>
        </w:tc>
        <w:tc>
          <w:tcPr>
            <w:tcW w:w="8578" w:type="dxa"/>
            <w:tcBorders>
              <w:top w:val="single" w:sz="12" w:space="0" w:color="auto"/>
              <w:left w:val="single" w:sz="12" w:space="0" w:color="auto"/>
              <w:bottom w:val="single" w:sz="12" w:space="0" w:color="auto"/>
            </w:tcBorders>
            <w:shd w:val="clear" w:color="auto" w:fill="DEEAF6"/>
          </w:tcPr>
          <w:p w14:paraId="227CE07A"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kein Anhalt für Befall regionärer Lymphknoten </w:t>
            </w:r>
          </w:p>
        </w:tc>
      </w:tr>
      <w:tr w:rsidR="00E569BD" w:rsidRPr="00E569BD" w14:paraId="2760EF87" w14:textId="77777777" w:rsidTr="00E569BD">
        <w:trPr>
          <w:trHeight w:val="284"/>
        </w:trPr>
        <w:tc>
          <w:tcPr>
            <w:tcW w:w="744" w:type="dxa"/>
            <w:tcBorders>
              <w:top w:val="single" w:sz="12" w:space="0" w:color="auto"/>
              <w:right w:val="single" w:sz="12" w:space="0" w:color="auto"/>
            </w:tcBorders>
            <w:shd w:val="clear" w:color="auto" w:fill="5B9BD5"/>
          </w:tcPr>
          <w:p w14:paraId="757C02DF"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N1  </w:t>
            </w:r>
          </w:p>
        </w:tc>
        <w:tc>
          <w:tcPr>
            <w:tcW w:w="8578" w:type="dxa"/>
            <w:tcBorders>
              <w:top w:val="single" w:sz="12" w:space="0" w:color="auto"/>
              <w:left w:val="single" w:sz="12" w:space="0" w:color="auto"/>
            </w:tcBorders>
            <w:shd w:val="clear" w:color="auto" w:fill="DEEAF6"/>
          </w:tcPr>
          <w:p w14:paraId="31871C99"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Metastase(n) in 1-3 regionären Lymphknoten </w:t>
            </w:r>
          </w:p>
        </w:tc>
      </w:tr>
      <w:tr w:rsidR="00E569BD" w:rsidRPr="00E569BD" w14:paraId="5FC2122A" w14:textId="77777777" w:rsidTr="00E569BD">
        <w:trPr>
          <w:trHeight w:val="284"/>
        </w:trPr>
        <w:tc>
          <w:tcPr>
            <w:tcW w:w="744" w:type="dxa"/>
            <w:tcBorders>
              <w:right w:val="single" w:sz="12" w:space="0" w:color="auto"/>
            </w:tcBorders>
            <w:shd w:val="clear" w:color="auto" w:fill="5B9BD5"/>
          </w:tcPr>
          <w:p w14:paraId="4CD1CEA1"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N1a </w:t>
            </w:r>
          </w:p>
        </w:tc>
        <w:tc>
          <w:tcPr>
            <w:tcW w:w="8578" w:type="dxa"/>
            <w:tcBorders>
              <w:left w:val="single" w:sz="12" w:space="0" w:color="auto"/>
            </w:tcBorders>
            <w:shd w:val="clear" w:color="auto" w:fill="DEEAF6"/>
          </w:tcPr>
          <w:p w14:paraId="27F0E65C"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 in 1 regionären Lymphknoten </w:t>
            </w:r>
          </w:p>
        </w:tc>
      </w:tr>
      <w:tr w:rsidR="00E569BD" w:rsidRPr="00E569BD" w14:paraId="50F785C3" w14:textId="77777777" w:rsidTr="00E569BD">
        <w:trPr>
          <w:trHeight w:val="284"/>
        </w:trPr>
        <w:tc>
          <w:tcPr>
            <w:tcW w:w="744" w:type="dxa"/>
            <w:tcBorders>
              <w:right w:val="single" w:sz="12" w:space="0" w:color="auto"/>
            </w:tcBorders>
            <w:shd w:val="clear" w:color="auto" w:fill="5B9BD5"/>
          </w:tcPr>
          <w:p w14:paraId="333FBEAF"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N1b </w:t>
            </w:r>
          </w:p>
        </w:tc>
        <w:tc>
          <w:tcPr>
            <w:tcW w:w="8578" w:type="dxa"/>
            <w:tcBorders>
              <w:left w:val="single" w:sz="12" w:space="0" w:color="auto"/>
            </w:tcBorders>
            <w:shd w:val="clear" w:color="auto" w:fill="DEEAF6"/>
          </w:tcPr>
          <w:p w14:paraId="2F8308DB"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Metastasen in 2-3 regionären Lymphknoten </w:t>
            </w:r>
          </w:p>
        </w:tc>
      </w:tr>
      <w:tr w:rsidR="00E569BD" w:rsidRPr="00E569BD" w14:paraId="42FBC7B0" w14:textId="77777777" w:rsidTr="00E569BD">
        <w:trPr>
          <w:trHeight w:val="567"/>
        </w:trPr>
        <w:tc>
          <w:tcPr>
            <w:tcW w:w="744" w:type="dxa"/>
            <w:tcBorders>
              <w:bottom w:val="single" w:sz="12" w:space="0" w:color="auto"/>
              <w:right w:val="single" w:sz="12" w:space="0" w:color="auto"/>
            </w:tcBorders>
            <w:shd w:val="clear" w:color="auto" w:fill="5B9BD5"/>
          </w:tcPr>
          <w:p w14:paraId="42D35944"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N1c </w:t>
            </w:r>
          </w:p>
        </w:tc>
        <w:tc>
          <w:tcPr>
            <w:tcW w:w="8578" w:type="dxa"/>
            <w:tcBorders>
              <w:left w:val="single" w:sz="12" w:space="0" w:color="auto"/>
              <w:bottom w:val="single" w:sz="12" w:space="0" w:color="auto"/>
            </w:tcBorders>
            <w:shd w:val="clear" w:color="auto" w:fill="DEEAF6"/>
          </w:tcPr>
          <w:p w14:paraId="41144DDC" w14:textId="77777777" w:rsidR="00E569BD" w:rsidRPr="00E569BD" w:rsidRDefault="00E569BD" w:rsidP="00E569BD">
            <w:pPr>
              <w:spacing w:line="276" w:lineRule="auto"/>
              <w:jc w:val="both"/>
              <w:rPr>
                <w:rFonts w:cs="Arial"/>
                <w:color w:val="000000"/>
                <w:sz w:val="20"/>
                <w:lang w:eastAsia="de-AT"/>
              </w:rPr>
            </w:pPr>
            <w:r w:rsidRPr="00E569BD">
              <w:rPr>
                <w:rFonts w:cs="Arial"/>
                <w:color w:val="000000"/>
                <w:sz w:val="20"/>
                <w:lang w:eastAsia="de-AT"/>
              </w:rPr>
              <w:t xml:space="preserve">Tumorknötchen bzw. Satellit(en) im Fettgewebe der Subserosa oder im nicht-peritonealisierten perikolischen Fettgewebe ohne regionäre Lymphknotenmetastasen </w:t>
            </w:r>
          </w:p>
        </w:tc>
      </w:tr>
      <w:tr w:rsidR="00E569BD" w:rsidRPr="00E569BD" w14:paraId="1700B119" w14:textId="77777777" w:rsidTr="00E569BD">
        <w:trPr>
          <w:trHeight w:val="284"/>
        </w:trPr>
        <w:tc>
          <w:tcPr>
            <w:tcW w:w="744" w:type="dxa"/>
            <w:tcBorders>
              <w:top w:val="single" w:sz="12" w:space="0" w:color="auto"/>
              <w:right w:val="single" w:sz="12" w:space="0" w:color="auto"/>
            </w:tcBorders>
            <w:shd w:val="clear" w:color="auto" w:fill="5B9BD5"/>
          </w:tcPr>
          <w:p w14:paraId="502891D0"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N2  </w:t>
            </w:r>
          </w:p>
        </w:tc>
        <w:tc>
          <w:tcPr>
            <w:tcW w:w="8578" w:type="dxa"/>
            <w:tcBorders>
              <w:top w:val="single" w:sz="12" w:space="0" w:color="auto"/>
              <w:left w:val="single" w:sz="12" w:space="0" w:color="auto"/>
            </w:tcBorders>
            <w:shd w:val="clear" w:color="auto" w:fill="DEEAF6"/>
          </w:tcPr>
          <w:p w14:paraId="3F6EC176"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Metastasen in 4 oder mehr regionären Lymphknoten </w:t>
            </w:r>
          </w:p>
        </w:tc>
      </w:tr>
      <w:tr w:rsidR="00E569BD" w:rsidRPr="00E569BD" w14:paraId="50247EF5" w14:textId="77777777" w:rsidTr="00E569BD">
        <w:trPr>
          <w:trHeight w:val="284"/>
        </w:trPr>
        <w:tc>
          <w:tcPr>
            <w:tcW w:w="744" w:type="dxa"/>
            <w:tcBorders>
              <w:right w:val="single" w:sz="12" w:space="0" w:color="auto"/>
            </w:tcBorders>
            <w:shd w:val="clear" w:color="auto" w:fill="5B9BD5"/>
          </w:tcPr>
          <w:p w14:paraId="1096CEC5"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N2a </w:t>
            </w:r>
          </w:p>
        </w:tc>
        <w:tc>
          <w:tcPr>
            <w:tcW w:w="8578" w:type="dxa"/>
            <w:tcBorders>
              <w:left w:val="single" w:sz="12" w:space="0" w:color="auto"/>
            </w:tcBorders>
            <w:shd w:val="clear" w:color="auto" w:fill="DEEAF6"/>
          </w:tcPr>
          <w:p w14:paraId="0487285F"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Metastasen in 4 - 6 regionären Lymphknoten </w:t>
            </w:r>
          </w:p>
        </w:tc>
      </w:tr>
      <w:tr w:rsidR="00E569BD" w:rsidRPr="00E569BD" w14:paraId="58E15E66" w14:textId="77777777" w:rsidTr="00E569BD">
        <w:trPr>
          <w:trHeight w:val="284"/>
        </w:trPr>
        <w:tc>
          <w:tcPr>
            <w:tcW w:w="744" w:type="dxa"/>
            <w:tcBorders>
              <w:right w:val="single" w:sz="12" w:space="0" w:color="auto"/>
            </w:tcBorders>
            <w:shd w:val="clear" w:color="auto" w:fill="5B9BD5"/>
          </w:tcPr>
          <w:p w14:paraId="23274A8F"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N2b </w:t>
            </w:r>
          </w:p>
        </w:tc>
        <w:tc>
          <w:tcPr>
            <w:tcW w:w="8578" w:type="dxa"/>
            <w:tcBorders>
              <w:left w:val="single" w:sz="12" w:space="0" w:color="auto"/>
            </w:tcBorders>
            <w:shd w:val="clear" w:color="auto" w:fill="DEEAF6"/>
          </w:tcPr>
          <w:p w14:paraId="3564035A"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Metastasen in 7 oder mehr regionären Lymphknoten </w:t>
            </w:r>
          </w:p>
        </w:tc>
      </w:tr>
    </w:tbl>
    <w:p w14:paraId="58EF4C90" w14:textId="77777777" w:rsidR="00E569BD" w:rsidRPr="00E569BD" w:rsidRDefault="00E569BD" w:rsidP="00E569BD">
      <w:pPr>
        <w:spacing w:after="173" w:line="346" w:lineRule="auto"/>
        <w:ind w:left="-5" w:right="8" w:hanging="10"/>
        <w:jc w:val="both"/>
        <w:rPr>
          <w:rFonts w:ascii="Times New Roman" w:hAnsi="Times New Roman"/>
          <w:color w:val="000000"/>
          <w:sz w:val="24"/>
          <w:szCs w:val="22"/>
          <w:lang w:eastAsia="de-AT"/>
        </w:rPr>
      </w:pPr>
    </w:p>
    <w:tbl>
      <w:tblPr>
        <w:tblStyle w:val="TableGrid"/>
        <w:tblW w:w="932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9" w:type="dxa"/>
          <w:left w:w="108" w:type="dxa"/>
          <w:right w:w="96" w:type="dxa"/>
        </w:tblCellMar>
        <w:tblLook w:val="04A0" w:firstRow="1" w:lastRow="0" w:firstColumn="1" w:lastColumn="0" w:noHBand="0" w:noVBand="1"/>
      </w:tblPr>
      <w:tblGrid>
        <w:gridCol w:w="725"/>
        <w:gridCol w:w="8597"/>
      </w:tblGrid>
      <w:tr w:rsidR="00E569BD" w:rsidRPr="00E569BD" w14:paraId="7626EA28" w14:textId="77777777" w:rsidTr="00E569BD">
        <w:trPr>
          <w:trHeight w:val="284"/>
        </w:trPr>
        <w:tc>
          <w:tcPr>
            <w:tcW w:w="725" w:type="dxa"/>
            <w:shd w:val="clear" w:color="auto" w:fill="5B9BD5"/>
          </w:tcPr>
          <w:p w14:paraId="6F592486"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Mx  </w:t>
            </w:r>
          </w:p>
        </w:tc>
        <w:tc>
          <w:tcPr>
            <w:tcW w:w="8597" w:type="dxa"/>
            <w:shd w:val="clear" w:color="auto" w:fill="DEEAF6"/>
          </w:tcPr>
          <w:p w14:paraId="49DB1E51"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das Vorliegen von Fernmetastasen kann nicht beurteilt werden </w:t>
            </w:r>
          </w:p>
        </w:tc>
      </w:tr>
      <w:tr w:rsidR="00E569BD" w:rsidRPr="00E569BD" w14:paraId="36FB5E53" w14:textId="77777777" w:rsidTr="00E569BD">
        <w:trPr>
          <w:trHeight w:val="284"/>
        </w:trPr>
        <w:tc>
          <w:tcPr>
            <w:tcW w:w="725" w:type="dxa"/>
            <w:shd w:val="clear" w:color="auto" w:fill="5B9BD5"/>
          </w:tcPr>
          <w:p w14:paraId="4DF1ED7A"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M0  </w:t>
            </w:r>
          </w:p>
        </w:tc>
        <w:tc>
          <w:tcPr>
            <w:tcW w:w="8597" w:type="dxa"/>
            <w:shd w:val="clear" w:color="auto" w:fill="DEEAF6"/>
          </w:tcPr>
          <w:p w14:paraId="55303F5B"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kein Anhalt für Vorliegen von Fernmetastasen </w:t>
            </w:r>
          </w:p>
        </w:tc>
      </w:tr>
      <w:tr w:rsidR="00E569BD" w:rsidRPr="00E569BD" w14:paraId="595136D5" w14:textId="77777777" w:rsidTr="00E569BD">
        <w:trPr>
          <w:trHeight w:val="284"/>
        </w:trPr>
        <w:tc>
          <w:tcPr>
            <w:tcW w:w="725" w:type="dxa"/>
            <w:tcBorders>
              <w:bottom w:val="single" w:sz="4" w:space="0" w:color="auto"/>
            </w:tcBorders>
            <w:shd w:val="clear" w:color="auto" w:fill="5B9BD5"/>
          </w:tcPr>
          <w:p w14:paraId="645E6EF1" w14:textId="77777777" w:rsidR="00E569BD" w:rsidRPr="00E569BD" w:rsidRDefault="00E569BD" w:rsidP="00E569BD">
            <w:pPr>
              <w:spacing w:line="276" w:lineRule="auto"/>
              <w:jc w:val="left"/>
              <w:rPr>
                <w:rFonts w:cs="Arial"/>
                <w:b/>
                <w:color w:val="000000"/>
                <w:sz w:val="20"/>
                <w:lang w:eastAsia="de-AT"/>
              </w:rPr>
            </w:pPr>
            <w:r w:rsidRPr="00E569BD">
              <w:rPr>
                <w:rFonts w:cs="Arial"/>
                <w:b/>
                <w:color w:val="000000"/>
                <w:sz w:val="20"/>
                <w:lang w:eastAsia="de-AT"/>
              </w:rPr>
              <w:t xml:space="preserve">M1  </w:t>
            </w:r>
          </w:p>
        </w:tc>
        <w:tc>
          <w:tcPr>
            <w:tcW w:w="8597" w:type="dxa"/>
            <w:tcBorders>
              <w:bottom w:val="single" w:sz="4" w:space="0" w:color="auto"/>
            </w:tcBorders>
            <w:shd w:val="clear" w:color="auto" w:fill="DEEAF6"/>
          </w:tcPr>
          <w:p w14:paraId="15D2F6C2"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 xml:space="preserve">Fernmetastasen vorhanden </w:t>
            </w:r>
          </w:p>
        </w:tc>
      </w:tr>
      <w:tr w:rsidR="00E569BD" w:rsidRPr="00E569BD" w14:paraId="4A148276" w14:textId="77777777" w:rsidTr="00E569BD">
        <w:trPr>
          <w:trHeight w:val="284"/>
        </w:trPr>
        <w:tc>
          <w:tcPr>
            <w:tcW w:w="725" w:type="dxa"/>
            <w:tcBorders>
              <w:top w:val="single" w:sz="4" w:space="0" w:color="auto"/>
              <w:bottom w:val="single" w:sz="4" w:space="0" w:color="auto"/>
            </w:tcBorders>
            <w:shd w:val="clear" w:color="auto" w:fill="5B9BD5"/>
          </w:tcPr>
          <w:p w14:paraId="1BB178BA" w14:textId="77777777" w:rsidR="00E569BD" w:rsidRPr="00E569BD" w:rsidRDefault="00E569BD" w:rsidP="00E569BD">
            <w:pPr>
              <w:spacing w:line="276" w:lineRule="auto"/>
              <w:jc w:val="both"/>
              <w:rPr>
                <w:rFonts w:cs="Arial"/>
                <w:b/>
                <w:color w:val="000000"/>
                <w:sz w:val="20"/>
                <w:lang w:eastAsia="de-AT"/>
              </w:rPr>
            </w:pPr>
            <w:r w:rsidRPr="00E569BD">
              <w:rPr>
                <w:rFonts w:cs="Arial"/>
                <w:b/>
                <w:color w:val="000000"/>
                <w:sz w:val="20"/>
                <w:lang w:eastAsia="de-AT"/>
              </w:rPr>
              <w:t xml:space="preserve">M1a </w:t>
            </w:r>
          </w:p>
        </w:tc>
        <w:tc>
          <w:tcPr>
            <w:tcW w:w="8597" w:type="dxa"/>
            <w:tcBorders>
              <w:top w:val="single" w:sz="4" w:space="0" w:color="auto"/>
              <w:bottom w:val="single" w:sz="4" w:space="0" w:color="auto"/>
            </w:tcBorders>
            <w:shd w:val="clear" w:color="auto" w:fill="DEEAF6"/>
          </w:tcPr>
          <w:p w14:paraId="027127E7" w14:textId="77777777" w:rsidR="00E569BD" w:rsidRPr="00E569BD" w:rsidRDefault="00E569BD" w:rsidP="00E569BD">
            <w:pPr>
              <w:spacing w:line="276" w:lineRule="auto"/>
              <w:jc w:val="both"/>
              <w:rPr>
                <w:rFonts w:cs="Arial"/>
                <w:color w:val="000000"/>
                <w:sz w:val="20"/>
                <w:lang w:eastAsia="de-AT"/>
              </w:rPr>
            </w:pPr>
            <w:r w:rsidRPr="00E569BD">
              <w:rPr>
                <w:rFonts w:cs="Arial"/>
                <w:color w:val="000000"/>
                <w:sz w:val="20"/>
                <w:lang w:eastAsia="de-AT"/>
              </w:rPr>
              <w:t xml:space="preserve">Metastase(n) auf ein Organ beschränkt (z.B. Leber, Lunge, Ovar, nichtregionäre Lymphknoten) </w:t>
            </w:r>
          </w:p>
        </w:tc>
      </w:tr>
      <w:tr w:rsidR="00E569BD" w:rsidRPr="00E569BD" w14:paraId="1B996A4C" w14:textId="77777777" w:rsidTr="00E569BD">
        <w:trPr>
          <w:trHeight w:val="284"/>
        </w:trPr>
        <w:tc>
          <w:tcPr>
            <w:tcW w:w="725" w:type="dxa"/>
            <w:tcBorders>
              <w:top w:val="single" w:sz="4" w:space="0" w:color="auto"/>
              <w:bottom w:val="single" w:sz="4" w:space="0" w:color="auto"/>
            </w:tcBorders>
            <w:shd w:val="clear" w:color="auto" w:fill="5B9BD5"/>
          </w:tcPr>
          <w:p w14:paraId="0FDDD5E5" w14:textId="77777777" w:rsidR="00E569BD" w:rsidRPr="00E569BD" w:rsidRDefault="00E569BD" w:rsidP="00E569BD">
            <w:pPr>
              <w:spacing w:line="276" w:lineRule="auto"/>
              <w:jc w:val="both"/>
              <w:rPr>
                <w:rFonts w:cs="Arial"/>
                <w:b/>
                <w:color w:val="000000"/>
                <w:sz w:val="20"/>
                <w:lang w:eastAsia="de-AT"/>
              </w:rPr>
            </w:pPr>
            <w:r w:rsidRPr="00E569BD">
              <w:rPr>
                <w:rFonts w:cs="Arial"/>
                <w:b/>
                <w:color w:val="000000"/>
                <w:sz w:val="20"/>
                <w:lang w:eastAsia="de-AT"/>
              </w:rPr>
              <w:t xml:space="preserve">M1b </w:t>
            </w:r>
          </w:p>
        </w:tc>
        <w:tc>
          <w:tcPr>
            <w:tcW w:w="8597" w:type="dxa"/>
            <w:tcBorders>
              <w:top w:val="single" w:sz="4" w:space="0" w:color="auto"/>
              <w:bottom w:val="single" w:sz="4" w:space="0" w:color="auto"/>
            </w:tcBorders>
            <w:shd w:val="clear" w:color="auto" w:fill="DEEAF6"/>
          </w:tcPr>
          <w:p w14:paraId="4C636152" w14:textId="77777777" w:rsidR="00E569BD" w:rsidRPr="00E569BD" w:rsidRDefault="00E569BD" w:rsidP="00E569BD">
            <w:pPr>
              <w:spacing w:line="276" w:lineRule="auto"/>
              <w:jc w:val="left"/>
              <w:rPr>
                <w:rFonts w:cs="Arial"/>
                <w:color w:val="000000"/>
                <w:sz w:val="20"/>
                <w:lang w:eastAsia="de-AT"/>
              </w:rPr>
            </w:pPr>
            <w:r w:rsidRPr="00E569BD">
              <w:rPr>
                <w:rFonts w:cs="Arial"/>
                <w:color w:val="000000"/>
                <w:sz w:val="20"/>
                <w:lang w:eastAsia="de-AT"/>
              </w:rPr>
              <w:t>Metastasen in mehr als einem Organ</w:t>
            </w:r>
          </w:p>
        </w:tc>
      </w:tr>
      <w:tr w:rsidR="00E569BD" w:rsidRPr="00E569BD" w14:paraId="0DD150E8" w14:textId="77777777" w:rsidTr="00E569BD">
        <w:trPr>
          <w:trHeight w:val="284"/>
        </w:trPr>
        <w:tc>
          <w:tcPr>
            <w:tcW w:w="725" w:type="dxa"/>
            <w:tcBorders>
              <w:top w:val="single" w:sz="4" w:space="0" w:color="auto"/>
            </w:tcBorders>
            <w:shd w:val="clear" w:color="auto" w:fill="5B9BD5"/>
          </w:tcPr>
          <w:p w14:paraId="678FA17A" w14:textId="77777777" w:rsidR="00E569BD" w:rsidRPr="00E569BD" w:rsidRDefault="00E569BD" w:rsidP="00E569BD">
            <w:pPr>
              <w:spacing w:line="276" w:lineRule="auto"/>
              <w:jc w:val="both"/>
              <w:rPr>
                <w:rFonts w:cs="Arial"/>
                <w:b/>
                <w:sz w:val="20"/>
                <w:lang w:eastAsia="de-AT"/>
              </w:rPr>
            </w:pPr>
            <w:r w:rsidRPr="00E569BD">
              <w:rPr>
                <w:rFonts w:cs="Arial"/>
                <w:b/>
                <w:sz w:val="20"/>
                <w:lang w:eastAsia="de-AT"/>
              </w:rPr>
              <w:t>M1c</w:t>
            </w:r>
          </w:p>
        </w:tc>
        <w:tc>
          <w:tcPr>
            <w:tcW w:w="8597" w:type="dxa"/>
            <w:tcBorders>
              <w:top w:val="single" w:sz="4" w:space="0" w:color="auto"/>
            </w:tcBorders>
            <w:shd w:val="clear" w:color="auto" w:fill="DEEAF6"/>
          </w:tcPr>
          <w:p w14:paraId="0C32A42F" w14:textId="77777777" w:rsidR="00E569BD" w:rsidRPr="00E569BD" w:rsidRDefault="00E569BD" w:rsidP="00E569BD">
            <w:pPr>
              <w:spacing w:line="276" w:lineRule="auto"/>
              <w:jc w:val="left"/>
              <w:rPr>
                <w:rFonts w:cs="Arial"/>
                <w:sz w:val="20"/>
                <w:lang w:eastAsia="de-AT"/>
              </w:rPr>
            </w:pPr>
            <w:r w:rsidRPr="00E569BD">
              <w:rPr>
                <w:rFonts w:cs="Arial"/>
                <w:sz w:val="20"/>
                <w:lang w:eastAsia="de-AT"/>
              </w:rPr>
              <w:t>Metastasen im Peritoneum mit oder ohne Organ-Beteiligung</w:t>
            </w:r>
          </w:p>
        </w:tc>
      </w:tr>
    </w:tbl>
    <w:p w14:paraId="32197FBE" w14:textId="77777777" w:rsidR="00E569BD" w:rsidRPr="00E569BD" w:rsidRDefault="00E569BD" w:rsidP="00E569BD">
      <w:pPr>
        <w:spacing w:after="173" w:line="346" w:lineRule="auto"/>
        <w:ind w:left="-5" w:right="8" w:hanging="10"/>
        <w:jc w:val="both"/>
        <w:rPr>
          <w:rFonts w:ascii="Times New Roman" w:hAnsi="Times New Roman"/>
          <w:color w:val="000000"/>
          <w:sz w:val="24"/>
          <w:szCs w:val="22"/>
          <w:lang w:eastAsia="de-AT"/>
        </w:rPr>
      </w:pPr>
    </w:p>
    <w:p w14:paraId="17465CFD" w14:textId="77777777" w:rsidR="00CF2270" w:rsidRPr="00153D10" w:rsidRDefault="003E138F" w:rsidP="00CF2270">
      <w:pPr>
        <w:pStyle w:val="berschrift2"/>
        <w:rPr>
          <w:lang w:eastAsia="de-AT"/>
        </w:rPr>
      </w:pPr>
      <w:bookmarkStart w:id="26" w:name="_Toc93523282"/>
      <w:r>
        <w:rPr>
          <w:lang w:eastAsia="de-AT"/>
        </w:rPr>
        <w:lastRenderedPageBreak/>
        <w:t>2.1</w:t>
      </w:r>
      <w:r w:rsidR="00C5792C">
        <w:rPr>
          <w:lang w:eastAsia="de-AT"/>
        </w:rPr>
        <w:t>1</w:t>
      </w:r>
      <w:r w:rsidR="00CF2270">
        <w:rPr>
          <w:lang w:eastAsia="de-AT"/>
        </w:rPr>
        <w:tab/>
        <w:t>CRC UICC-Stadien</w:t>
      </w:r>
      <w:bookmarkEnd w:id="26"/>
    </w:p>
    <w:tbl>
      <w:tblPr>
        <w:tblStyle w:val="TableGrid1"/>
        <w:tblW w:w="9322" w:type="dxa"/>
        <w:tblInd w:w="-108" w:type="dxa"/>
        <w:tblCellMar>
          <w:top w:w="59" w:type="dxa"/>
          <w:left w:w="108" w:type="dxa"/>
          <w:right w:w="113" w:type="dxa"/>
        </w:tblCellMar>
        <w:tblLook w:val="04A0" w:firstRow="1" w:lastRow="0" w:firstColumn="1" w:lastColumn="0" w:noHBand="0" w:noVBand="1"/>
      </w:tblPr>
      <w:tblGrid>
        <w:gridCol w:w="1865"/>
        <w:gridCol w:w="1862"/>
        <w:gridCol w:w="1865"/>
        <w:gridCol w:w="1865"/>
        <w:gridCol w:w="1865"/>
      </w:tblGrid>
      <w:tr w:rsidR="00E569BD" w:rsidRPr="00E569BD" w14:paraId="74DEB83C" w14:textId="77777777" w:rsidTr="00E569BD">
        <w:trPr>
          <w:trHeight w:val="838"/>
        </w:trPr>
        <w:tc>
          <w:tcPr>
            <w:tcW w:w="1865" w:type="dxa"/>
            <w:tcBorders>
              <w:top w:val="single" w:sz="12" w:space="0" w:color="auto"/>
              <w:left w:val="single" w:sz="12" w:space="0" w:color="auto"/>
              <w:bottom w:val="single" w:sz="12" w:space="0" w:color="auto"/>
              <w:right w:val="single" w:sz="12" w:space="0" w:color="auto"/>
            </w:tcBorders>
            <w:shd w:val="clear" w:color="auto" w:fill="9CC2E5"/>
            <w:vAlign w:val="center"/>
          </w:tcPr>
          <w:p w14:paraId="016A1BE6" w14:textId="77777777" w:rsidR="00E569BD" w:rsidRPr="00E569BD" w:rsidRDefault="00E569BD" w:rsidP="00E569BD">
            <w:pPr>
              <w:spacing w:line="276" w:lineRule="auto"/>
              <w:jc w:val="both"/>
              <w:rPr>
                <w:rFonts w:ascii="Times New Roman" w:hAnsi="Times New Roman"/>
                <w:color w:val="000000"/>
                <w:sz w:val="24"/>
                <w:lang w:eastAsia="de-AT"/>
              </w:rPr>
            </w:pPr>
            <w:r w:rsidRPr="00E569BD">
              <w:rPr>
                <w:rFonts w:ascii="Times New Roman" w:hAnsi="Times New Roman"/>
                <w:b/>
                <w:color w:val="000000"/>
                <w:sz w:val="24"/>
                <w:lang w:eastAsia="de-AT"/>
              </w:rPr>
              <w:t xml:space="preserve">UICC-Stadium </w:t>
            </w:r>
          </w:p>
        </w:tc>
        <w:tc>
          <w:tcPr>
            <w:tcW w:w="1862" w:type="dxa"/>
            <w:tcBorders>
              <w:top w:val="single" w:sz="12" w:space="0" w:color="auto"/>
              <w:left w:val="single" w:sz="12" w:space="0" w:color="auto"/>
              <w:bottom w:val="single" w:sz="12" w:space="0" w:color="auto"/>
              <w:right w:val="single" w:sz="12" w:space="0" w:color="auto"/>
            </w:tcBorders>
            <w:shd w:val="clear" w:color="auto" w:fill="9CC2E5"/>
            <w:vAlign w:val="center"/>
          </w:tcPr>
          <w:p w14:paraId="5EBCECB1"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b/>
                <w:color w:val="000000"/>
                <w:sz w:val="24"/>
                <w:lang w:eastAsia="de-AT"/>
              </w:rPr>
              <w:t xml:space="preserve">T-Stadium </w:t>
            </w:r>
          </w:p>
        </w:tc>
        <w:tc>
          <w:tcPr>
            <w:tcW w:w="1865" w:type="dxa"/>
            <w:tcBorders>
              <w:top w:val="single" w:sz="12" w:space="0" w:color="auto"/>
              <w:left w:val="single" w:sz="12" w:space="0" w:color="auto"/>
              <w:bottom w:val="single" w:sz="12" w:space="0" w:color="auto"/>
              <w:right w:val="single" w:sz="12" w:space="0" w:color="auto"/>
            </w:tcBorders>
            <w:shd w:val="clear" w:color="auto" w:fill="9CC2E5"/>
            <w:vAlign w:val="center"/>
          </w:tcPr>
          <w:p w14:paraId="10D12D9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b/>
                <w:color w:val="000000"/>
                <w:sz w:val="24"/>
                <w:lang w:eastAsia="de-AT"/>
              </w:rPr>
              <w:t xml:space="preserve">N-Stadium </w:t>
            </w:r>
          </w:p>
        </w:tc>
        <w:tc>
          <w:tcPr>
            <w:tcW w:w="1865" w:type="dxa"/>
            <w:tcBorders>
              <w:top w:val="single" w:sz="12" w:space="0" w:color="auto"/>
              <w:left w:val="single" w:sz="12" w:space="0" w:color="auto"/>
              <w:bottom w:val="single" w:sz="12" w:space="0" w:color="auto"/>
              <w:right w:val="single" w:sz="12" w:space="0" w:color="auto"/>
            </w:tcBorders>
            <w:shd w:val="clear" w:color="auto" w:fill="9CC2E5"/>
            <w:vAlign w:val="center"/>
          </w:tcPr>
          <w:p w14:paraId="43CF3015"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b/>
                <w:color w:val="000000"/>
                <w:sz w:val="24"/>
                <w:lang w:eastAsia="de-AT"/>
              </w:rPr>
              <w:t xml:space="preserve">M-Stadium </w:t>
            </w:r>
          </w:p>
        </w:tc>
        <w:tc>
          <w:tcPr>
            <w:tcW w:w="1865" w:type="dxa"/>
            <w:tcBorders>
              <w:top w:val="single" w:sz="12" w:space="0" w:color="auto"/>
              <w:left w:val="single" w:sz="12" w:space="0" w:color="auto"/>
              <w:bottom w:val="single" w:sz="12" w:space="0" w:color="auto"/>
              <w:right w:val="single" w:sz="12" w:space="0" w:color="auto"/>
            </w:tcBorders>
            <w:shd w:val="clear" w:color="auto" w:fill="9CC2E5"/>
          </w:tcPr>
          <w:p w14:paraId="7E7465E0"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b/>
                <w:color w:val="000000"/>
                <w:sz w:val="24"/>
                <w:lang w:eastAsia="de-AT"/>
              </w:rPr>
              <w:t>Dukes-</w:t>
            </w:r>
          </w:p>
          <w:p w14:paraId="527530D2"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b/>
                <w:color w:val="000000"/>
                <w:sz w:val="24"/>
                <w:lang w:eastAsia="de-AT"/>
              </w:rPr>
              <w:t xml:space="preserve">Klassifikation </w:t>
            </w:r>
          </w:p>
        </w:tc>
      </w:tr>
      <w:tr w:rsidR="00E569BD" w:rsidRPr="00E569BD" w14:paraId="51027579" w14:textId="77777777" w:rsidTr="00E569BD">
        <w:trPr>
          <w:trHeight w:val="422"/>
        </w:trPr>
        <w:tc>
          <w:tcPr>
            <w:tcW w:w="1865" w:type="dxa"/>
            <w:tcBorders>
              <w:top w:val="single" w:sz="12" w:space="0" w:color="auto"/>
              <w:left w:val="single" w:sz="12" w:space="0" w:color="auto"/>
              <w:bottom w:val="single" w:sz="12" w:space="0" w:color="auto"/>
              <w:right w:val="single" w:sz="12" w:space="0" w:color="auto"/>
            </w:tcBorders>
            <w:shd w:val="clear" w:color="auto" w:fill="5B9BD5"/>
          </w:tcPr>
          <w:p w14:paraId="1F4ECEBC"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0  </w:t>
            </w:r>
          </w:p>
        </w:tc>
        <w:tc>
          <w:tcPr>
            <w:tcW w:w="1862" w:type="dxa"/>
            <w:tcBorders>
              <w:top w:val="single" w:sz="12" w:space="0" w:color="auto"/>
              <w:left w:val="single" w:sz="12" w:space="0" w:color="auto"/>
              <w:bottom w:val="single" w:sz="12" w:space="0" w:color="auto"/>
              <w:right w:val="single" w:sz="12" w:space="0" w:color="auto"/>
            </w:tcBorders>
            <w:shd w:val="clear" w:color="auto" w:fill="DEEAF6"/>
          </w:tcPr>
          <w:p w14:paraId="2D5DBC5E"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Tis  </w:t>
            </w:r>
          </w:p>
        </w:tc>
        <w:tc>
          <w:tcPr>
            <w:tcW w:w="1865" w:type="dxa"/>
            <w:tcBorders>
              <w:top w:val="single" w:sz="12" w:space="0" w:color="auto"/>
              <w:left w:val="single" w:sz="12" w:space="0" w:color="auto"/>
              <w:bottom w:val="single" w:sz="12" w:space="0" w:color="auto"/>
              <w:right w:val="single" w:sz="12" w:space="0" w:color="auto"/>
            </w:tcBorders>
            <w:shd w:val="clear" w:color="auto" w:fill="DEEAF6"/>
          </w:tcPr>
          <w:p w14:paraId="0010333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12" w:space="0" w:color="auto"/>
              <w:left w:val="single" w:sz="12" w:space="0" w:color="auto"/>
              <w:bottom w:val="single" w:sz="12" w:space="0" w:color="auto"/>
              <w:right w:val="single" w:sz="12" w:space="0" w:color="auto"/>
            </w:tcBorders>
            <w:shd w:val="clear" w:color="auto" w:fill="DEEAF6"/>
          </w:tcPr>
          <w:p w14:paraId="0889D9B8"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tcBorders>
              <w:top w:val="single" w:sz="12" w:space="0" w:color="auto"/>
              <w:left w:val="single" w:sz="12" w:space="0" w:color="auto"/>
              <w:bottom w:val="single" w:sz="12" w:space="0" w:color="auto"/>
              <w:right w:val="single" w:sz="12" w:space="0" w:color="auto"/>
            </w:tcBorders>
            <w:shd w:val="clear" w:color="auto" w:fill="DEEAF6"/>
          </w:tcPr>
          <w:p w14:paraId="2B720A50"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 </w:t>
            </w:r>
          </w:p>
        </w:tc>
      </w:tr>
      <w:tr w:rsidR="00E569BD" w:rsidRPr="00E569BD" w14:paraId="2A409F03" w14:textId="77777777" w:rsidTr="00E569BD">
        <w:trPr>
          <w:trHeight w:val="425"/>
        </w:trPr>
        <w:tc>
          <w:tcPr>
            <w:tcW w:w="1865" w:type="dxa"/>
            <w:tcBorders>
              <w:top w:val="single" w:sz="12" w:space="0" w:color="auto"/>
              <w:left w:val="single" w:sz="12" w:space="0" w:color="auto"/>
              <w:bottom w:val="single" w:sz="4" w:space="0" w:color="auto"/>
              <w:right w:val="single" w:sz="12" w:space="0" w:color="auto"/>
            </w:tcBorders>
            <w:shd w:val="clear" w:color="auto" w:fill="5B9BD5"/>
          </w:tcPr>
          <w:p w14:paraId="6661857C"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 a </w:t>
            </w:r>
          </w:p>
        </w:tc>
        <w:tc>
          <w:tcPr>
            <w:tcW w:w="1862" w:type="dxa"/>
            <w:tcBorders>
              <w:top w:val="single" w:sz="12" w:space="0" w:color="auto"/>
              <w:left w:val="single" w:sz="12" w:space="0" w:color="auto"/>
              <w:bottom w:val="single" w:sz="4" w:space="0" w:color="auto"/>
              <w:right w:val="single" w:sz="12" w:space="0" w:color="auto"/>
            </w:tcBorders>
            <w:shd w:val="clear" w:color="auto" w:fill="DEEAF6"/>
          </w:tcPr>
          <w:p w14:paraId="464AE0C8"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T1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419E205D"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6A4C631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val="restart"/>
            <w:tcBorders>
              <w:top w:val="single" w:sz="12" w:space="0" w:color="auto"/>
              <w:left w:val="single" w:sz="12" w:space="0" w:color="auto"/>
              <w:bottom w:val="single" w:sz="12" w:space="0" w:color="auto"/>
              <w:right w:val="single" w:sz="12" w:space="0" w:color="auto"/>
            </w:tcBorders>
            <w:shd w:val="clear" w:color="auto" w:fill="DEEAF6"/>
            <w:vAlign w:val="center"/>
          </w:tcPr>
          <w:p w14:paraId="0F82DC0D"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Dukes A </w:t>
            </w:r>
          </w:p>
        </w:tc>
      </w:tr>
      <w:tr w:rsidR="00E569BD" w:rsidRPr="00E569BD" w14:paraId="124619A4" w14:textId="77777777" w:rsidTr="00E569BD">
        <w:trPr>
          <w:trHeight w:val="425"/>
        </w:trPr>
        <w:tc>
          <w:tcPr>
            <w:tcW w:w="1865" w:type="dxa"/>
            <w:tcBorders>
              <w:top w:val="single" w:sz="4" w:space="0" w:color="auto"/>
              <w:left w:val="single" w:sz="12" w:space="0" w:color="auto"/>
              <w:bottom w:val="single" w:sz="12" w:space="0" w:color="auto"/>
              <w:right w:val="single" w:sz="12" w:space="0" w:color="auto"/>
            </w:tcBorders>
            <w:shd w:val="clear" w:color="auto" w:fill="5B9BD5"/>
          </w:tcPr>
          <w:p w14:paraId="0C210A17"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 b </w:t>
            </w:r>
          </w:p>
        </w:tc>
        <w:tc>
          <w:tcPr>
            <w:tcW w:w="1862" w:type="dxa"/>
            <w:tcBorders>
              <w:top w:val="single" w:sz="4" w:space="0" w:color="auto"/>
              <w:left w:val="single" w:sz="12" w:space="0" w:color="auto"/>
              <w:bottom w:val="single" w:sz="12" w:space="0" w:color="auto"/>
              <w:right w:val="single" w:sz="12" w:space="0" w:color="auto"/>
            </w:tcBorders>
            <w:shd w:val="clear" w:color="auto" w:fill="DEEAF6"/>
          </w:tcPr>
          <w:p w14:paraId="6A8CB938"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T2 </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33AA8145"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2F2E0B6F"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tcBorders>
              <w:top w:val="single" w:sz="12" w:space="0" w:color="auto"/>
              <w:left w:val="single" w:sz="12" w:space="0" w:color="auto"/>
              <w:bottom w:val="single" w:sz="12" w:space="0" w:color="auto"/>
              <w:right w:val="single" w:sz="12" w:space="0" w:color="auto"/>
            </w:tcBorders>
            <w:shd w:val="clear" w:color="auto" w:fill="DEEAF6"/>
          </w:tcPr>
          <w:p w14:paraId="14797339"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3F6BA414" w14:textId="77777777" w:rsidTr="00E569BD">
        <w:trPr>
          <w:trHeight w:val="422"/>
        </w:trPr>
        <w:tc>
          <w:tcPr>
            <w:tcW w:w="1865" w:type="dxa"/>
            <w:tcBorders>
              <w:top w:val="single" w:sz="12" w:space="0" w:color="auto"/>
              <w:left w:val="single" w:sz="12" w:space="0" w:color="auto"/>
              <w:bottom w:val="single" w:sz="4" w:space="0" w:color="auto"/>
              <w:right w:val="single" w:sz="12" w:space="0" w:color="auto"/>
            </w:tcBorders>
            <w:shd w:val="clear" w:color="auto" w:fill="5B9BD5"/>
          </w:tcPr>
          <w:p w14:paraId="26526A71"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 a </w:t>
            </w:r>
          </w:p>
        </w:tc>
        <w:tc>
          <w:tcPr>
            <w:tcW w:w="1862" w:type="dxa"/>
            <w:tcBorders>
              <w:top w:val="single" w:sz="12" w:space="0" w:color="auto"/>
              <w:left w:val="single" w:sz="12" w:space="0" w:color="auto"/>
              <w:bottom w:val="single" w:sz="4" w:space="0" w:color="auto"/>
              <w:right w:val="single" w:sz="12" w:space="0" w:color="auto"/>
            </w:tcBorders>
            <w:shd w:val="clear" w:color="auto" w:fill="DEEAF6"/>
          </w:tcPr>
          <w:p w14:paraId="42CA3DED"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T3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63B694DF"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6E7A1ECD"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val="restart"/>
            <w:tcBorders>
              <w:top w:val="single" w:sz="12" w:space="0" w:color="auto"/>
              <w:left w:val="single" w:sz="12" w:space="0" w:color="auto"/>
              <w:bottom w:val="single" w:sz="12" w:space="0" w:color="auto"/>
              <w:right w:val="single" w:sz="12" w:space="0" w:color="auto"/>
            </w:tcBorders>
            <w:shd w:val="clear" w:color="auto" w:fill="DEEAF6"/>
            <w:vAlign w:val="center"/>
          </w:tcPr>
          <w:p w14:paraId="5DFC9EF9"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Dukes B </w:t>
            </w:r>
          </w:p>
        </w:tc>
      </w:tr>
      <w:tr w:rsidR="00E569BD" w:rsidRPr="00E569BD" w14:paraId="377413E9" w14:textId="77777777" w:rsidTr="00E569BD">
        <w:trPr>
          <w:trHeight w:val="425"/>
        </w:trPr>
        <w:tc>
          <w:tcPr>
            <w:tcW w:w="1865" w:type="dxa"/>
            <w:tcBorders>
              <w:top w:val="single" w:sz="4" w:space="0" w:color="auto"/>
              <w:left w:val="single" w:sz="12" w:space="0" w:color="auto"/>
              <w:bottom w:val="single" w:sz="4" w:space="0" w:color="auto"/>
              <w:right w:val="single" w:sz="12" w:space="0" w:color="auto"/>
            </w:tcBorders>
            <w:shd w:val="clear" w:color="auto" w:fill="5B9BD5"/>
          </w:tcPr>
          <w:p w14:paraId="1F826324"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 b </w:t>
            </w:r>
          </w:p>
        </w:tc>
        <w:tc>
          <w:tcPr>
            <w:tcW w:w="1862" w:type="dxa"/>
            <w:tcBorders>
              <w:top w:val="single" w:sz="4" w:space="0" w:color="auto"/>
              <w:left w:val="single" w:sz="12" w:space="0" w:color="auto"/>
              <w:bottom w:val="single" w:sz="4" w:space="0" w:color="auto"/>
              <w:right w:val="single" w:sz="12" w:space="0" w:color="auto"/>
            </w:tcBorders>
            <w:shd w:val="clear" w:color="auto" w:fill="DEEAF6"/>
          </w:tcPr>
          <w:p w14:paraId="682227AE"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T4a  </w:t>
            </w:r>
          </w:p>
        </w:tc>
        <w:tc>
          <w:tcPr>
            <w:tcW w:w="1865" w:type="dxa"/>
            <w:tcBorders>
              <w:top w:val="single" w:sz="4" w:space="0" w:color="auto"/>
              <w:left w:val="single" w:sz="12" w:space="0" w:color="auto"/>
              <w:bottom w:val="single" w:sz="4" w:space="0" w:color="auto"/>
              <w:right w:val="single" w:sz="12" w:space="0" w:color="auto"/>
            </w:tcBorders>
            <w:shd w:val="clear" w:color="auto" w:fill="DEEAF6"/>
          </w:tcPr>
          <w:p w14:paraId="0159229E"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4" w:space="0" w:color="auto"/>
              <w:left w:val="single" w:sz="12" w:space="0" w:color="auto"/>
              <w:bottom w:val="single" w:sz="4" w:space="0" w:color="auto"/>
              <w:right w:val="single" w:sz="12" w:space="0" w:color="auto"/>
            </w:tcBorders>
            <w:shd w:val="clear" w:color="auto" w:fill="DEEAF6"/>
          </w:tcPr>
          <w:p w14:paraId="5391CA29"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tcBorders>
              <w:top w:val="single" w:sz="12" w:space="0" w:color="auto"/>
              <w:left w:val="single" w:sz="12" w:space="0" w:color="auto"/>
              <w:bottom w:val="single" w:sz="12" w:space="0" w:color="auto"/>
              <w:right w:val="single" w:sz="12" w:space="0" w:color="auto"/>
            </w:tcBorders>
            <w:shd w:val="clear" w:color="auto" w:fill="DEEAF6"/>
          </w:tcPr>
          <w:p w14:paraId="1B055AAB"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71F2AB94" w14:textId="77777777" w:rsidTr="00E569BD">
        <w:trPr>
          <w:trHeight w:val="425"/>
        </w:trPr>
        <w:tc>
          <w:tcPr>
            <w:tcW w:w="1865" w:type="dxa"/>
            <w:tcBorders>
              <w:top w:val="single" w:sz="4" w:space="0" w:color="auto"/>
              <w:left w:val="single" w:sz="12" w:space="0" w:color="auto"/>
              <w:bottom w:val="single" w:sz="12" w:space="0" w:color="auto"/>
              <w:right w:val="single" w:sz="12" w:space="0" w:color="auto"/>
            </w:tcBorders>
            <w:shd w:val="clear" w:color="auto" w:fill="5B9BD5"/>
          </w:tcPr>
          <w:p w14:paraId="7B2C978D"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 c </w:t>
            </w:r>
          </w:p>
        </w:tc>
        <w:tc>
          <w:tcPr>
            <w:tcW w:w="1862" w:type="dxa"/>
            <w:tcBorders>
              <w:top w:val="single" w:sz="4" w:space="0" w:color="auto"/>
              <w:left w:val="single" w:sz="12" w:space="0" w:color="auto"/>
              <w:bottom w:val="single" w:sz="12" w:space="0" w:color="auto"/>
              <w:right w:val="single" w:sz="12" w:space="0" w:color="auto"/>
            </w:tcBorders>
            <w:shd w:val="clear" w:color="auto" w:fill="DEEAF6"/>
          </w:tcPr>
          <w:p w14:paraId="78BEE81E"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T4b  </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4EDBB651"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N0  </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5DEE1F29"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tcBorders>
              <w:top w:val="single" w:sz="12" w:space="0" w:color="auto"/>
              <w:left w:val="single" w:sz="12" w:space="0" w:color="auto"/>
              <w:bottom w:val="single" w:sz="12" w:space="0" w:color="auto"/>
              <w:right w:val="single" w:sz="12" w:space="0" w:color="auto"/>
            </w:tcBorders>
            <w:shd w:val="clear" w:color="auto" w:fill="DEEAF6"/>
          </w:tcPr>
          <w:p w14:paraId="132E4AA7"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29FC1A0C" w14:textId="77777777" w:rsidTr="00E569BD">
        <w:trPr>
          <w:trHeight w:val="838"/>
        </w:trPr>
        <w:tc>
          <w:tcPr>
            <w:tcW w:w="1865" w:type="dxa"/>
            <w:tcBorders>
              <w:top w:val="single" w:sz="12" w:space="0" w:color="auto"/>
              <w:left w:val="single" w:sz="12" w:space="0" w:color="auto"/>
              <w:bottom w:val="single" w:sz="4" w:space="0" w:color="auto"/>
              <w:right w:val="single" w:sz="12" w:space="0" w:color="auto"/>
            </w:tcBorders>
            <w:shd w:val="clear" w:color="auto" w:fill="5B9BD5"/>
            <w:vAlign w:val="center"/>
          </w:tcPr>
          <w:p w14:paraId="05AD2E7A"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III a </w:t>
            </w:r>
          </w:p>
        </w:tc>
        <w:tc>
          <w:tcPr>
            <w:tcW w:w="1862" w:type="dxa"/>
            <w:tcBorders>
              <w:top w:val="single" w:sz="12" w:space="0" w:color="auto"/>
              <w:left w:val="single" w:sz="12" w:space="0" w:color="auto"/>
              <w:bottom w:val="single" w:sz="4" w:space="0" w:color="auto"/>
              <w:right w:val="single" w:sz="12" w:space="0" w:color="auto"/>
            </w:tcBorders>
            <w:shd w:val="clear" w:color="auto" w:fill="DEEAF6"/>
          </w:tcPr>
          <w:p w14:paraId="5FDCAC66"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T1 - T2  </w:t>
            </w:r>
          </w:p>
          <w:p w14:paraId="2FCEBA18" w14:textId="77777777" w:rsidR="00E569BD" w:rsidRPr="00E569BD" w:rsidRDefault="00E569BD" w:rsidP="00E569BD">
            <w:pPr>
              <w:spacing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T1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28C5F9EB" w14:textId="77777777" w:rsidR="00E569BD" w:rsidRPr="00E569BD" w:rsidRDefault="00E569BD" w:rsidP="00E569BD">
            <w:pPr>
              <w:spacing w:after="173" w:line="240" w:lineRule="auto"/>
              <w:ind w:right="774"/>
              <w:jc w:val="left"/>
              <w:rPr>
                <w:rFonts w:ascii="Times New Roman" w:hAnsi="Times New Roman"/>
                <w:color w:val="000000"/>
                <w:sz w:val="24"/>
                <w:lang w:eastAsia="de-AT"/>
              </w:rPr>
            </w:pPr>
            <w:r w:rsidRPr="00E569BD">
              <w:rPr>
                <w:rFonts w:ascii="Times New Roman" w:hAnsi="Times New Roman"/>
                <w:color w:val="000000"/>
                <w:sz w:val="24"/>
                <w:lang w:eastAsia="de-AT"/>
              </w:rPr>
              <w:t>N1</w:t>
            </w:r>
          </w:p>
          <w:p w14:paraId="4E1185FC" w14:textId="77777777" w:rsidR="00E569BD" w:rsidRPr="00E569BD" w:rsidRDefault="00E569BD" w:rsidP="00E569BD">
            <w:pPr>
              <w:spacing w:after="173" w:line="240" w:lineRule="auto"/>
              <w:ind w:right="774"/>
              <w:jc w:val="left"/>
              <w:rPr>
                <w:rFonts w:ascii="Times New Roman" w:hAnsi="Times New Roman"/>
                <w:color w:val="000000"/>
                <w:sz w:val="24"/>
                <w:lang w:eastAsia="de-AT"/>
              </w:rPr>
            </w:pPr>
            <w:r w:rsidRPr="00E569BD">
              <w:rPr>
                <w:rFonts w:ascii="Times New Roman" w:hAnsi="Times New Roman"/>
                <w:color w:val="000000"/>
                <w:sz w:val="24"/>
                <w:lang w:eastAsia="de-AT"/>
              </w:rPr>
              <w:t>N2a</w:t>
            </w:r>
          </w:p>
        </w:tc>
        <w:tc>
          <w:tcPr>
            <w:tcW w:w="1865" w:type="dxa"/>
            <w:tcBorders>
              <w:top w:val="single" w:sz="12" w:space="0" w:color="auto"/>
              <w:left w:val="single" w:sz="12" w:space="0" w:color="auto"/>
              <w:bottom w:val="single" w:sz="4" w:space="0" w:color="auto"/>
              <w:right w:val="single" w:sz="12" w:space="0" w:color="auto"/>
            </w:tcBorders>
            <w:shd w:val="clear" w:color="auto" w:fill="DEEAF6"/>
            <w:vAlign w:val="center"/>
          </w:tcPr>
          <w:p w14:paraId="114DF7AE"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val="restart"/>
            <w:tcBorders>
              <w:top w:val="single" w:sz="12" w:space="0" w:color="auto"/>
              <w:left w:val="single" w:sz="12" w:space="0" w:color="auto"/>
              <w:bottom w:val="single" w:sz="12" w:space="0" w:color="auto"/>
              <w:right w:val="single" w:sz="12" w:space="0" w:color="auto"/>
            </w:tcBorders>
            <w:shd w:val="clear" w:color="auto" w:fill="DEEAF6"/>
            <w:vAlign w:val="center"/>
          </w:tcPr>
          <w:p w14:paraId="77238D99"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Dukes C </w:t>
            </w:r>
          </w:p>
        </w:tc>
      </w:tr>
      <w:tr w:rsidR="00E569BD" w:rsidRPr="00E569BD" w14:paraId="3FFAAFB6" w14:textId="77777777" w:rsidTr="00E569BD">
        <w:trPr>
          <w:trHeight w:val="1250"/>
        </w:trPr>
        <w:tc>
          <w:tcPr>
            <w:tcW w:w="1865" w:type="dxa"/>
            <w:tcBorders>
              <w:top w:val="single" w:sz="4" w:space="0" w:color="auto"/>
              <w:left w:val="single" w:sz="12" w:space="0" w:color="auto"/>
              <w:bottom w:val="single" w:sz="4" w:space="0" w:color="auto"/>
              <w:right w:val="single" w:sz="12" w:space="0" w:color="auto"/>
            </w:tcBorders>
            <w:shd w:val="clear" w:color="auto" w:fill="5B9BD5"/>
            <w:vAlign w:val="center"/>
          </w:tcPr>
          <w:p w14:paraId="478014C0"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III b </w:t>
            </w:r>
          </w:p>
        </w:tc>
        <w:tc>
          <w:tcPr>
            <w:tcW w:w="1862" w:type="dxa"/>
            <w:tcBorders>
              <w:top w:val="single" w:sz="4" w:space="0" w:color="auto"/>
              <w:left w:val="single" w:sz="12" w:space="0" w:color="auto"/>
              <w:bottom w:val="single" w:sz="4" w:space="0" w:color="auto"/>
              <w:right w:val="single" w:sz="12" w:space="0" w:color="auto"/>
            </w:tcBorders>
            <w:shd w:val="clear" w:color="auto" w:fill="DEEAF6"/>
          </w:tcPr>
          <w:p w14:paraId="17A8F427"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T3 - T4a </w:t>
            </w:r>
          </w:p>
          <w:p w14:paraId="47AB2CF2" w14:textId="77777777" w:rsidR="00E569BD" w:rsidRPr="00E569BD" w:rsidRDefault="00E569BD" w:rsidP="00E569BD">
            <w:pPr>
              <w:spacing w:after="173" w:line="240" w:lineRule="auto"/>
              <w:ind w:right="583"/>
              <w:jc w:val="left"/>
              <w:rPr>
                <w:rFonts w:ascii="Times New Roman" w:hAnsi="Times New Roman"/>
                <w:color w:val="000000"/>
                <w:sz w:val="24"/>
                <w:lang w:eastAsia="de-AT"/>
              </w:rPr>
            </w:pPr>
            <w:r w:rsidRPr="00E569BD">
              <w:rPr>
                <w:rFonts w:ascii="Times New Roman" w:hAnsi="Times New Roman"/>
                <w:color w:val="000000"/>
                <w:sz w:val="24"/>
                <w:lang w:eastAsia="de-AT"/>
              </w:rPr>
              <w:t>T2 - T3</w:t>
            </w:r>
          </w:p>
          <w:p w14:paraId="0CE82346" w14:textId="77777777" w:rsidR="00E569BD" w:rsidRPr="00E569BD" w:rsidRDefault="00E569BD" w:rsidP="00E569BD">
            <w:pPr>
              <w:spacing w:after="173" w:line="240" w:lineRule="auto"/>
              <w:ind w:right="583"/>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T1 - T2 </w:t>
            </w:r>
          </w:p>
        </w:tc>
        <w:tc>
          <w:tcPr>
            <w:tcW w:w="1865" w:type="dxa"/>
            <w:tcBorders>
              <w:top w:val="single" w:sz="4" w:space="0" w:color="auto"/>
              <w:left w:val="single" w:sz="12" w:space="0" w:color="auto"/>
              <w:bottom w:val="single" w:sz="4" w:space="0" w:color="auto"/>
              <w:right w:val="single" w:sz="12" w:space="0" w:color="auto"/>
            </w:tcBorders>
            <w:shd w:val="clear" w:color="auto" w:fill="DEEAF6"/>
          </w:tcPr>
          <w:p w14:paraId="409DE25C"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N1 </w:t>
            </w:r>
          </w:p>
          <w:p w14:paraId="0401CA87" w14:textId="77777777" w:rsidR="00E569BD" w:rsidRPr="00E569BD" w:rsidRDefault="00E569BD" w:rsidP="00E569BD">
            <w:pPr>
              <w:spacing w:after="187"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N2a </w:t>
            </w:r>
          </w:p>
          <w:p w14:paraId="53C34E1F"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N2b </w:t>
            </w:r>
          </w:p>
        </w:tc>
        <w:tc>
          <w:tcPr>
            <w:tcW w:w="1865" w:type="dxa"/>
            <w:tcBorders>
              <w:top w:val="single" w:sz="4" w:space="0" w:color="auto"/>
              <w:left w:val="single" w:sz="12" w:space="0" w:color="auto"/>
              <w:bottom w:val="single" w:sz="4" w:space="0" w:color="auto"/>
              <w:right w:val="single" w:sz="12" w:space="0" w:color="auto"/>
            </w:tcBorders>
            <w:shd w:val="clear" w:color="auto" w:fill="DEEAF6"/>
            <w:vAlign w:val="center"/>
          </w:tcPr>
          <w:p w14:paraId="0698D421"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tcBorders>
              <w:top w:val="single" w:sz="12" w:space="0" w:color="auto"/>
              <w:left w:val="single" w:sz="12" w:space="0" w:color="auto"/>
              <w:bottom w:val="single" w:sz="12" w:space="0" w:color="auto"/>
              <w:right w:val="single" w:sz="12" w:space="0" w:color="auto"/>
            </w:tcBorders>
            <w:shd w:val="clear" w:color="auto" w:fill="DEEAF6"/>
          </w:tcPr>
          <w:p w14:paraId="300EB9CD"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779A161E" w14:textId="77777777" w:rsidTr="00E569BD">
        <w:trPr>
          <w:trHeight w:val="1253"/>
        </w:trPr>
        <w:tc>
          <w:tcPr>
            <w:tcW w:w="1865" w:type="dxa"/>
            <w:tcBorders>
              <w:top w:val="single" w:sz="4" w:space="0" w:color="auto"/>
              <w:left w:val="single" w:sz="12" w:space="0" w:color="auto"/>
              <w:bottom w:val="single" w:sz="12" w:space="0" w:color="auto"/>
              <w:right w:val="single" w:sz="12" w:space="0" w:color="auto"/>
            </w:tcBorders>
            <w:shd w:val="clear" w:color="auto" w:fill="5B9BD5"/>
            <w:vAlign w:val="center"/>
          </w:tcPr>
          <w:p w14:paraId="0F33A27A"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III c </w:t>
            </w:r>
          </w:p>
        </w:tc>
        <w:tc>
          <w:tcPr>
            <w:tcW w:w="1862" w:type="dxa"/>
            <w:tcBorders>
              <w:top w:val="single" w:sz="4" w:space="0" w:color="auto"/>
              <w:left w:val="single" w:sz="12" w:space="0" w:color="auto"/>
              <w:bottom w:val="single" w:sz="12" w:space="0" w:color="auto"/>
              <w:right w:val="single" w:sz="12" w:space="0" w:color="auto"/>
            </w:tcBorders>
            <w:shd w:val="clear" w:color="auto" w:fill="DEEAF6"/>
          </w:tcPr>
          <w:p w14:paraId="4AECCF21" w14:textId="77777777" w:rsidR="00E569BD" w:rsidRPr="00E569BD" w:rsidRDefault="00E569BD" w:rsidP="00E569BD">
            <w:pPr>
              <w:spacing w:after="187"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T4a </w:t>
            </w:r>
          </w:p>
          <w:p w14:paraId="79D2F04A"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T3 - T4a </w:t>
            </w:r>
          </w:p>
          <w:p w14:paraId="2C5935C7"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T4b </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7570E689" w14:textId="77777777" w:rsidR="00E569BD" w:rsidRPr="00E569BD" w:rsidRDefault="00E569BD" w:rsidP="00E569BD">
            <w:pPr>
              <w:spacing w:after="187"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N2a </w:t>
            </w:r>
          </w:p>
          <w:p w14:paraId="07490E68" w14:textId="77777777" w:rsidR="00E569BD" w:rsidRPr="00E569BD" w:rsidRDefault="00E569BD" w:rsidP="00E569BD">
            <w:pPr>
              <w:spacing w:after="185" w:line="240"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N2b </w:t>
            </w:r>
          </w:p>
          <w:p w14:paraId="18BA7058"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N1 - N2 </w:t>
            </w:r>
          </w:p>
        </w:tc>
        <w:tc>
          <w:tcPr>
            <w:tcW w:w="1865" w:type="dxa"/>
            <w:tcBorders>
              <w:top w:val="single" w:sz="4" w:space="0" w:color="auto"/>
              <w:left w:val="single" w:sz="12" w:space="0" w:color="auto"/>
              <w:bottom w:val="single" w:sz="12" w:space="0" w:color="auto"/>
              <w:right w:val="single" w:sz="12" w:space="0" w:color="auto"/>
            </w:tcBorders>
            <w:shd w:val="clear" w:color="auto" w:fill="DEEAF6"/>
            <w:vAlign w:val="center"/>
          </w:tcPr>
          <w:p w14:paraId="43749B2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M0 </w:t>
            </w:r>
          </w:p>
        </w:tc>
        <w:tc>
          <w:tcPr>
            <w:tcW w:w="1865" w:type="dxa"/>
            <w:vMerge/>
            <w:tcBorders>
              <w:top w:val="single" w:sz="12" w:space="0" w:color="auto"/>
              <w:left w:val="single" w:sz="12" w:space="0" w:color="auto"/>
              <w:bottom w:val="single" w:sz="12" w:space="0" w:color="auto"/>
              <w:right w:val="single" w:sz="12" w:space="0" w:color="auto"/>
            </w:tcBorders>
            <w:shd w:val="clear" w:color="auto" w:fill="DEEAF6"/>
          </w:tcPr>
          <w:p w14:paraId="6B7160C3"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1EB34BDF" w14:textId="77777777" w:rsidTr="00E569BD">
        <w:trPr>
          <w:trHeight w:val="425"/>
        </w:trPr>
        <w:tc>
          <w:tcPr>
            <w:tcW w:w="1865" w:type="dxa"/>
            <w:tcBorders>
              <w:top w:val="single" w:sz="12" w:space="0" w:color="auto"/>
              <w:left w:val="single" w:sz="12" w:space="0" w:color="auto"/>
              <w:bottom w:val="single" w:sz="4" w:space="0" w:color="auto"/>
              <w:right w:val="single" w:sz="12" w:space="0" w:color="auto"/>
            </w:tcBorders>
            <w:shd w:val="clear" w:color="auto" w:fill="5B9BD5"/>
          </w:tcPr>
          <w:p w14:paraId="6D4F71B6"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IV a </w:t>
            </w:r>
          </w:p>
        </w:tc>
        <w:tc>
          <w:tcPr>
            <w:tcW w:w="1862" w:type="dxa"/>
            <w:tcBorders>
              <w:top w:val="single" w:sz="12" w:space="0" w:color="auto"/>
              <w:left w:val="single" w:sz="12" w:space="0" w:color="auto"/>
              <w:bottom w:val="single" w:sz="4" w:space="0" w:color="auto"/>
              <w:right w:val="single" w:sz="12" w:space="0" w:color="auto"/>
            </w:tcBorders>
            <w:shd w:val="clear" w:color="auto" w:fill="DEEAF6"/>
          </w:tcPr>
          <w:p w14:paraId="1BCA33D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jedes T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3733F8DB"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jedes N  </w:t>
            </w:r>
          </w:p>
        </w:tc>
        <w:tc>
          <w:tcPr>
            <w:tcW w:w="1865" w:type="dxa"/>
            <w:tcBorders>
              <w:top w:val="single" w:sz="12" w:space="0" w:color="auto"/>
              <w:left w:val="single" w:sz="12" w:space="0" w:color="auto"/>
              <w:bottom w:val="single" w:sz="4" w:space="0" w:color="auto"/>
              <w:right w:val="single" w:sz="12" w:space="0" w:color="auto"/>
            </w:tcBorders>
            <w:shd w:val="clear" w:color="auto" w:fill="DEEAF6"/>
          </w:tcPr>
          <w:p w14:paraId="5FDEA80C"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M1a </w:t>
            </w:r>
          </w:p>
        </w:tc>
        <w:tc>
          <w:tcPr>
            <w:tcW w:w="1865" w:type="dxa"/>
            <w:vMerge w:val="restart"/>
            <w:tcBorders>
              <w:top w:val="single" w:sz="12" w:space="0" w:color="auto"/>
              <w:left w:val="single" w:sz="12" w:space="0" w:color="auto"/>
              <w:right w:val="single" w:sz="12" w:space="0" w:color="auto"/>
            </w:tcBorders>
            <w:shd w:val="clear" w:color="auto" w:fill="DEEAF6"/>
            <w:vAlign w:val="center"/>
          </w:tcPr>
          <w:p w14:paraId="7BE1C0ED"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Dukes D </w:t>
            </w:r>
          </w:p>
        </w:tc>
      </w:tr>
      <w:tr w:rsidR="00E569BD" w:rsidRPr="00E569BD" w14:paraId="3A04135E" w14:textId="77777777" w:rsidTr="00E569BD">
        <w:trPr>
          <w:trHeight w:val="425"/>
        </w:trPr>
        <w:tc>
          <w:tcPr>
            <w:tcW w:w="1865" w:type="dxa"/>
            <w:tcBorders>
              <w:top w:val="single" w:sz="4" w:space="0" w:color="auto"/>
              <w:left w:val="single" w:sz="12" w:space="0" w:color="auto"/>
              <w:bottom w:val="single" w:sz="4" w:space="0" w:color="auto"/>
              <w:right w:val="single" w:sz="12" w:space="0" w:color="auto"/>
            </w:tcBorders>
            <w:shd w:val="clear" w:color="auto" w:fill="5B9BD5"/>
          </w:tcPr>
          <w:p w14:paraId="5F726295" w14:textId="77777777" w:rsidR="00E569BD" w:rsidRPr="00E569BD" w:rsidRDefault="00E569BD" w:rsidP="00E569BD">
            <w:pPr>
              <w:spacing w:line="276" w:lineRule="auto"/>
              <w:jc w:val="left"/>
              <w:rPr>
                <w:rFonts w:ascii="Times New Roman" w:hAnsi="Times New Roman"/>
                <w:b/>
                <w:color w:val="000000"/>
                <w:sz w:val="24"/>
                <w:lang w:eastAsia="de-AT"/>
              </w:rPr>
            </w:pPr>
            <w:r w:rsidRPr="00E569BD">
              <w:rPr>
                <w:rFonts w:ascii="Times New Roman" w:hAnsi="Times New Roman"/>
                <w:b/>
                <w:color w:val="000000"/>
                <w:sz w:val="24"/>
                <w:lang w:eastAsia="de-AT"/>
              </w:rPr>
              <w:t xml:space="preserve">Stadium IV b </w:t>
            </w:r>
          </w:p>
        </w:tc>
        <w:tc>
          <w:tcPr>
            <w:tcW w:w="1862" w:type="dxa"/>
            <w:tcBorders>
              <w:top w:val="single" w:sz="4" w:space="0" w:color="auto"/>
              <w:left w:val="single" w:sz="12" w:space="0" w:color="auto"/>
              <w:bottom w:val="single" w:sz="4" w:space="0" w:color="auto"/>
              <w:right w:val="single" w:sz="12" w:space="0" w:color="auto"/>
            </w:tcBorders>
            <w:shd w:val="clear" w:color="auto" w:fill="DEEAF6"/>
          </w:tcPr>
          <w:p w14:paraId="423CCD4A"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jedes T  </w:t>
            </w:r>
          </w:p>
        </w:tc>
        <w:tc>
          <w:tcPr>
            <w:tcW w:w="1865" w:type="dxa"/>
            <w:tcBorders>
              <w:top w:val="single" w:sz="4" w:space="0" w:color="auto"/>
              <w:left w:val="single" w:sz="12" w:space="0" w:color="auto"/>
              <w:bottom w:val="single" w:sz="4" w:space="0" w:color="auto"/>
              <w:right w:val="single" w:sz="12" w:space="0" w:color="auto"/>
            </w:tcBorders>
            <w:shd w:val="clear" w:color="auto" w:fill="DEEAF6"/>
          </w:tcPr>
          <w:p w14:paraId="319C5D96"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jedes N  </w:t>
            </w:r>
          </w:p>
        </w:tc>
        <w:tc>
          <w:tcPr>
            <w:tcW w:w="1865" w:type="dxa"/>
            <w:tcBorders>
              <w:top w:val="single" w:sz="4" w:space="0" w:color="auto"/>
              <w:left w:val="single" w:sz="12" w:space="0" w:color="auto"/>
              <w:bottom w:val="single" w:sz="4" w:space="0" w:color="auto"/>
              <w:right w:val="single" w:sz="12" w:space="0" w:color="auto"/>
            </w:tcBorders>
            <w:shd w:val="clear" w:color="auto" w:fill="DEEAF6"/>
          </w:tcPr>
          <w:p w14:paraId="56BF04D4" w14:textId="77777777" w:rsidR="00E569BD" w:rsidRPr="00E569BD" w:rsidRDefault="00E569BD" w:rsidP="00E569BD">
            <w:pPr>
              <w:spacing w:line="276" w:lineRule="auto"/>
              <w:jc w:val="left"/>
              <w:rPr>
                <w:rFonts w:ascii="Times New Roman" w:hAnsi="Times New Roman"/>
                <w:color w:val="000000"/>
                <w:sz w:val="24"/>
                <w:lang w:eastAsia="de-AT"/>
              </w:rPr>
            </w:pPr>
            <w:r w:rsidRPr="00E569BD">
              <w:rPr>
                <w:rFonts w:ascii="Times New Roman" w:hAnsi="Times New Roman"/>
                <w:color w:val="000000"/>
                <w:sz w:val="24"/>
                <w:lang w:eastAsia="de-AT"/>
              </w:rPr>
              <w:t xml:space="preserve">M1b </w:t>
            </w:r>
          </w:p>
        </w:tc>
        <w:tc>
          <w:tcPr>
            <w:tcW w:w="1865" w:type="dxa"/>
            <w:vMerge/>
            <w:tcBorders>
              <w:left w:val="single" w:sz="12" w:space="0" w:color="auto"/>
              <w:right w:val="single" w:sz="12" w:space="0" w:color="auto"/>
            </w:tcBorders>
          </w:tcPr>
          <w:p w14:paraId="792921D6" w14:textId="77777777" w:rsidR="00E569BD" w:rsidRPr="00E569BD" w:rsidRDefault="00E569BD" w:rsidP="00E569BD">
            <w:pPr>
              <w:spacing w:line="276" w:lineRule="auto"/>
              <w:jc w:val="left"/>
              <w:rPr>
                <w:rFonts w:ascii="Times New Roman" w:hAnsi="Times New Roman"/>
                <w:color w:val="000000"/>
                <w:sz w:val="24"/>
                <w:lang w:eastAsia="de-AT"/>
              </w:rPr>
            </w:pPr>
          </w:p>
        </w:tc>
      </w:tr>
      <w:tr w:rsidR="00E569BD" w:rsidRPr="00E569BD" w14:paraId="2CABECCE" w14:textId="77777777" w:rsidTr="00E569BD">
        <w:trPr>
          <w:trHeight w:val="425"/>
        </w:trPr>
        <w:tc>
          <w:tcPr>
            <w:tcW w:w="1865" w:type="dxa"/>
            <w:tcBorders>
              <w:top w:val="single" w:sz="4" w:space="0" w:color="auto"/>
              <w:left w:val="single" w:sz="12" w:space="0" w:color="auto"/>
              <w:bottom w:val="single" w:sz="12" w:space="0" w:color="auto"/>
              <w:right w:val="single" w:sz="12" w:space="0" w:color="auto"/>
            </w:tcBorders>
            <w:shd w:val="clear" w:color="auto" w:fill="5B9BD5"/>
          </w:tcPr>
          <w:p w14:paraId="4967C41B" w14:textId="77777777" w:rsidR="00E569BD" w:rsidRPr="00E569BD" w:rsidRDefault="00E569BD" w:rsidP="00E569BD">
            <w:pPr>
              <w:spacing w:line="276" w:lineRule="auto"/>
              <w:jc w:val="left"/>
              <w:rPr>
                <w:rFonts w:ascii="Times New Roman" w:hAnsi="Times New Roman"/>
                <w:b/>
                <w:sz w:val="24"/>
                <w:lang w:eastAsia="de-AT"/>
              </w:rPr>
            </w:pPr>
            <w:r w:rsidRPr="00E569BD">
              <w:rPr>
                <w:rFonts w:ascii="Times New Roman" w:hAnsi="Times New Roman"/>
                <w:b/>
                <w:sz w:val="24"/>
                <w:lang w:eastAsia="de-AT"/>
              </w:rPr>
              <w:t>Stadium IV c</w:t>
            </w:r>
          </w:p>
        </w:tc>
        <w:tc>
          <w:tcPr>
            <w:tcW w:w="1862" w:type="dxa"/>
            <w:tcBorders>
              <w:top w:val="single" w:sz="4" w:space="0" w:color="auto"/>
              <w:left w:val="single" w:sz="12" w:space="0" w:color="auto"/>
              <w:bottom w:val="single" w:sz="12" w:space="0" w:color="auto"/>
              <w:right w:val="single" w:sz="12" w:space="0" w:color="auto"/>
            </w:tcBorders>
            <w:shd w:val="clear" w:color="auto" w:fill="DEEAF6"/>
          </w:tcPr>
          <w:p w14:paraId="2CDB1A2C" w14:textId="77777777" w:rsidR="00E569BD" w:rsidRPr="00E569BD" w:rsidRDefault="00E569BD" w:rsidP="00E569BD">
            <w:pPr>
              <w:spacing w:line="276" w:lineRule="auto"/>
              <w:jc w:val="left"/>
              <w:rPr>
                <w:rFonts w:ascii="Times New Roman" w:hAnsi="Times New Roman"/>
                <w:sz w:val="24"/>
                <w:lang w:eastAsia="de-AT"/>
              </w:rPr>
            </w:pPr>
            <w:r w:rsidRPr="00E569BD">
              <w:rPr>
                <w:rFonts w:ascii="Times New Roman" w:hAnsi="Times New Roman"/>
                <w:sz w:val="24"/>
                <w:lang w:eastAsia="de-AT"/>
              </w:rPr>
              <w:t>jedes T</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6C87E612" w14:textId="77777777" w:rsidR="00E569BD" w:rsidRPr="00E569BD" w:rsidRDefault="00E569BD" w:rsidP="00E569BD">
            <w:pPr>
              <w:spacing w:line="276" w:lineRule="auto"/>
              <w:jc w:val="left"/>
              <w:rPr>
                <w:rFonts w:ascii="Times New Roman" w:hAnsi="Times New Roman"/>
                <w:sz w:val="24"/>
                <w:lang w:eastAsia="de-AT"/>
              </w:rPr>
            </w:pPr>
            <w:r w:rsidRPr="00E569BD">
              <w:rPr>
                <w:rFonts w:ascii="Times New Roman" w:hAnsi="Times New Roman"/>
                <w:sz w:val="24"/>
                <w:lang w:eastAsia="de-AT"/>
              </w:rPr>
              <w:t>jedes N</w:t>
            </w:r>
          </w:p>
        </w:tc>
        <w:tc>
          <w:tcPr>
            <w:tcW w:w="1865" w:type="dxa"/>
            <w:tcBorders>
              <w:top w:val="single" w:sz="4" w:space="0" w:color="auto"/>
              <w:left w:val="single" w:sz="12" w:space="0" w:color="auto"/>
              <w:bottom w:val="single" w:sz="12" w:space="0" w:color="auto"/>
              <w:right w:val="single" w:sz="12" w:space="0" w:color="auto"/>
            </w:tcBorders>
            <w:shd w:val="clear" w:color="auto" w:fill="DEEAF6"/>
          </w:tcPr>
          <w:p w14:paraId="34922372" w14:textId="77777777" w:rsidR="00E569BD" w:rsidRPr="00E569BD" w:rsidRDefault="00E569BD" w:rsidP="00E569BD">
            <w:pPr>
              <w:spacing w:line="276" w:lineRule="auto"/>
              <w:jc w:val="left"/>
              <w:rPr>
                <w:rFonts w:ascii="Times New Roman" w:hAnsi="Times New Roman"/>
                <w:sz w:val="24"/>
                <w:lang w:eastAsia="de-AT"/>
              </w:rPr>
            </w:pPr>
            <w:r w:rsidRPr="00E569BD">
              <w:rPr>
                <w:rFonts w:ascii="Times New Roman" w:hAnsi="Times New Roman"/>
                <w:sz w:val="24"/>
                <w:lang w:eastAsia="de-AT"/>
              </w:rPr>
              <w:t>M1c</w:t>
            </w:r>
          </w:p>
        </w:tc>
        <w:tc>
          <w:tcPr>
            <w:tcW w:w="1865" w:type="dxa"/>
            <w:vMerge/>
            <w:tcBorders>
              <w:left w:val="single" w:sz="12" w:space="0" w:color="auto"/>
              <w:bottom w:val="single" w:sz="12" w:space="0" w:color="auto"/>
              <w:right w:val="single" w:sz="12" w:space="0" w:color="auto"/>
            </w:tcBorders>
          </w:tcPr>
          <w:p w14:paraId="65669D42" w14:textId="77777777" w:rsidR="00E569BD" w:rsidRPr="00E569BD" w:rsidRDefault="00E569BD" w:rsidP="00E569BD">
            <w:pPr>
              <w:spacing w:line="276" w:lineRule="auto"/>
              <w:jc w:val="left"/>
              <w:rPr>
                <w:rFonts w:ascii="Times New Roman" w:hAnsi="Times New Roman"/>
                <w:color w:val="000000"/>
                <w:sz w:val="24"/>
                <w:lang w:eastAsia="de-AT"/>
              </w:rPr>
            </w:pPr>
          </w:p>
        </w:tc>
      </w:tr>
    </w:tbl>
    <w:p w14:paraId="5AA87007" w14:textId="77777777" w:rsidR="00E4520A" w:rsidRDefault="00E4520A" w:rsidP="00E4520A">
      <w:pPr>
        <w:spacing w:after="173" w:line="346" w:lineRule="auto"/>
        <w:ind w:left="-5" w:right="8" w:hanging="10"/>
        <w:jc w:val="both"/>
        <w:rPr>
          <w:rFonts w:ascii="Times New Roman" w:hAnsi="Times New Roman"/>
          <w:color w:val="000000"/>
          <w:sz w:val="24"/>
          <w:szCs w:val="22"/>
          <w:lang w:eastAsia="de-AT"/>
        </w:rPr>
      </w:pPr>
    </w:p>
    <w:p w14:paraId="0ADEAA8B" w14:textId="77777777" w:rsidR="001646E6" w:rsidRPr="00E4567C" w:rsidRDefault="001646E6" w:rsidP="001646E6">
      <w:pPr>
        <w:keepNext/>
        <w:spacing w:line="480" w:lineRule="auto"/>
        <w:jc w:val="left"/>
        <w:outlineLvl w:val="2"/>
        <w:rPr>
          <w:rFonts w:eastAsia="Calibri"/>
          <w:b/>
          <w:bCs/>
          <w:lang w:eastAsia="de-AT"/>
        </w:rPr>
      </w:pPr>
      <w:bookmarkStart w:id="27" w:name="_Toc60569155"/>
      <w:bookmarkStart w:id="28" w:name="_Toc93523283"/>
      <w:r w:rsidRPr="00E4567C">
        <w:rPr>
          <w:rFonts w:eastAsia="Calibri"/>
          <w:b/>
          <w:bCs/>
          <w:lang w:eastAsia="de-AT"/>
        </w:rPr>
        <w:t xml:space="preserve">T-Klassifizierung beim Rektumkarzinom mit Sphinkterbeteiligung </w:t>
      </w:r>
      <w:r w:rsidRPr="00E4567C">
        <w:rPr>
          <w:rFonts w:eastAsia="Calibri" w:cs="Arial"/>
          <w:b/>
          <w:szCs w:val="22"/>
          <w:vertAlign w:val="superscript"/>
          <w:lang w:eastAsia="en-US"/>
        </w:rPr>
        <w:t>1)</w:t>
      </w:r>
      <w:r w:rsidRPr="00E4567C">
        <w:rPr>
          <w:rFonts w:eastAsia="Calibri" w:cs="Arial"/>
          <w:b/>
          <w:szCs w:val="22"/>
          <w:lang w:eastAsia="en-US"/>
        </w:rPr>
        <w:t>:</w:t>
      </w:r>
      <w:bookmarkEnd w:id="27"/>
      <w:bookmarkEnd w:id="28"/>
    </w:p>
    <w:p w14:paraId="1B413C7D" w14:textId="77777777" w:rsidR="001646E6" w:rsidRPr="00564EAE" w:rsidRDefault="001646E6" w:rsidP="000B1AD6">
      <w:pPr>
        <w:numPr>
          <w:ilvl w:val="0"/>
          <w:numId w:val="3"/>
        </w:numPr>
        <w:spacing w:after="160" w:line="276" w:lineRule="auto"/>
        <w:ind w:left="426" w:hanging="426"/>
        <w:contextualSpacing/>
        <w:jc w:val="both"/>
        <w:rPr>
          <w:rFonts w:ascii="Calibri" w:hAnsi="Calibri" w:cs="Calibri"/>
          <w:lang w:val="en-GB"/>
        </w:rPr>
      </w:pPr>
      <w:r w:rsidRPr="00564EAE">
        <w:rPr>
          <w:rFonts w:ascii="Calibri" w:hAnsi="Calibri" w:cs="Calibri"/>
          <w:lang w:val="en-GB"/>
        </w:rPr>
        <w:t xml:space="preserve">The musculus sphincter ani internus in the lower rectum represents a continuation of the muscularis propria and invasion of this should be classified </w:t>
      </w:r>
      <w:r w:rsidRPr="00564EAE">
        <w:rPr>
          <w:rFonts w:ascii="Calibri" w:hAnsi="Calibri" w:cs="Calibri"/>
          <w:b/>
          <w:bCs/>
          <w:lang w:val="en-GB"/>
        </w:rPr>
        <w:t>(p)T2</w:t>
      </w:r>
      <w:r w:rsidRPr="00564EAE">
        <w:rPr>
          <w:rFonts w:ascii="Calibri" w:hAnsi="Calibri" w:cs="Calibri"/>
          <w:lang w:val="en-GB"/>
        </w:rPr>
        <w:t>.</w:t>
      </w:r>
    </w:p>
    <w:p w14:paraId="30BA3E69" w14:textId="77777777" w:rsidR="001646E6" w:rsidRPr="00564EAE" w:rsidRDefault="001646E6" w:rsidP="000B1AD6">
      <w:pPr>
        <w:numPr>
          <w:ilvl w:val="0"/>
          <w:numId w:val="3"/>
        </w:numPr>
        <w:spacing w:after="160" w:line="276" w:lineRule="auto"/>
        <w:ind w:left="426" w:hanging="426"/>
        <w:contextualSpacing/>
        <w:jc w:val="both"/>
        <w:rPr>
          <w:rFonts w:ascii="Calibri" w:hAnsi="Calibri" w:cs="Calibri"/>
          <w:lang w:val="en-GB"/>
        </w:rPr>
      </w:pPr>
      <w:r w:rsidRPr="00564EAE">
        <w:rPr>
          <w:rFonts w:ascii="Calibri" w:hAnsi="Calibri" w:cs="Calibri"/>
          <w:lang w:val="en-GB"/>
        </w:rPr>
        <w:t xml:space="preserve">Invasion beyond the internal sphincter into the intrasphincteric plane, but not involving the external sphincter is considered </w:t>
      </w:r>
      <w:r w:rsidRPr="00564EAE">
        <w:rPr>
          <w:rFonts w:ascii="Calibri" w:hAnsi="Calibri" w:cs="Calibri"/>
          <w:b/>
          <w:bCs/>
          <w:lang w:val="en-GB"/>
        </w:rPr>
        <w:t>(p)T3</w:t>
      </w:r>
      <w:r w:rsidRPr="00564EAE">
        <w:rPr>
          <w:rFonts w:ascii="Calibri" w:hAnsi="Calibri" w:cs="Calibri"/>
          <w:lang w:val="en-GB"/>
        </w:rPr>
        <w:t>.</w:t>
      </w:r>
    </w:p>
    <w:p w14:paraId="73F9020E" w14:textId="77777777" w:rsidR="001646E6" w:rsidRPr="00564EAE" w:rsidRDefault="001646E6" w:rsidP="000B1AD6">
      <w:pPr>
        <w:numPr>
          <w:ilvl w:val="0"/>
          <w:numId w:val="3"/>
        </w:numPr>
        <w:spacing w:after="160" w:line="276" w:lineRule="auto"/>
        <w:ind w:left="426" w:hanging="426"/>
        <w:contextualSpacing/>
        <w:jc w:val="both"/>
        <w:rPr>
          <w:rFonts w:ascii="Calibri" w:hAnsi="Calibri" w:cs="Calibri"/>
          <w:lang w:val="en-GB"/>
        </w:rPr>
      </w:pPr>
      <w:r w:rsidRPr="00564EAE">
        <w:rPr>
          <w:rFonts w:ascii="Calibri" w:hAnsi="Calibri" w:cs="Calibri"/>
          <w:lang w:val="en-GB"/>
        </w:rPr>
        <w:t xml:space="preserve">Invasion of the skeletal muscle of the musculus sphincter ani externus (and/or musculus levator ani) is classified </w:t>
      </w:r>
      <w:r w:rsidRPr="00564EAE">
        <w:rPr>
          <w:rFonts w:ascii="Calibri" w:hAnsi="Calibri" w:cs="Calibri"/>
          <w:b/>
          <w:bCs/>
          <w:lang w:val="en-GB"/>
        </w:rPr>
        <w:t>(p)T4b</w:t>
      </w:r>
      <w:r w:rsidRPr="00564EAE">
        <w:rPr>
          <w:rFonts w:ascii="Calibri" w:hAnsi="Calibri" w:cs="Calibri"/>
          <w:lang w:val="en-GB"/>
        </w:rPr>
        <w:t xml:space="preserve"> because it is considered 'involvement of an adjacent structure/organ'.</w:t>
      </w:r>
    </w:p>
    <w:p w14:paraId="32D0D0F7" w14:textId="77777777" w:rsidR="001646E6" w:rsidRPr="00564EAE" w:rsidRDefault="001646E6" w:rsidP="001646E6">
      <w:pPr>
        <w:spacing w:line="240" w:lineRule="auto"/>
        <w:jc w:val="left"/>
        <w:rPr>
          <w:lang w:val="en-GB" w:eastAsia="de-AT"/>
        </w:rPr>
      </w:pPr>
    </w:p>
    <w:p w14:paraId="0FED7391" w14:textId="77777777" w:rsidR="001646E6" w:rsidRPr="00564EAE" w:rsidRDefault="001646E6" w:rsidP="001646E6">
      <w:pPr>
        <w:spacing w:line="240" w:lineRule="auto"/>
        <w:jc w:val="left"/>
        <w:rPr>
          <w:lang w:val="en-GB" w:eastAsia="de-AT"/>
        </w:rPr>
      </w:pPr>
    </w:p>
    <w:p w14:paraId="2377415E" w14:textId="77777777" w:rsidR="001646E6" w:rsidRPr="00564EAE" w:rsidRDefault="001646E6" w:rsidP="001646E6">
      <w:pPr>
        <w:spacing w:line="240" w:lineRule="auto"/>
        <w:jc w:val="left"/>
        <w:rPr>
          <w:lang w:val="en-GB" w:eastAsia="de-AT"/>
        </w:rPr>
      </w:pPr>
    </w:p>
    <w:p w14:paraId="311375C3" w14:textId="77777777" w:rsidR="001646E6" w:rsidRPr="001646E6" w:rsidRDefault="001646E6" w:rsidP="001646E6">
      <w:pPr>
        <w:autoSpaceDE w:val="0"/>
        <w:autoSpaceDN w:val="0"/>
        <w:adjustRightInd w:val="0"/>
        <w:spacing w:after="160" w:line="288" w:lineRule="auto"/>
        <w:ind w:left="360"/>
        <w:contextualSpacing/>
        <w:jc w:val="left"/>
        <w:rPr>
          <w:rFonts w:ascii="Calibri" w:eastAsia="Calibri" w:hAnsi="Calibri" w:cs="Calibri"/>
          <w:color w:val="FF0000"/>
          <w:sz w:val="18"/>
          <w:szCs w:val="18"/>
          <w:lang w:eastAsia="en-US"/>
        </w:rPr>
      </w:pPr>
      <w:r w:rsidRPr="00E4567C">
        <w:rPr>
          <w:rFonts w:ascii="Calibri" w:eastAsia="Calibri" w:hAnsi="Calibri" w:cs="Calibri"/>
          <w:iCs/>
          <w:sz w:val="18"/>
          <w:szCs w:val="18"/>
          <w:lang w:eastAsia="en-US"/>
        </w:rPr>
        <w:t>1)</w:t>
      </w:r>
      <w:r w:rsidRPr="00E4567C">
        <w:rPr>
          <w:rFonts w:ascii="Calibri" w:eastAsia="Calibri" w:hAnsi="Calibri" w:cs="Calibri"/>
          <w:iCs/>
          <w:sz w:val="18"/>
          <w:szCs w:val="18"/>
          <w:lang w:eastAsia="en-US"/>
        </w:rPr>
        <w:tab/>
        <w:t>UICC TNM Helpdesk</w:t>
      </w:r>
      <w:r w:rsidRPr="00E4567C">
        <w:rPr>
          <w:rFonts w:ascii="Calibri" w:eastAsia="Calibri" w:hAnsi="Calibri" w:cs="Calibri"/>
          <w:iCs/>
          <w:sz w:val="18"/>
          <w:szCs w:val="18"/>
          <w:lang w:eastAsia="en-US"/>
        </w:rPr>
        <w:br/>
      </w:r>
    </w:p>
    <w:p w14:paraId="52997FAC" w14:textId="77777777" w:rsidR="006D4DAC" w:rsidRPr="00E344D4" w:rsidRDefault="00F443D5" w:rsidP="00F443D5">
      <w:pPr>
        <w:pStyle w:val="berschrift1"/>
      </w:pPr>
      <w:bookmarkStart w:id="29" w:name="_Toc93523284"/>
      <w:bookmarkStart w:id="30" w:name="_Toc367183617"/>
      <w:bookmarkStart w:id="31" w:name="_Toc367183855"/>
      <w:r>
        <w:lastRenderedPageBreak/>
        <w:t>3</w:t>
      </w:r>
      <w:r>
        <w:tab/>
      </w:r>
      <w:r w:rsidR="006D4DAC" w:rsidRPr="00E344D4">
        <w:t>Behandlungsplan</w:t>
      </w:r>
      <w:bookmarkEnd w:id="29"/>
      <w:r w:rsidR="006D4DAC" w:rsidRPr="00E344D4">
        <w:t xml:space="preserve"> </w:t>
      </w:r>
      <w:bookmarkEnd w:id="30"/>
      <w:bookmarkEnd w:id="31"/>
    </w:p>
    <w:p w14:paraId="65C3CE69" w14:textId="77777777" w:rsidR="003D245A" w:rsidRPr="004F0EE5" w:rsidRDefault="004F0EE5" w:rsidP="006C0CAD">
      <w:pPr>
        <w:pStyle w:val="berschrift2"/>
      </w:pPr>
      <w:bookmarkStart w:id="32" w:name="_Toc93523285"/>
      <w:r>
        <w:t>3.1</w:t>
      </w:r>
      <w:r>
        <w:tab/>
      </w:r>
      <w:r w:rsidRPr="004F0EE5">
        <w:t>Colonkarzinom, nicht metastasiert</w:t>
      </w:r>
      <w:bookmarkEnd w:id="32"/>
    </w:p>
    <w:p w14:paraId="23D285B0" w14:textId="77777777" w:rsidR="00870426" w:rsidRDefault="008015F8">
      <w:pPr>
        <w:spacing w:line="240" w:lineRule="auto"/>
        <w:jc w:val="left"/>
        <w:rPr>
          <w:rFonts w:cs="Arial"/>
          <w:b/>
          <w:bCs/>
          <w:i/>
          <w:iCs/>
          <w:sz w:val="24"/>
          <w:szCs w:val="24"/>
        </w:rPr>
      </w:pPr>
      <w:r>
        <w:rPr>
          <w:noProof/>
          <w:lang w:eastAsia="de-AT"/>
        </w:rPr>
        <w:drawing>
          <wp:inline distT="0" distB="0" distL="0" distR="0" wp14:anchorId="16637CC4" wp14:editId="01B616F7">
            <wp:extent cx="5957570" cy="7430135"/>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7570" cy="7430135"/>
                    </a:xfrm>
                    <a:prstGeom prst="rect">
                      <a:avLst/>
                    </a:prstGeom>
                    <a:noFill/>
                    <a:ln>
                      <a:noFill/>
                    </a:ln>
                  </pic:spPr>
                </pic:pic>
              </a:graphicData>
            </a:graphic>
          </wp:inline>
        </w:drawing>
      </w:r>
      <w:r w:rsidR="00870426">
        <w:br w:type="page"/>
      </w:r>
    </w:p>
    <w:p w14:paraId="5E5F67DC" w14:textId="77777777" w:rsidR="00AA632B" w:rsidRPr="006C0CAD" w:rsidRDefault="00AA632B" w:rsidP="00AA632B">
      <w:pPr>
        <w:pStyle w:val="berschrift2"/>
      </w:pPr>
      <w:bookmarkStart w:id="33" w:name="_Toc24906321"/>
      <w:bookmarkStart w:id="34" w:name="_Toc93523286"/>
      <w:bookmarkStart w:id="35" w:name="_Hlk24661721"/>
      <w:r>
        <w:lastRenderedPageBreak/>
        <w:t>3.2</w:t>
      </w:r>
      <w:r>
        <w:tab/>
      </w:r>
      <w:r w:rsidRPr="006C0CAD">
        <w:t>Metastasiertes Colonkarzinom</w:t>
      </w:r>
      <w:bookmarkEnd w:id="33"/>
      <w:bookmarkEnd w:id="34"/>
    </w:p>
    <w:p w14:paraId="0D20423C" w14:textId="77777777" w:rsidR="00AA632B" w:rsidRPr="000225FC" w:rsidRDefault="00AA632B" w:rsidP="00AA632B">
      <w:pPr>
        <w:pStyle w:val="berschrift3"/>
        <w:numPr>
          <w:ilvl w:val="2"/>
          <w:numId w:val="44"/>
        </w:numPr>
      </w:pPr>
      <w:bookmarkStart w:id="36" w:name="_Toc24906322"/>
      <w:bookmarkStart w:id="37" w:name="_Toc93523287"/>
      <w:r w:rsidRPr="000225FC">
        <w:t>Metastasiertes Colonkarzinom: Therapie-Prinzipien</w:t>
      </w:r>
      <w:bookmarkEnd w:id="36"/>
      <w:bookmarkEnd w:id="37"/>
    </w:p>
    <w:p w14:paraId="2999AD13" w14:textId="77777777" w:rsidR="00AA632B" w:rsidRDefault="00AA632B" w:rsidP="00AA632B">
      <w:pPr>
        <w:numPr>
          <w:ilvl w:val="0"/>
          <w:numId w:val="6"/>
        </w:numPr>
        <w:autoSpaceDE w:val="0"/>
        <w:autoSpaceDN w:val="0"/>
        <w:adjustRightInd w:val="0"/>
        <w:spacing w:before="120" w:line="276" w:lineRule="auto"/>
        <w:jc w:val="left"/>
        <w:rPr>
          <w:rFonts w:ascii="Calibri" w:eastAsia="Calibri" w:hAnsi="Calibri" w:cs="Calibri"/>
          <w:szCs w:val="22"/>
          <w:lang w:eastAsia="en-US"/>
        </w:rPr>
      </w:pPr>
      <w:r w:rsidRPr="000225FC">
        <w:rPr>
          <w:rFonts w:ascii="Calibri" w:eastAsia="Calibri" w:hAnsi="Calibri" w:cs="Calibri"/>
          <w:szCs w:val="22"/>
          <w:lang w:eastAsia="en-US"/>
        </w:rPr>
        <w:t>Alle Patenten sollten im Verlauf ihrer Erkrankung möglichst alle aktiven Substanzen erhalten.</w:t>
      </w:r>
      <w:r w:rsidRPr="000225FC">
        <w:rPr>
          <w:rFonts w:ascii="Calibri" w:eastAsia="Calibri" w:hAnsi="Calibri" w:cs="Calibri"/>
          <w:szCs w:val="22"/>
          <w:lang w:eastAsia="en-US"/>
        </w:rPr>
        <w:br/>
        <w:t>(Berücksichtigung eines „continuum of care“ mit der grössten Chance auf ein langes Überleben)</w:t>
      </w:r>
    </w:p>
    <w:p w14:paraId="07916B00" w14:textId="77777777" w:rsidR="00AA632B" w:rsidRPr="00106A7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106A73">
        <w:rPr>
          <w:rFonts w:ascii="Calibri" w:eastAsia="Calibri" w:hAnsi="Calibri" w:cs="Calibri"/>
          <w:szCs w:val="22"/>
          <w:lang w:eastAsia="en-US"/>
        </w:rPr>
        <w:t>Die effektivste noch tolerable Therapie sollte in der Erstlinie verabreicht werden.</w:t>
      </w:r>
    </w:p>
    <w:p w14:paraId="70C2A235" w14:textId="77777777" w:rsidR="00AA632B" w:rsidRPr="000225FC"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0225FC">
        <w:rPr>
          <w:rFonts w:ascii="Calibri" w:eastAsia="Calibri" w:hAnsi="Calibri" w:cs="Calibri"/>
          <w:szCs w:val="22"/>
          <w:lang w:eastAsia="en-US"/>
        </w:rPr>
        <w:t>Deeskalation der zytotoxischen Therapie im Sinne einer Erhaltungstherapie und Reinduktion.</w:t>
      </w:r>
    </w:p>
    <w:p w14:paraId="75D5C8D5" w14:textId="77777777" w:rsidR="00AA632B"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0225FC">
        <w:rPr>
          <w:rFonts w:ascii="Calibri" w:eastAsia="Calibri" w:hAnsi="Calibri" w:cs="Calibri"/>
          <w:szCs w:val="22"/>
          <w:lang w:eastAsia="en-US"/>
        </w:rPr>
        <w:t>Optimierter Gebrauch von Bevacizumab (bis zur Progression und „beyond progression“).</w:t>
      </w:r>
      <w:r w:rsidRPr="000225FC">
        <w:rPr>
          <w:rFonts w:ascii="Calibri" w:eastAsia="Calibri" w:hAnsi="Calibri" w:cs="Calibri"/>
          <w:szCs w:val="22"/>
          <w:lang w:eastAsia="en-US"/>
        </w:rPr>
        <w:br/>
        <w:t>Bei rascher Progression unter Bevazicumab Wechsel auf Aflibercept oder Ramucirumab (wenn in der Erstlinie eine Oxaliplatin-basierte Therapie verabreicht wurde).</w:t>
      </w:r>
    </w:p>
    <w:p w14:paraId="25867DB4"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Nach Erstlinientherapie mit FOLFOX + Panitumumab ist eine Erhaltungstherapie mit FP + Pan möglich (PANAMA-Studie, signifikant längeres PFS aber kein OS-Benefit). Für eine Erhaltungstherapie nach FOLFIRI + Anti-EGFR oder für eine Cetuximab-Erhaltung gibt es dzt. keine ausreichende Evidenz.</w:t>
      </w:r>
    </w:p>
    <w:p w14:paraId="339132A4"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bookmarkStart w:id="38" w:name="_Hlk93161321"/>
      <w:r w:rsidRPr="009247D3">
        <w:rPr>
          <w:rFonts w:ascii="Calibri" w:eastAsia="Calibri" w:hAnsi="Calibri" w:cs="Calibri"/>
          <w:szCs w:val="22"/>
          <w:lang w:eastAsia="en-US"/>
        </w:rPr>
        <w:t xml:space="preserve">Bei RAS Wildtyp Patienten mit einem rechtsseitigen Primärtumor besteht nach dem derzeitigen Kenntnisstand kein Nutzen eines EGFR-Antikörpers in der Erstlinientherapie. Daher wird eine Bevacizumab-haltige Therapie empfohlen (möglichst in Kombination mit Chemo-Triplett). </w:t>
      </w:r>
      <w:r w:rsidRPr="009247D3">
        <w:rPr>
          <w:rFonts w:ascii="Calibri" w:eastAsia="Calibri" w:hAnsi="Calibri" w:cs="Calibri"/>
          <w:szCs w:val="22"/>
          <w:lang w:eastAsia="en-US"/>
        </w:rPr>
        <w:br/>
        <w:t>Für weitere Therapielinien ist der Einfluss der primären Tumorlokalisation auf die Wirksamkeit der EGFR-Antikörper noch nicht ausreichend untersucht.</w:t>
      </w:r>
    </w:p>
    <w:p w14:paraId="645085A8"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Insbesondere bei Patienten in gutem Performance-Status (WHO 0) mit rechtsseitigem Primärtumor sollte eine Triplett-Therapie (FOLFOXIRI) in Kombination mit Bevacizumab erwogen werden (siehe Tribe2-Studie, Kapitel 4.2.)</w:t>
      </w:r>
    </w:p>
    <w:p w14:paraId="00247433"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Nach Versagen aller etablierten Chemotherapien und monoklonaler Antikörper führen Regorafenib oder TAS 102 (Trifluridin/Tipiracil) zu einer Verlängerung der Gesamtüberlebenszeit.</w:t>
      </w:r>
    </w:p>
    <w:p w14:paraId="118A66CD"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Bei Patienten mit BRAF-Mutation scheint in der Erstlinie eine CT + Bevacizumab wirksamer zu sein als eine CT + Cetuximab (Fire-4.5 – Studie). Für die Zweitlinie ist eine Doublet-Therapie mit Encorafenib und Cetuximab zugelassen (siehe BEACON-Studie, Kapitel 4.4.1).</w:t>
      </w:r>
      <w:r w:rsidRPr="009247D3">
        <w:rPr>
          <w:rFonts w:ascii="Calibri" w:eastAsia="Calibri" w:hAnsi="Calibri" w:cs="Calibri"/>
          <w:szCs w:val="22"/>
          <w:lang w:eastAsia="en-US"/>
        </w:rPr>
        <w:br/>
        <w:t xml:space="preserve">Therapiesequenz: FOLFOX(IRI) + Bevacizumab </w:t>
      </w:r>
      <w:r w:rsidRPr="009247D3">
        <w:rPr>
          <w:rFonts w:ascii="Calibri" w:eastAsia="Calibri" w:hAnsi="Calibri" w:cs="Calibri"/>
          <w:szCs w:val="22"/>
          <w:lang w:eastAsia="en-US"/>
        </w:rPr>
        <w:sym w:font="Wingdings" w:char="F0E0"/>
      </w:r>
      <w:r w:rsidRPr="009247D3">
        <w:rPr>
          <w:rFonts w:ascii="Calibri" w:eastAsia="Calibri" w:hAnsi="Calibri" w:cs="Calibri"/>
          <w:szCs w:val="22"/>
          <w:lang w:eastAsia="en-US"/>
        </w:rPr>
        <w:t xml:space="preserve"> Encorafenib + Cetuximab</w:t>
      </w:r>
    </w:p>
    <w:p w14:paraId="059688A4"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Tumore mit hoher Mikrosatelliteninstabilität (MSI-H, dMMR):  Firstline-Zulassung für Pembrolizumab-Monotherapie, Secondline-Zulassung (nach vorheriger FP-basierter Kombinations-Chemotherapie) für Nivolumab + Ipilimumab</w:t>
      </w:r>
    </w:p>
    <w:p w14:paraId="7B04A5F7"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Bei Her2-Amplifikation: Her2-gerichtete Therapie nach Ausschöpfung aller anderen Therapie-Optionen (noch keine Zulassung): Trastuzumab-Deruxtecan (cave: Pneumonitis häufige NW) oder Trastuzumab + Lapatinib oder Trastuzumab + Pertuzumab</w:t>
      </w:r>
    </w:p>
    <w:p w14:paraId="7C5FF56F"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Bei NTRK-Genfusion: Larotrectinib oder Entrectinib möglich (Zulassung bei soliden TU mit NTRK-Genfusion, “wenn keine andere zufriedenstellende Therapieoption zur Verfügung steht”)</w:t>
      </w:r>
    </w:p>
    <w:p w14:paraId="0857ADB8" w14:textId="77777777" w:rsidR="00AA632B" w:rsidRPr="009247D3"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sidRPr="009247D3">
        <w:rPr>
          <w:rFonts w:ascii="Calibri" w:eastAsia="Calibri" w:hAnsi="Calibri" w:cs="Calibri"/>
          <w:szCs w:val="22"/>
          <w:lang w:eastAsia="en-US"/>
        </w:rPr>
        <w:t>Bei KRAS-G12C-Mutation: ev. individueller Heilversuch mit Adagrasib oder Sotorasib nach Ausschöpfung aller anderen Therapieoptionen (keine Zulassung)</w:t>
      </w:r>
    </w:p>
    <w:p w14:paraId="26B03234" w14:textId="77777777" w:rsidR="00AA632B" w:rsidRPr="006F5AEA" w:rsidRDefault="00AA632B" w:rsidP="00AA632B">
      <w:pPr>
        <w:numPr>
          <w:ilvl w:val="0"/>
          <w:numId w:val="6"/>
        </w:numPr>
        <w:autoSpaceDE w:val="0"/>
        <w:autoSpaceDN w:val="0"/>
        <w:adjustRightInd w:val="0"/>
        <w:spacing w:before="80" w:line="276" w:lineRule="auto"/>
        <w:jc w:val="left"/>
        <w:rPr>
          <w:rFonts w:ascii="Calibri" w:eastAsia="Calibri" w:hAnsi="Calibri" w:cs="Calibri"/>
          <w:szCs w:val="22"/>
          <w:lang w:eastAsia="en-US"/>
        </w:rPr>
      </w:pPr>
      <w:r>
        <w:rPr>
          <w:rFonts w:ascii="Calibri" w:eastAsia="Calibri" w:hAnsi="Calibri" w:cs="Calibri"/>
          <w:szCs w:val="22"/>
          <w:lang w:eastAsia="en-US"/>
        </w:rPr>
        <w:t xml:space="preserve">In </w:t>
      </w:r>
      <w:r w:rsidRPr="003957DE">
        <w:rPr>
          <w:rFonts w:ascii="Calibri" w:eastAsia="Calibri" w:hAnsi="Calibri" w:cs="Calibri"/>
          <w:szCs w:val="22"/>
          <w:lang w:eastAsia="en-US"/>
        </w:rPr>
        <w:t>jeder Therapielinie soll geprüft werden, ob eine Metastasenresektion (oder ein lokal-ablatives Verfahren) möglich und sinnvoll ist.</w:t>
      </w:r>
      <w:bookmarkEnd w:id="38"/>
      <w:r w:rsidRPr="006F5AEA">
        <w:rPr>
          <w:rFonts w:asciiTheme="minorHAnsi" w:hAnsiTheme="minorHAnsi" w:cstheme="minorHAnsi"/>
          <w:szCs w:val="22"/>
        </w:rPr>
        <w:t xml:space="preserve"> </w:t>
      </w:r>
    </w:p>
    <w:p w14:paraId="5082BDDF" w14:textId="77777777" w:rsidR="0069468E" w:rsidRDefault="0069468E" w:rsidP="0069468E"/>
    <w:p w14:paraId="42BAEAB4" w14:textId="77777777" w:rsidR="005D34B5" w:rsidRPr="005D34B5" w:rsidRDefault="005D34B5" w:rsidP="00A51D11">
      <w:pPr>
        <w:jc w:val="left"/>
      </w:pPr>
    </w:p>
    <w:p w14:paraId="17CADB4D" w14:textId="77777777" w:rsidR="00A51D11" w:rsidRDefault="00A51D11" w:rsidP="00A51D11">
      <w:pPr>
        <w:pStyle w:val="berschrift3"/>
      </w:pPr>
      <w:bookmarkStart w:id="39" w:name="_Toc93523288"/>
      <w:bookmarkStart w:id="40" w:name="_Hlk529996660"/>
      <w:bookmarkEnd w:id="35"/>
      <w:r w:rsidRPr="006C0CAD">
        <w:lastRenderedPageBreak/>
        <w:t>3.2.</w:t>
      </w:r>
      <w:r>
        <w:t>2</w:t>
      </w:r>
      <w:r w:rsidRPr="006C0CAD">
        <w:tab/>
        <w:t xml:space="preserve">Metastasiertes Colonkarzinom: </w:t>
      </w:r>
      <w:r>
        <w:t>Gesamtüberblick</w:t>
      </w:r>
      <w:bookmarkEnd w:id="39"/>
    </w:p>
    <w:p w14:paraId="5C4BDFA1" w14:textId="77777777" w:rsidR="00A51D11" w:rsidRPr="00065BA4" w:rsidRDefault="008015F8" w:rsidP="00A51D11">
      <w:pPr>
        <w:jc w:val="both"/>
      </w:pPr>
      <w:r>
        <w:rPr>
          <w:noProof/>
          <w:lang w:eastAsia="de-AT"/>
        </w:rPr>
        <w:drawing>
          <wp:inline distT="0" distB="0" distL="0" distR="0" wp14:anchorId="419BB834" wp14:editId="0DF67EC2">
            <wp:extent cx="5957570" cy="8203565"/>
            <wp:effectExtent l="0" t="0" r="508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7570" cy="8203565"/>
                    </a:xfrm>
                    <a:prstGeom prst="rect">
                      <a:avLst/>
                    </a:prstGeom>
                    <a:noFill/>
                    <a:ln>
                      <a:noFill/>
                    </a:ln>
                  </pic:spPr>
                </pic:pic>
              </a:graphicData>
            </a:graphic>
          </wp:inline>
        </w:drawing>
      </w:r>
      <w:r w:rsidR="00A51D11">
        <w:rPr>
          <w:lang w:val="de-DE" w:eastAsia="de-AT"/>
        </w:rPr>
        <w:br w:type="page"/>
      </w:r>
    </w:p>
    <w:p w14:paraId="65CF0857" w14:textId="77777777" w:rsidR="009E08BF" w:rsidRDefault="006C0CAD" w:rsidP="005D34B5">
      <w:pPr>
        <w:pStyle w:val="berschrift3"/>
        <w:ind w:left="705" w:hanging="705"/>
        <w:rPr>
          <w:lang w:val="de-DE" w:eastAsia="de-AT"/>
        </w:rPr>
      </w:pPr>
      <w:bookmarkStart w:id="41" w:name="_Toc93523289"/>
      <w:r>
        <w:rPr>
          <w:lang w:val="de-DE" w:eastAsia="de-AT"/>
        </w:rPr>
        <w:lastRenderedPageBreak/>
        <w:t>3.2</w:t>
      </w:r>
      <w:r w:rsidR="00A51D11">
        <w:rPr>
          <w:lang w:val="de-DE" w:eastAsia="de-AT"/>
        </w:rPr>
        <w:t>.3</w:t>
      </w:r>
      <w:r>
        <w:rPr>
          <w:lang w:val="de-DE" w:eastAsia="de-AT"/>
        </w:rPr>
        <w:tab/>
        <w:t>Colonkarzinom, synchron oder sekundär metastasiert, primär operabe</w:t>
      </w:r>
      <w:r w:rsidR="00E30549">
        <w:rPr>
          <w:lang w:val="de-DE" w:eastAsia="de-AT"/>
        </w:rPr>
        <w:t>l</w:t>
      </w:r>
      <w:bookmarkEnd w:id="40"/>
      <w:bookmarkEnd w:id="41"/>
    </w:p>
    <w:p w14:paraId="527FDE2D" w14:textId="77777777" w:rsidR="00870426" w:rsidRPr="004103BF" w:rsidRDefault="00C1060A" w:rsidP="009E08BF">
      <w:pPr>
        <w:pStyle w:val="berschrift3"/>
        <w:rPr>
          <w:lang w:val="de-DE" w:eastAsia="de-AT"/>
        </w:rPr>
      </w:pPr>
      <w:bookmarkStart w:id="42" w:name="_Toc60569162"/>
      <w:bookmarkStart w:id="43" w:name="_Toc93523290"/>
      <w:r>
        <w:rPr>
          <w:noProof/>
          <w:lang w:eastAsia="de-AT"/>
        </w:rPr>
        <w:drawing>
          <wp:inline distT="0" distB="0" distL="0" distR="0" wp14:anchorId="4469971E" wp14:editId="21D72E0C">
            <wp:extent cx="5951220" cy="85496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220" cy="8549640"/>
                    </a:xfrm>
                    <a:prstGeom prst="rect">
                      <a:avLst/>
                    </a:prstGeom>
                    <a:noFill/>
                    <a:ln>
                      <a:noFill/>
                    </a:ln>
                  </pic:spPr>
                </pic:pic>
              </a:graphicData>
            </a:graphic>
          </wp:inline>
        </w:drawing>
      </w:r>
      <w:bookmarkEnd w:id="42"/>
      <w:bookmarkEnd w:id="43"/>
      <w:r w:rsidR="00870426">
        <w:rPr>
          <w:rFonts w:asciiTheme="minorHAnsi" w:hAnsiTheme="minorHAnsi" w:cstheme="minorHAnsi"/>
          <w:noProof/>
          <w:lang w:eastAsia="de-AT"/>
        </w:rPr>
        <w:br w:type="page"/>
      </w:r>
    </w:p>
    <w:p w14:paraId="0E7B45C2" w14:textId="77777777" w:rsidR="00916025" w:rsidRPr="00667A57" w:rsidRDefault="00916025" w:rsidP="00916025">
      <w:pPr>
        <w:pStyle w:val="berschrift3"/>
        <w:ind w:left="705" w:hanging="705"/>
        <w:rPr>
          <w:lang w:val="de-DE" w:eastAsia="de-AT"/>
        </w:rPr>
      </w:pPr>
      <w:bookmarkStart w:id="44" w:name="_Toc93523291"/>
      <w:bookmarkStart w:id="45" w:name="_Hlk529992308"/>
      <w:r w:rsidRPr="00667A57">
        <w:rPr>
          <w:lang w:val="de-DE" w:eastAsia="de-AT"/>
        </w:rPr>
        <w:lastRenderedPageBreak/>
        <w:t>3.2.</w:t>
      </w:r>
      <w:r w:rsidR="00A51D11">
        <w:rPr>
          <w:lang w:val="de-DE" w:eastAsia="de-AT"/>
        </w:rPr>
        <w:t>4</w:t>
      </w:r>
      <w:r w:rsidRPr="00667A57">
        <w:rPr>
          <w:lang w:val="de-DE" w:eastAsia="de-AT"/>
        </w:rPr>
        <w:tab/>
      </w:r>
      <w:r w:rsidRPr="00667A57">
        <w:rPr>
          <w:iCs/>
          <w:lang w:val="de-DE" w:eastAsia="de-AT"/>
        </w:rPr>
        <w:t>Anmerkungen zur peri- oder postoperativen Chemotherapie bei primär resektablen Metastasen</w:t>
      </w:r>
      <w:bookmarkEnd w:id="44"/>
    </w:p>
    <w:p w14:paraId="2A2FDC0D" w14:textId="77777777" w:rsidR="00444F1E" w:rsidRPr="00667A57" w:rsidRDefault="00444F1E" w:rsidP="00444F1E">
      <w:pPr>
        <w:autoSpaceDE w:val="0"/>
        <w:autoSpaceDN w:val="0"/>
        <w:adjustRightInd w:val="0"/>
        <w:spacing w:line="288" w:lineRule="auto"/>
        <w:ind w:left="720" w:hanging="720"/>
        <w:jc w:val="left"/>
        <w:rPr>
          <w:rFonts w:eastAsia="Calibri" w:cs="Arial"/>
          <w:b/>
          <w:bCs/>
          <w:iCs/>
          <w:sz w:val="8"/>
          <w:szCs w:val="8"/>
          <w:lang w:val="de-DE" w:eastAsia="en-US"/>
        </w:rPr>
      </w:pPr>
    </w:p>
    <w:p w14:paraId="09199786"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Laut den aktuellen europäischen CRC-Leitlinien (ESMO, Onkopedia, S3-Leitlinie DKGS) kann bei klar resektablen Metastasen und prognostisch günstigen Kriterien eine primäre Metastasenresektion durchgeführt werden.</w:t>
      </w:r>
    </w:p>
    <w:p w14:paraId="35D69705"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Allerdings sind die prognostischen Kriterien in keiner Leitlinie klar definiert.</w:t>
      </w:r>
    </w:p>
    <w:p w14:paraId="046C5C28"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b/>
          <w:szCs w:val="22"/>
          <w:lang w:eastAsia="en-US"/>
        </w:rPr>
      </w:pPr>
      <w:r w:rsidRPr="00667A57">
        <w:rPr>
          <w:rFonts w:ascii="Calibri" w:eastAsia="Calibri" w:hAnsi="Calibri" w:cs="Calibri"/>
          <w:b/>
          <w:szCs w:val="22"/>
          <w:lang w:eastAsia="en-US"/>
        </w:rPr>
        <w:t>Generell gelten folgende Kriterien als prognostisch ungünstig:</w:t>
      </w:r>
    </w:p>
    <w:p w14:paraId="4C182CFE" w14:textId="77777777" w:rsidR="00444F1E" w:rsidRPr="00667A57" w:rsidRDefault="00444F1E" w:rsidP="000B1AD6">
      <w:pPr>
        <w:numPr>
          <w:ilvl w:val="1"/>
          <w:numId w:val="12"/>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synchrone Metastasierung</w:t>
      </w:r>
    </w:p>
    <w:p w14:paraId="5682EA88" w14:textId="77777777" w:rsidR="00444F1E" w:rsidRPr="00667A57" w:rsidRDefault="00444F1E" w:rsidP="000B1AD6">
      <w:pPr>
        <w:numPr>
          <w:ilvl w:val="1"/>
          <w:numId w:val="12"/>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kurzes rezidivfreies Intervall &lt; 6 (12) Monate</w:t>
      </w:r>
    </w:p>
    <w:p w14:paraId="776C5093" w14:textId="77777777" w:rsidR="00444F1E" w:rsidRPr="00667A57" w:rsidRDefault="00444F1E" w:rsidP="000B1AD6">
      <w:pPr>
        <w:numPr>
          <w:ilvl w:val="0"/>
          <w:numId w:val="12"/>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Bei einer Subgruppen-Analyse der EORTC 40983-Studie (FOLFOX 3 Monate prä- und postoperativ) profitierten vor allem Patienten mit einem erhöhten CEA-Wert (&gt; 5ng/ml) und mit einem guten Performance-Status signifikant von einer Chemotherapie während Patienten mit einem normalen CEA-Wert keinen Vorteil hatten.</w:t>
      </w:r>
    </w:p>
    <w:p w14:paraId="115C0A32"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Eine Chemotherapie sollte vor allem dann empfohlen werden, wenn die Dynamik der Erkrankung unklar ist (ESMO-LL, S3-LL). Patienten mit synchroner Metastasierung gehören in diese Gruppe.</w:t>
      </w:r>
    </w:p>
    <w:p w14:paraId="12FFDE22"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Die Chemotherapie sollte mit einem Fluoropyrimidin + Oxaliplatin erfolgen.</w:t>
      </w:r>
    </w:p>
    <w:p w14:paraId="7CF97A24"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 xml:space="preserve">Für eine perioperative Antikörpertherapie bei klar resektablen Metastasen gibt es dzt. (noch) keine Empfehlung. Allerdings gibt es für einen perioperativen Einsatz von Bevacizumab </w:t>
      </w:r>
      <w:r w:rsidRPr="00667A57">
        <w:rPr>
          <w:rFonts w:ascii="Calibri" w:eastAsia="Calibri" w:hAnsi="Calibri" w:cs="Calibri"/>
          <w:szCs w:val="22"/>
          <w:lang w:eastAsia="en-US"/>
        </w:rPr>
        <w:br/>
        <w:t>(+ Chemo-Duplett) vielversprechende Daten aus einer Phase-2-Studie (APPROACH, ASCO 2018).</w:t>
      </w:r>
      <w:r w:rsidRPr="00667A57">
        <w:rPr>
          <w:rFonts w:ascii="Calibri" w:eastAsia="Calibri" w:hAnsi="Calibri" w:cs="Calibri"/>
          <w:szCs w:val="22"/>
          <w:lang w:eastAsia="en-US"/>
        </w:rPr>
        <w:br/>
        <w:t>Für Cetuximab perioperativ gibt es negative Daten aus der New EPOC-Studie (kürzeres PFS mit FOLFOX/Cetuximab gegenüber alleiniger Chemotherapie)</w:t>
      </w:r>
    </w:p>
    <w:p w14:paraId="09CFB556" w14:textId="77777777" w:rsidR="00444F1E" w:rsidRPr="00667A57" w:rsidRDefault="00444F1E"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 xml:space="preserve">Zur Prognoseabschätzung bei Lebermetastasen kann der FONG-Score mit einbezogen werden: </w:t>
      </w:r>
    </w:p>
    <w:bookmarkEnd w:id="45"/>
    <w:p w14:paraId="006C5A45" w14:textId="77777777" w:rsidR="00444F1E" w:rsidRPr="00667A57" w:rsidRDefault="00444F1E" w:rsidP="00444F1E">
      <w:pPr>
        <w:spacing w:after="160" w:line="259" w:lineRule="auto"/>
        <w:jc w:val="left"/>
        <w:rPr>
          <w:rFonts w:ascii="Calibri" w:eastAsia="Calibri" w:hAnsi="Calibri"/>
          <w:szCs w:val="22"/>
          <w:lang w:eastAsia="en-US"/>
        </w:rPr>
      </w:pPr>
    </w:p>
    <w:tbl>
      <w:tblPr>
        <w:tblStyle w:val="TableGrid31"/>
        <w:tblW w:w="5000" w:type="pct"/>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9" w:type="dxa"/>
          <w:left w:w="108" w:type="dxa"/>
          <w:right w:w="46" w:type="dxa"/>
        </w:tblCellMar>
        <w:tblLook w:val="04A0" w:firstRow="1" w:lastRow="0" w:firstColumn="1" w:lastColumn="0" w:noHBand="0" w:noVBand="1"/>
      </w:tblPr>
      <w:tblGrid>
        <w:gridCol w:w="9352"/>
      </w:tblGrid>
      <w:tr w:rsidR="00667A57" w:rsidRPr="00667A57" w14:paraId="574A54A0" w14:textId="77777777" w:rsidTr="00444F1E">
        <w:trPr>
          <w:trHeight w:val="340"/>
        </w:trPr>
        <w:tc>
          <w:tcPr>
            <w:tcW w:w="5000" w:type="pct"/>
            <w:shd w:val="clear" w:color="auto" w:fill="DEEAF6"/>
          </w:tcPr>
          <w:p w14:paraId="57CFBB1E" w14:textId="77777777" w:rsidR="00444F1E" w:rsidRPr="00667A57" w:rsidRDefault="00444F1E" w:rsidP="00444F1E">
            <w:pPr>
              <w:spacing w:line="240" w:lineRule="auto"/>
              <w:rPr>
                <w:rFonts w:cs="Arial"/>
                <w:b/>
                <w:sz w:val="20"/>
                <w:szCs w:val="20"/>
                <w:lang w:eastAsia="de-AT"/>
              </w:rPr>
            </w:pPr>
            <w:r w:rsidRPr="00667A57">
              <w:rPr>
                <w:rFonts w:cs="Arial"/>
                <w:b/>
                <w:sz w:val="20"/>
                <w:szCs w:val="20"/>
                <w:lang w:eastAsia="de-AT"/>
              </w:rPr>
              <w:t xml:space="preserve">FONG-SCORE </w:t>
            </w:r>
            <w:r w:rsidRPr="00667A57">
              <w:rPr>
                <w:rFonts w:cs="Arial"/>
                <w:sz w:val="20"/>
                <w:szCs w:val="20"/>
                <w:lang w:eastAsia="de-AT"/>
              </w:rPr>
              <w:t>(jedem Risikofaktor wird ein Punkt gegeben)</w:t>
            </w:r>
          </w:p>
        </w:tc>
      </w:tr>
      <w:tr w:rsidR="00667A57" w:rsidRPr="00667A57" w14:paraId="649DB0F4" w14:textId="77777777" w:rsidTr="00444F1E">
        <w:trPr>
          <w:trHeight w:val="657"/>
        </w:trPr>
        <w:tc>
          <w:tcPr>
            <w:tcW w:w="5000" w:type="pct"/>
            <w:shd w:val="clear" w:color="auto" w:fill="EDEDED"/>
          </w:tcPr>
          <w:p w14:paraId="599D648D" w14:textId="77777777" w:rsidR="00444F1E" w:rsidRPr="00667A57" w:rsidRDefault="00444F1E" w:rsidP="000B1AD6">
            <w:pPr>
              <w:numPr>
                <w:ilvl w:val="0"/>
                <w:numId w:val="11"/>
              </w:numPr>
              <w:ind w:right="8"/>
              <w:contextualSpacing/>
              <w:jc w:val="both"/>
              <w:rPr>
                <w:rFonts w:cs="Arial"/>
                <w:sz w:val="20"/>
                <w:lang w:eastAsia="de-AT"/>
              </w:rPr>
            </w:pPr>
            <w:r w:rsidRPr="00667A57">
              <w:rPr>
                <w:rFonts w:cs="Arial"/>
                <w:sz w:val="20"/>
                <w:lang w:eastAsia="de-AT"/>
              </w:rPr>
              <w:t xml:space="preserve">nodal positives Karzinom bei Erstdiagnose </w:t>
            </w:r>
          </w:p>
          <w:p w14:paraId="06275AAE" w14:textId="77777777" w:rsidR="00444F1E" w:rsidRPr="00667A57" w:rsidRDefault="00444F1E" w:rsidP="000B1AD6">
            <w:pPr>
              <w:numPr>
                <w:ilvl w:val="0"/>
                <w:numId w:val="11"/>
              </w:numPr>
              <w:ind w:right="8"/>
              <w:contextualSpacing/>
              <w:jc w:val="both"/>
              <w:rPr>
                <w:rFonts w:cs="Arial"/>
                <w:sz w:val="20"/>
                <w:lang w:eastAsia="de-AT"/>
              </w:rPr>
            </w:pPr>
            <w:r w:rsidRPr="00667A57">
              <w:rPr>
                <w:rFonts w:cs="Arial"/>
                <w:sz w:val="20"/>
                <w:lang w:eastAsia="de-AT"/>
              </w:rPr>
              <w:t>krankheitsfreies Intervall zwischen Resektion des Primärtumors und der Diagnose der Lebermetastasen &lt; 12 Monate</w:t>
            </w:r>
          </w:p>
          <w:p w14:paraId="2ECE7671" w14:textId="77777777" w:rsidR="00444F1E" w:rsidRPr="00667A57" w:rsidRDefault="00444F1E" w:rsidP="000B1AD6">
            <w:pPr>
              <w:numPr>
                <w:ilvl w:val="0"/>
                <w:numId w:val="11"/>
              </w:numPr>
              <w:ind w:right="8"/>
              <w:contextualSpacing/>
              <w:jc w:val="both"/>
              <w:rPr>
                <w:rFonts w:cs="Arial"/>
                <w:sz w:val="20"/>
                <w:lang w:eastAsia="de-AT"/>
              </w:rPr>
            </w:pPr>
            <w:r w:rsidRPr="00667A57">
              <w:rPr>
                <w:rFonts w:cs="Arial"/>
                <w:sz w:val="20"/>
                <w:lang w:eastAsia="de-AT"/>
              </w:rPr>
              <w:t>&gt; 1 Lebermetastase in der präoperativen Bildgebung</w:t>
            </w:r>
          </w:p>
          <w:p w14:paraId="41A28D7D" w14:textId="77777777" w:rsidR="00444F1E" w:rsidRPr="00667A57" w:rsidRDefault="00444F1E" w:rsidP="000B1AD6">
            <w:pPr>
              <w:numPr>
                <w:ilvl w:val="0"/>
                <w:numId w:val="11"/>
              </w:numPr>
              <w:ind w:right="8"/>
              <w:contextualSpacing/>
              <w:jc w:val="both"/>
              <w:rPr>
                <w:rFonts w:cs="Arial"/>
                <w:sz w:val="20"/>
                <w:lang w:eastAsia="de-AT"/>
              </w:rPr>
            </w:pPr>
            <w:r w:rsidRPr="00667A57">
              <w:rPr>
                <w:rFonts w:cs="Arial"/>
                <w:sz w:val="20"/>
                <w:lang w:eastAsia="de-AT"/>
              </w:rPr>
              <w:t>CEA präoperativ &gt; 200 ng/ml</w:t>
            </w:r>
          </w:p>
          <w:p w14:paraId="141AD658" w14:textId="77777777" w:rsidR="00444F1E" w:rsidRPr="00667A57" w:rsidRDefault="00444F1E" w:rsidP="000B1AD6">
            <w:pPr>
              <w:numPr>
                <w:ilvl w:val="0"/>
                <w:numId w:val="11"/>
              </w:numPr>
              <w:ind w:right="8"/>
              <w:contextualSpacing/>
              <w:jc w:val="both"/>
              <w:rPr>
                <w:rFonts w:cs="Arial"/>
                <w:lang w:eastAsia="de-AT"/>
              </w:rPr>
            </w:pPr>
            <w:r w:rsidRPr="00667A57">
              <w:rPr>
                <w:rFonts w:cs="Arial"/>
                <w:sz w:val="20"/>
                <w:lang w:eastAsia="de-AT"/>
              </w:rPr>
              <w:t>größter Metastasendurchmesser &gt; 5 cm in der präoperativen Bildgebung</w:t>
            </w:r>
          </w:p>
        </w:tc>
      </w:tr>
    </w:tbl>
    <w:p w14:paraId="109A6952" w14:textId="77777777" w:rsidR="00444F1E" w:rsidRPr="00667A57" w:rsidRDefault="00444F1E" w:rsidP="00444F1E">
      <w:pPr>
        <w:spacing w:before="240" w:after="160" w:line="259" w:lineRule="auto"/>
        <w:jc w:val="left"/>
        <w:rPr>
          <w:rFonts w:eastAsia="Calibri" w:cs="Arial"/>
          <w:sz w:val="8"/>
          <w:szCs w:val="8"/>
          <w:lang w:eastAsia="en-US"/>
        </w:rPr>
      </w:pPr>
    </w:p>
    <w:tbl>
      <w:tblPr>
        <w:tblStyle w:val="Tabellenraster4"/>
        <w:tblW w:w="9537" w:type="dxa"/>
        <w:tblLook w:val="04A0" w:firstRow="1" w:lastRow="0" w:firstColumn="1" w:lastColumn="0" w:noHBand="0" w:noVBand="1"/>
      </w:tblPr>
      <w:tblGrid>
        <w:gridCol w:w="3179"/>
        <w:gridCol w:w="3180"/>
        <w:gridCol w:w="3178"/>
      </w:tblGrid>
      <w:tr w:rsidR="00667A57" w:rsidRPr="00667A57" w14:paraId="7E063D2C" w14:textId="77777777" w:rsidTr="00E46F63">
        <w:trPr>
          <w:trHeight w:val="340"/>
        </w:trPr>
        <w:tc>
          <w:tcPr>
            <w:tcW w:w="1667" w:type="pct"/>
            <w:shd w:val="clear" w:color="auto" w:fill="DEEAF6"/>
            <w:vAlign w:val="center"/>
          </w:tcPr>
          <w:p w14:paraId="0EC718C1" w14:textId="77777777" w:rsidR="00444F1E" w:rsidRPr="00667A57" w:rsidRDefault="00444F1E" w:rsidP="00444F1E">
            <w:pPr>
              <w:spacing w:line="240" w:lineRule="auto"/>
              <w:rPr>
                <w:rFonts w:cs="Arial"/>
                <w:sz w:val="20"/>
                <w:lang w:eastAsia="en-US"/>
              </w:rPr>
            </w:pPr>
            <w:r w:rsidRPr="00667A57">
              <w:rPr>
                <w:rFonts w:cs="Arial"/>
                <w:b/>
                <w:bCs/>
                <w:sz w:val="20"/>
                <w:lang w:eastAsia="en-US"/>
              </w:rPr>
              <w:t>Anzahl von Risikofaktoren</w:t>
            </w:r>
          </w:p>
        </w:tc>
        <w:tc>
          <w:tcPr>
            <w:tcW w:w="1667" w:type="pct"/>
            <w:shd w:val="clear" w:color="auto" w:fill="DEEAF6"/>
            <w:vAlign w:val="center"/>
          </w:tcPr>
          <w:p w14:paraId="070D4CCE" w14:textId="77777777" w:rsidR="00444F1E" w:rsidRPr="00667A57" w:rsidRDefault="00444F1E" w:rsidP="00444F1E">
            <w:pPr>
              <w:spacing w:line="240" w:lineRule="auto"/>
              <w:rPr>
                <w:rFonts w:cs="Arial"/>
                <w:sz w:val="20"/>
                <w:lang w:eastAsia="en-US"/>
              </w:rPr>
            </w:pPr>
            <w:r w:rsidRPr="00667A57">
              <w:rPr>
                <w:rFonts w:cs="Arial"/>
                <w:b/>
                <w:bCs/>
                <w:sz w:val="20"/>
                <w:lang w:eastAsia="en-US"/>
              </w:rPr>
              <w:t>Rezidivrisiko</w:t>
            </w:r>
          </w:p>
        </w:tc>
        <w:tc>
          <w:tcPr>
            <w:tcW w:w="1666" w:type="pct"/>
            <w:shd w:val="clear" w:color="auto" w:fill="DEEAF6"/>
            <w:vAlign w:val="center"/>
          </w:tcPr>
          <w:p w14:paraId="24482027" w14:textId="77777777" w:rsidR="00444F1E" w:rsidRPr="00667A57" w:rsidRDefault="00444F1E" w:rsidP="00444F1E">
            <w:pPr>
              <w:spacing w:line="240" w:lineRule="auto"/>
              <w:rPr>
                <w:rFonts w:cs="Arial"/>
                <w:sz w:val="20"/>
                <w:lang w:eastAsia="en-US"/>
              </w:rPr>
            </w:pPr>
            <w:r w:rsidRPr="00667A57">
              <w:rPr>
                <w:rFonts w:cs="Arial"/>
                <w:b/>
                <w:bCs/>
                <w:sz w:val="20"/>
                <w:lang w:eastAsia="en-US"/>
              </w:rPr>
              <w:t>5-Jahreberlebensrate in %</w:t>
            </w:r>
          </w:p>
        </w:tc>
      </w:tr>
      <w:tr w:rsidR="00667A57" w:rsidRPr="00667A57" w14:paraId="4D122FE6" w14:textId="77777777" w:rsidTr="00E46F63">
        <w:trPr>
          <w:trHeight w:val="340"/>
        </w:trPr>
        <w:tc>
          <w:tcPr>
            <w:tcW w:w="1667" w:type="pct"/>
            <w:shd w:val="clear" w:color="auto" w:fill="EDEDED"/>
            <w:vAlign w:val="center"/>
          </w:tcPr>
          <w:p w14:paraId="5065CC5A" w14:textId="77777777" w:rsidR="00444F1E" w:rsidRPr="00667A57" w:rsidRDefault="00444F1E" w:rsidP="00444F1E">
            <w:pPr>
              <w:spacing w:line="240" w:lineRule="auto"/>
              <w:rPr>
                <w:rFonts w:cs="Arial"/>
                <w:sz w:val="20"/>
                <w:lang w:eastAsia="en-US"/>
              </w:rPr>
            </w:pPr>
            <w:r w:rsidRPr="00667A57">
              <w:rPr>
                <w:rFonts w:cs="Arial"/>
                <w:sz w:val="20"/>
                <w:lang w:eastAsia="en-US"/>
              </w:rPr>
              <w:t>0</w:t>
            </w:r>
          </w:p>
        </w:tc>
        <w:tc>
          <w:tcPr>
            <w:tcW w:w="1667" w:type="pct"/>
            <w:shd w:val="clear" w:color="auto" w:fill="EDEDED"/>
            <w:vAlign w:val="center"/>
          </w:tcPr>
          <w:p w14:paraId="6C5D6CD6" w14:textId="77777777" w:rsidR="00444F1E" w:rsidRPr="00667A57" w:rsidRDefault="00444F1E" w:rsidP="00444F1E">
            <w:pPr>
              <w:spacing w:line="240" w:lineRule="auto"/>
              <w:rPr>
                <w:rFonts w:cs="Arial"/>
                <w:sz w:val="20"/>
                <w:lang w:eastAsia="en-US"/>
              </w:rPr>
            </w:pPr>
            <w:r w:rsidRPr="00667A57">
              <w:rPr>
                <w:rFonts w:cs="Arial"/>
                <w:sz w:val="20"/>
                <w:lang w:eastAsia="en-US"/>
              </w:rPr>
              <w:t>niedrig</w:t>
            </w:r>
          </w:p>
        </w:tc>
        <w:tc>
          <w:tcPr>
            <w:tcW w:w="1666" w:type="pct"/>
            <w:shd w:val="clear" w:color="auto" w:fill="EDEDED"/>
            <w:vAlign w:val="center"/>
          </w:tcPr>
          <w:p w14:paraId="57254D45" w14:textId="77777777" w:rsidR="00444F1E" w:rsidRPr="00667A57" w:rsidRDefault="00444F1E" w:rsidP="00444F1E">
            <w:pPr>
              <w:spacing w:line="240" w:lineRule="auto"/>
              <w:rPr>
                <w:rFonts w:cs="Arial"/>
                <w:sz w:val="20"/>
                <w:lang w:eastAsia="en-US"/>
              </w:rPr>
            </w:pPr>
            <w:r w:rsidRPr="00667A57">
              <w:rPr>
                <w:rFonts w:cs="Arial"/>
                <w:sz w:val="20"/>
                <w:lang w:eastAsia="en-US"/>
              </w:rPr>
              <w:t>60 – 75</w:t>
            </w:r>
          </w:p>
        </w:tc>
      </w:tr>
      <w:tr w:rsidR="00667A57" w:rsidRPr="00667A57" w14:paraId="5E482A9F" w14:textId="77777777" w:rsidTr="00E46F63">
        <w:trPr>
          <w:trHeight w:val="340"/>
        </w:trPr>
        <w:tc>
          <w:tcPr>
            <w:tcW w:w="1667" w:type="pct"/>
            <w:shd w:val="clear" w:color="auto" w:fill="EDEDED"/>
            <w:vAlign w:val="center"/>
          </w:tcPr>
          <w:p w14:paraId="4DC4709B" w14:textId="77777777" w:rsidR="00444F1E" w:rsidRPr="00667A57" w:rsidRDefault="00444F1E" w:rsidP="00444F1E">
            <w:pPr>
              <w:spacing w:line="240" w:lineRule="auto"/>
              <w:rPr>
                <w:rFonts w:cs="Arial"/>
                <w:sz w:val="20"/>
                <w:lang w:eastAsia="en-US"/>
              </w:rPr>
            </w:pPr>
            <w:r w:rsidRPr="00667A57">
              <w:rPr>
                <w:rFonts w:cs="Arial"/>
                <w:sz w:val="20"/>
                <w:lang w:eastAsia="en-US"/>
              </w:rPr>
              <w:t>1 – 2</w:t>
            </w:r>
          </w:p>
        </w:tc>
        <w:tc>
          <w:tcPr>
            <w:tcW w:w="1667" w:type="pct"/>
            <w:shd w:val="clear" w:color="auto" w:fill="EDEDED"/>
            <w:vAlign w:val="center"/>
          </w:tcPr>
          <w:p w14:paraId="0420D349" w14:textId="77777777" w:rsidR="00444F1E" w:rsidRPr="00667A57" w:rsidRDefault="00444F1E" w:rsidP="00444F1E">
            <w:pPr>
              <w:spacing w:line="240" w:lineRule="auto"/>
              <w:rPr>
                <w:rFonts w:cs="Arial"/>
                <w:sz w:val="20"/>
                <w:lang w:eastAsia="en-US"/>
              </w:rPr>
            </w:pPr>
            <w:r w:rsidRPr="00667A57">
              <w:rPr>
                <w:rFonts w:cs="Arial"/>
                <w:sz w:val="20"/>
                <w:lang w:eastAsia="en-US"/>
              </w:rPr>
              <w:t>intermediär</w:t>
            </w:r>
          </w:p>
        </w:tc>
        <w:tc>
          <w:tcPr>
            <w:tcW w:w="1666" w:type="pct"/>
            <w:shd w:val="clear" w:color="auto" w:fill="EDEDED"/>
            <w:vAlign w:val="center"/>
          </w:tcPr>
          <w:p w14:paraId="7A565D59" w14:textId="77777777" w:rsidR="00444F1E" w:rsidRPr="00667A57" w:rsidRDefault="00444F1E" w:rsidP="00444F1E">
            <w:pPr>
              <w:spacing w:line="240" w:lineRule="auto"/>
              <w:rPr>
                <w:rFonts w:cs="Arial"/>
                <w:sz w:val="20"/>
                <w:lang w:eastAsia="en-US"/>
              </w:rPr>
            </w:pPr>
            <w:r w:rsidRPr="00667A57">
              <w:rPr>
                <w:rFonts w:cs="Arial"/>
                <w:sz w:val="20"/>
                <w:lang w:eastAsia="en-US"/>
              </w:rPr>
              <w:t>40 – 45</w:t>
            </w:r>
          </w:p>
        </w:tc>
      </w:tr>
      <w:tr w:rsidR="00667A57" w:rsidRPr="00667A57" w14:paraId="03CEFF5D" w14:textId="77777777" w:rsidTr="00E46F63">
        <w:trPr>
          <w:trHeight w:val="340"/>
        </w:trPr>
        <w:tc>
          <w:tcPr>
            <w:tcW w:w="1667" w:type="pct"/>
            <w:shd w:val="clear" w:color="auto" w:fill="EDEDED"/>
            <w:vAlign w:val="center"/>
          </w:tcPr>
          <w:p w14:paraId="11980961" w14:textId="77777777" w:rsidR="00444F1E" w:rsidRPr="00667A57" w:rsidRDefault="00444F1E" w:rsidP="00444F1E">
            <w:pPr>
              <w:spacing w:line="240" w:lineRule="auto"/>
              <w:rPr>
                <w:rFonts w:cs="Arial"/>
                <w:sz w:val="20"/>
                <w:lang w:eastAsia="en-US"/>
              </w:rPr>
            </w:pPr>
            <w:r w:rsidRPr="00667A57">
              <w:rPr>
                <w:rFonts w:cs="Arial"/>
                <w:sz w:val="20"/>
                <w:lang w:eastAsia="en-US"/>
              </w:rPr>
              <w:t>3 – 5</w:t>
            </w:r>
          </w:p>
        </w:tc>
        <w:tc>
          <w:tcPr>
            <w:tcW w:w="1667" w:type="pct"/>
            <w:shd w:val="clear" w:color="auto" w:fill="EDEDED"/>
            <w:vAlign w:val="center"/>
          </w:tcPr>
          <w:p w14:paraId="10AC8C22" w14:textId="77777777" w:rsidR="00444F1E" w:rsidRPr="00667A57" w:rsidRDefault="00444F1E" w:rsidP="00444F1E">
            <w:pPr>
              <w:spacing w:line="240" w:lineRule="auto"/>
              <w:rPr>
                <w:rFonts w:cs="Arial"/>
                <w:sz w:val="20"/>
                <w:lang w:eastAsia="en-US"/>
              </w:rPr>
            </w:pPr>
            <w:r w:rsidRPr="00667A57">
              <w:rPr>
                <w:rFonts w:cs="Arial"/>
                <w:sz w:val="20"/>
                <w:lang w:eastAsia="en-US"/>
              </w:rPr>
              <w:t>hoch</w:t>
            </w:r>
          </w:p>
        </w:tc>
        <w:tc>
          <w:tcPr>
            <w:tcW w:w="1666" w:type="pct"/>
            <w:shd w:val="clear" w:color="auto" w:fill="EDEDED"/>
            <w:vAlign w:val="center"/>
          </w:tcPr>
          <w:p w14:paraId="4688A92D" w14:textId="77777777" w:rsidR="00444F1E" w:rsidRPr="00667A57" w:rsidRDefault="00444F1E" w:rsidP="00444F1E">
            <w:pPr>
              <w:spacing w:line="240" w:lineRule="auto"/>
              <w:rPr>
                <w:rFonts w:cs="Arial"/>
                <w:sz w:val="20"/>
                <w:lang w:eastAsia="en-US"/>
              </w:rPr>
            </w:pPr>
            <w:r w:rsidRPr="00667A57">
              <w:rPr>
                <w:rFonts w:cs="Arial"/>
                <w:sz w:val="20"/>
                <w:lang w:eastAsia="en-US"/>
              </w:rPr>
              <w:t>15 – 30</w:t>
            </w:r>
          </w:p>
        </w:tc>
      </w:tr>
    </w:tbl>
    <w:p w14:paraId="3727485C" w14:textId="77777777" w:rsidR="00444F1E" w:rsidRPr="00667A57" w:rsidRDefault="00444F1E" w:rsidP="00444F1E">
      <w:pPr>
        <w:autoSpaceDE w:val="0"/>
        <w:autoSpaceDN w:val="0"/>
        <w:adjustRightInd w:val="0"/>
        <w:spacing w:after="160" w:line="276" w:lineRule="auto"/>
        <w:contextualSpacing/>
        <w:jc w:val="left"/>
        <w:rPr>
          <w:rFonts w:ascii="Calibri" w:eastAsia="Calibri" w:hAnsi="Calibri" w:cs="Calibri"/>
          <w:szCs w:val="22"/>
          <w:lang w:eastAsia="en-US"/>
        </w:rPr>
      </w:pPr>
    </w:p>
    <w:p w14:paraId="790FC663" w14:textId="77777777" w:rsidR="00E30549" w:rsidRDefault="00B973F2" w:rsidP="00E30549">
      <w:pPr>
        <w:pStyle w:val="berschrift3"/>
        <w:ind w:left="705" w:hanging="705"/>
        <w:rPr>
          <w:lang w:val="de-DE" w:eastAsia="de-AT"/>
        </w:rPr>
      </w:pPr>
      <w:bookmarkStart w:id="46" w:name="_Toc93523292"/>
      <w:r>
        <w:rPr>
          <w:lang w:val="de-DE" w:eastAsia="de-AT"/>
        </w:rPr>
        <w:lastRenderedPageBreak/>
        <w:t>3.2.</w:t>
      </w:r>
      <w:r w:rsidR="00A51D11">
        <w:rPr>
          <w:lang w:val="de-DE" w:eastAsia="de-AT"/>
        </w:rPr>
        <w:t>5</w:t>
      </w:r>
      <w:r>
        <w:rPr>
          <w:lang w:val="de-DE" w:eastAsia="de-AT"/>
        </w:rPr>
        <w:tab/>
      </w:r>
      <w:r w:rsidRPr="00B973F2">
        <w:rPr>
          <w:lang w:val="de-DE" w:eastAsia="de-AT"/>
        </w:rPr>
        <w:t>Colonkarzinom</w:t>
      </w:r>
      <w:r w:rsidR="00870426">
        <w:rPr>
          <w:lang w:val="de-DE" w:eastAsia="de-AT"/>
        </w:rPr>
        <w:t xml:space="preserve"> metastasiert, Ziel: Zytoreduktion</w:t>
      </w:r>
      <w:bookmarkEnd w:id="46"/>
    </w:p>
    <w:p w14:paraId="6D3AC36A" w14:textId="77777777" w:rsidR="0069468E" w:rsidRPr="0069468E" w:rsidRDefault="008015F8" w:rsidP="0069468E">
      <w:pPr>
        <w:jc w:val="both"/>
        <w:rPr>
          <w:lang w:val="de-DE" w:eastAsia="de-AT"/>
        </w:rPr>
      </w:pPr>
      <w:r>
        <w:rPr>
          <w:noProof/>
          <w:lang w:eastAsia="de-AT"/>
        </w:rPr>
        <w:drawing>
          <wp:inline distT="0" distB="0" distL="0" distR="0" wp14:anchorId="570E3529" wp14:editId="571A4594">
            <wp:extent cx="5957570" cy="8495030"/>
            <wp:effectExtent l="0" t="0" r="5080" b="1270"/>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7570" cy="8495030"/>
                    </a:xfrm>
                    <a:prstGeom prst="rect">
                      <a:avLst/>
                    </a:prstGeom>
                    <a:noFill/>
                    <a:ln>
                      <a:noFill/>
                    </a:ln>
                  </pic:spPr>
                </pic:pic>
              </a:graphicData>
            </a:graphic>
          </wp:inline>
        </w:drawing>
      </w:r>
    </w:p>
    <w:p w14:paraId="0267B8AA" w14:textId="77777777" w:rsidR="006C0CAD" w:rsidRDefault="00A5769C" w:rsidP="00870426">
      <w:pPr>
        <w:pStyle w:val="berschrift3"/>
        <w:ind w:left="705" w:hanging="705"/>
        <w:rPr>
          <w:lang w:val="de-DE" w:eastAsia="de-AT"/>
        </w:rPr>
      </w:pPr>
      <w:bookmarkStart w:id="47" w:name="_Toc93523293"/>
      <w:r>
        <w:rPr>
          <w:lang w:val="de-DE" w:eastAsia="de-AT"/>
        </w:rPr>
        <w:lastRenderedPageBreak/>
        <w:t>3.2.</w:t>
      </w:r>
      <w:r w:rsidR="00A51D11">
        <w:rPr>
          <w:lang w:val="de-DE" w:eastAsia="de-AT"/>
        </w:rPr>
        <w:t>6</w:t>
      </w:r>
      <w:r>
        <w:rPr>
          <w:lang w:val="de-DE" w:eastAsia="de-AT"/>
        </w:rPr>
        <w:tab/>
        <w:t xml:space="preserve">Colonkarzinom metastasiert, </w:t>
      </w:r>
      <w:r w:rsidR="001A1DF8">
        <w:rPr>
          <w:lang w:val="de-DE" w:eastAsia="de-AT"/>
        </w:rPr>
        <w:t>Ziel: Krankheitskontrolle</w:t>
      </w:r>
      <w:bookmarkEnd w:id="47"/>
    </w:p>
    <w:p w14:paraId="60240EAC" w14:textId="77777777" w:rsidR="00870426" w:rsidRPr="00870426" w:rsidRDefault="008015F8" w:rsidP="00870426">
      <w:pPr>
        <w:jc w:val="left"/>
        <w:rPr>
          <w:lang w:val="de-DE" w:eastAsia="de-AT"/>
        </w:rPr>
      </w:pPr>
      <w:r>
        <w:rPr>
          <w:noProof/>
          <w:lang w:eastAsia="de-AT"/>
        </w:rPr>
        <w:drawing>
          <wp:inline distT="0" distB="0" distL="0" distR="0" wp14:anchorId="25EC16E2" wp14:editId="6D36A6F4">
            <wp:extent cx="5957570" cy="8495030"/>
            <wp:effectExtent l="0" t="0" r="5080" b="1270"/>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570" cy="8495030"/>
                    </a:xfrm>
                    <a:prstGeom prst="rect">
                      <a:avLst/>
                    </a:prstGeom>
                    <a:noFill/>
                    <a:ln>
                      <a:noFill/>
                    </a:ln>
                  </pic:spPr>
                </pic:pic>
              </a:graphicData>
            </a:graphic>
          </wp:inline>
        </w:drawing>
      </w:r>
    </w:p>
    <w:p w14:paraId="6253D02D" w14:textId="77777777" w:rsidR="00065BA4" w:rsidRDefault="00065BA4" w:rsidP="00C41E7B">
      <w:pPr>
        <w:pStyle w:val="berschrift3"/>
        <w:rPr>
          <w:lang w:val="de-DE" w:eastAsia="de-AT"/>
        </w:rPr>
      </w:pPr>
      <w:bookmarkStart w:id="48" w:name="_Toc93523294"/>
      <w:r>
        <w:rPr>
          <w:lang w:val="de-DE" w:eastAsia="de-AT"/>
        </w:rPr>
        <w:lastRenderedPageBreak/>
        <w:t>3.2.</w:t>
      </w:r>
      <w:r w:rsidR="00A51D11">
        <w:rPr>
          <w:lang w:val="de-DE" w:eastAsia="de-AT"/>
        </w:rPr>
        <w:t>7</w:t>
      </w:r>
      <w:r>
        <w:rPr>
          <w:lang w:val="de-DE" w:eastAsia="de-AT"/>
        </w:rPr>
        <w:tab/>
        <w:t>Indikationen für Umstellung auf Zweitlinientherapie</w:t>
      </w:r>
      <w:bookmarkEnd w:id="48"/>
    </w:p>
    <w:p w14:paraId="44662A36" w14:textId="77777777" w:rsidR="00065BA4" w:rsidRDefault="00065BA4" w:rsidP="00065BA4">
      <w:pPr>
        <w:rPr>
          <w:lang w:val="de-DE" w:eastAsia="de-AT"/>
        </w:rPr>
      </w:pPr>
      <w:r>
        <w:rPr>
          <w:noProof/>
          <w:lang w:eastAsia="de-AT"/>
        </w:rPr>
        <w:drawing>
          <wp:inline distT="0" distB="0" distL="0" distR="0" wp14:anchorId="64AFCA16" wp14:editId="46E89A1D">
            <wp:extent cx="5661660" cy="3101340"/>
            <wp:effectExtent l="0" t="0" r="0" b="3810"/>
            <wp:docPr id="9" name="Grafik 9" descr="C:\Users\Michi\AppData\Local\Microsoft\Windows\INetCacheContent.Word\Indikationen für Zweitlinienthera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i\AppData\Local\Microsoft\Windows\INetCacheContent.Word\Indikationen für Zweitlinientherap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660" cy="3101340"/>
                    </a:xfrm>
                    <a:prstGeom prst="rect">
                      <a:avLst/>
                    </a:prstGeom>
                    <a:noFill/>
                    <a:ln>
                      <a:noFill/>
                    </a:ln>
                  </pic:spPr>
                </pic:pic>
              </a:graphicData>
            </a:graphic>
          </wp:inline>
        </w:drawing>
      </w:r>
    </w:p>
    <w:p w14:paraId="1E6E279F" w14:textId="77777777" w:rsidR="00065BA4" w:rsidRPr="00065BA4" w:rsidRDefault="00065BA4" w:rsidP="00065BA4">
      <w:pPr>
        <w:rPr>
          <w:lang w:val="de-DE" w:eastAsia="de-AT"/>
        </w:rPr>
      </w:pPr>
    </w:p>
    <w:p w14:paraId="02F2B59D" w14:textId="77777777" w:rsidR="00C41E7B" w:rsidRDefault="001A1DF8" w:rsidP="00C41E7B">
      <w:pPr>
        <w:pStyle w:val="berschrift3"/>
        <w:rPr>
          <w:lang w:val="de-DE" w:eastAsia="de-AT"/>
        </w:rPr>
      </w:pPr>
      <w:bookmarkStart w:id="49" w:name="_Toc93523295"/>
      <w:r>
        <w:rPr>
          <w:noProof/>
          <w:lang w:eastAsia="de-AT"/>
        </w:rPr>
        <w:drawing>
          <wp:anchor distT="0" distB="0" distL="114300" distR="114300" simplePos="0" relativeHeight="251652608" behindDoc="0" locked="0" layoutInCell="1" allowOverlap="1" wp14:anchorId="646D287E" wp14:editId="4AB7616F">
            <wp:simplePos x="0" y="0"/>
            <wp:positionH relativeFrom="margin">
              <wp:posOffset>981710</wp:posOffset>
            </wp:positionH>
            <wp:positionV relativeFrom="paragraph">
              <wp:posOffset>383540</wp:posOffset>
            </wp:positionV>
            <wp:extent cx="4282440" cy="4450080"/>
            <wp:effectExtent l="0" t="0" r="3810" b="7620"/>
            <wp:wrapTopAndBottom/>
            <wp:docPr id="24" name="Grafik 24" descr="C:\Users\Michi\AppData\Local\Microsoft\Windows\INetCacheContent.Word\Oligometastasi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i\AppData\Local\Microsoft\Windows\INetCacheContent.Word\Oligometastasieru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2440" cy="4450080"/>
                    </a:xfrm>
                    <a:prstGeom prst="rect">
                      <a:avLst/>
                    </a:prstGeom>
                    <a:noFill/>
                    <a:ln>
                      <a:noFill/>
                    </a:ln>
                  </pic:spPr>
                </pic:pic>
              </a:graphicData>
            </a:graphic>
          </wp:anchor>
        </w:drawing>
      </w:r>
      <w:r w:rsidR="00065BA4">
        <w:rPr>
          <w:lang w:val="de-DE" w:eastAsia="de-AT"/>
        </w:rPr>
        <w:t>3.2.</w:t>
      </w:r>
      <w:r w:rsidR="00A51D11">
        <w:rPr>
          <w:lang w:val="de-DE" w:eastAsia="de-AT"/>
        </w:rPr>
        <w:t>8</w:t>
      </w:r>
      <w:r w:rsidR="00C41E7B">
        <w:rPr>
          <w:lang w:val="de-DE" w:eastAsia="de-AT"/>
        </w:rPr>
        <w:tab/>
      </w:r>
      <w:r>
        <w:rPr>
          <w:lang w:val="de-DE" w:eastAsia="de-AT"/>
        </w:rPr>
        <w:t>Oligometastasiertes CRC</w:t>
      </w:r>
      <w:bookmarkEnd w:id="49"/>
    </w:p>
    <w:p w14:paraId="342DFA03" w14:textId="77777777" w:rsidR="00C41E7B" w:rsidRDefault="001A1DF8" w:rsidP="001F2BEC">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r>
    </w:p>
    <w:p w14:paraId="62DD24D9" w14:textId="77777777" w:rsidR="001A1DF8" w:rsidRPr="001A1DF8" w:rsidRDefault="001A1DF8" w:rsidP="001A1DF8">
      <w:pPr>
        <w:keepNext/>
        <w:spacing w:before="240" w:after="60"/>
        <w:ind w:left="705" w:hanging="705"/>
        <w:jc w:val="left"/>
        <w:outlineLvl w:val="1"/>
        <w:rPr>
          <w:rFonts w:cs="Arial"/>
          <w:b/>
          <w:bCs/>
          <w:i/>
          <w:iCs/>
          <w:sz w:val="24"/>
          <w:szCs w:val="24"/>
          <w:lang w:val="de-DE" w:eastAsia="de-AT"/>
        </w:rPr>
      </w:pPr>
      <w:bookmarkStart w:id="50" w:name="_Toc93523296"/>
      <w:r>
        <w:rPr>
          <w:rFonts w:cs="Arial"/>
          <w:b/>
          <w:bCs/>
          <w:i/>
          <w:iCs/>
          <w:sz w:val="24"/>
          <w:szCs w:val="24"/>
          <w:lang w:val="de-DE" w:eastAsia="de-AT"/>
        </w:rPr>
        <w:lastRenderedPageBreak/>
        <w:t>3.3</w:t>
      </w:r>
      <w:r>
        <w:rPr>
          <w:rFonts w:cs="Arial"/>
          <w:b/>
          <w:bCs/>
          <w:i/>
          <w:iCs/>
          <w:sz w:val="24"/>
          <w:szCs w:val="24"/>
          <w:lang w:val="de-DE" w:eastAsia="de-AT"/>
        </w:rPr>
        <w:tab/>
      </w:r>
      <w:r w:rsidRPr="001A1DF8">
        <w:rPr>
          <w:rFonts w:cs="Arial"/>
          <w:b/>
          <w:bCs/>
          <w:i/>
          <w:iCs/>
          <w:sz w:val="24"/>
          <w:szCs w:val="24"/>
          <w:lang w:val="de-DE" w:eastAsia="de-AT"/>
        </w:rPr>
        <w:t>Lokal</w:t>
      </w:r>
      <w:r w:rsidR="00BE1E71">
        <w:rPr>
          <w:rFonts w:cs="Arial"/>
          <w:b/>
          <w:bCs/>
          <w:i/>
          <w:iCs/>
          <w:sz w:val="24"/>
          <w:szCs w:val="24"/>
          <w:lang w:val="de-DE" w:eastAsia="de-AT"/>
        </w:rPr>
        <w:t>a</w:t>
      </w:r>
      <w:r w:rsidRPr="001A1DF8">
        <w:rPr>
          <w:rFonts w:cs="Arial"/>
          <w:b/>
          <w:bCs/>
          <w:i/>
          <w:iCs/>
          <w:sz w:val="24"/>
          <w:szCs w:val="24"/>
          <w:lang w:val="de-DE" w:eastAsia="de-AT"/>
        </w:rPr>
        <w:t>blative Therapien</w:t>
      </w:r>
      <w:bookmarkEnd w:id="50"/>
    </w:p>
    <w:p w14:paraId="58DB8EEB" w14:textId="77777777" w:rsidR="001A1DF8" w:rsidRPr="001A1DF8" w:rsidRDefault="001A1DF8" w:rsidP="001A1DF8">
      <w:pPr>
        <w:autoSpaceDE w:val="0"/>
        <w:autoSpaceDN w:val="0"/>
        <w:adjustRightInd w:val="0"/>
        <w:spacing w:line="288" w:lineRule="auto"/>
        <w:jc w:val="left"/>
        <w:rPr>
          <w:rFonts w:eastAsia="Calibri" w:cs="Arial"/>
          <w:b/>
          <w:color w:val="000000"/>
          <w:szCs w:val="22"/>
          <w:lang w:eastAsia="en-US"/>
        </w:rPr>
      </w:pPr>
      <w:r>
        <w:rPr>
          <w:rFonts w:eastAsia="Calibri" w:cs="Arial"/>
          <w:b/>
          <w:color w:val="000000"/>
          <w:szCs w:val="22"/>
          <w:lang w:eastAsia="en-US"/>
        </w:rPr>
        <w:t>3.3</w:t>
      </w:r>
      <w:r w:rsidRPr="001A1DF8">
        <w:rPr>
          <w:rFonts w:eastAsia="Calibri" w:cs="Arial"/>
          <w:b/>
          <w:color w:val="000000"/>
          <w:szCs w:val="22"/>
          <w:lang w:eastAsia="en-US"/>
        </w:rPr>
        <w:t>.1</w:t>
      </w:r>
      <w:r w:rsidRPr="001A1DF8">
        <w:rPr>
          <w:rFonts w:eastAsia="Calibri" w:cs="Arial"/>
          <w:b/>
          <w:color w:val="000000"/>
          <w:szCs w:val="22"/>
          <w:lang w:eastAsia="en-US"/>
        </w:rPr>
        <w:tab/>
        <w:t>RFA – Radiofrequenzablation:</w:t>
      </w:r>
    </w:p>
    <w:p w14:paraId="7A06B166" w14:textId="77777777" w:rsidR="001A1DF8" w:rsidRPr="001A1DF8" w:rsidRDefault="001A1DF8" w:rsidP="000B1AD6">
      <w:pPr>
        <w:numPr>
          <w:ilvl w:val="0"/>
          <w:numId w:val="6"/>
        </w:numPr>
        <w:autoSpaceDE w:val="0"/>
        <w:autoSpaceDN w:val="0"/>
        <w:adjustRightInd w:val="0"/>
        <w:spacing w:line="288" w:lineRule="auto"/>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bei Lebermetasen beste Ergebnisse bei DM bis 3cm (max. 5cm)</w:t>
      </w:r>
    </w:p>
    <w:p w14:paraId="6DD082B3" w14:textId="77777777" w:rsidR="001A1DF8" w:rsidRPr="001A1DF8" w:rsidRDefault="001A1DF8" w:rsidP="000B1AD6">
      <w:pPr>
        <w:numPr>
          <w:ilvl w:val="0"/>
          <w:numId w:val="6"/>
        </w:numPr>
        <w:autoSpaceDE w:val="0"/>
        <w:autoSpaceDN w:val="0"/>
        <w:adjustRightInd w:val="0"/>
        <w:spacing w:line="288" w:lineRule="auto"/>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lokale Tumorkontoll-Raten um 80%</w:t>
      </w:r>
    </w:p>
    <w:p w14:paraId="7332F58D" w14:textId="77777777" w:rsidR="001A1DF8" w:rsidRPr="001A1DF8" w:rsidRDefault="001A1DF8" w:rsidP="000B1AD6">
      <w:pPr>
        <w:numPr>
          <w:ilvl w:val="0"/>
          <w:numId w:val="6"/>
        </w:numPr>
        <w:autoSpaceDE w:val="0"/>
        <w:autoSpaceDN w:val="0"/>
        <w:adjustRightInd w:val="0"/>
        <w:spacing w:line="288" w:lineRule="auto"/>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schlechtere Effektivität in der Nähe großer Gefäße (Heat-sink-Effekt)</w:t>
      </w:r>
    </w:p>
    <w:p w14:paraId="05030B0D" w14:textId="77777777" w:rsidR="001A1DF8" w:rsidRPr="001A1DF8" w:rsidRDefault="001A1DF8" w:rsidP="000B1AD6">
      <w:pPr>
        <w:numPr>
          <w:ilvl w:val="0"/>
          <w:numId w:val="6"/>
        </w:numPr>
        <w:autoSpaceDE w:val="0"/>
        <w:autoSpaceDN w:val="0"/>
        <w:adjustRightInd w:val="0"/>
        <w:spacing w:line="288" w:lineRule="auto"/>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 xml:space="preserve">CLOCC-Sudie: inoperable Lebermetastasen (&lt; 10 mit max. DM 4cm), Chemotherapie (FOLFOX) </w:t>
      </w:r>
      <w:r w:rsidR="000872EE">
        <w:rPr>
          <w:rFonts w:ascii="Calibri" w:eastAsia="Calibri" w:hAnsi="Calibri" w:cs="Calibri"/>
          <w:color w:val="000000"/>
          <w:szCs w:val="22"/>
          <w:lang w:eastAsia="en-US"/>
        </w:rPr>
        <w:br/>
      </w:r>
      <w:r w:rsidRPr="001A1DF8">
        <w:rPr>
          <w:rFonts w:ascii="Calibri" w:eastAsia="Calibri" w:hAnsi="Calibri" w:cs="Calibri"/>
          <w:color w:val="000000"/>
          <w:szCs w:val="22"/>
          <w:lang w:eastAsia="en-US"/>
        </w:rPr>
        <w:t>+/- RFA</w:t>
      </w:r>
    </w:p>
    <w:p w14:paraId="60CBA9B1" w14:textId="77777777" w:rsidR="001A1DF8" w:rsidRPr="001A1DF8" w:rsidRDefault="001A1DF8" w:rsidP="000872EE">
      <w:pPr>
        <w:autoSpaceDE w:val="0"/>
        <w:autoSpaceDN w:val="0"/>
        <w:adjustRightInd w:val="0"/>
        <w:spacing w:line="288" w:lineRule="auto"/>
        <w:ind w:left="360"/>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Medianes OS 45,6 Mo (CT + RFA) vs. 40,5 Mo (CT), 8-Jahres-ÜL 35,9% (CT + RFA) vs. 8,9% (CT)</w:t>
      </w:r>
    </w:p>
    <w:p w14:paraId="0039DF72" w14:textId="77777777" w:rsidR="000872EE" w:rsidRDefault="001A1DF8" w:rsidP="000B1AD6">
      <w:pPr>
        <w:numPr>
          <w:ilvl w:val="0"/>
          <w:numId w:val="6"/>
        </w:numPr>
        <w:autoSpaceDE w:val="0"/>
        <w:autoSpaceDN w:val="0"/>
        <w:adjustRightInd w:val="0"/>
        <w:spacing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Verfügbarkeit</w:t>
      </w:r>
      <w:r w:rsidRPr="000225FC">
        <w:rPr>
          <w:rFonts w:ascii="Calibri" w:eastAsia="Calibri" w:hAnsi="Calibri" w:cs="Calibri"/>
          <w:szCs w:val="22"/>
          <w:lang w:eastAsia="en-US"/>
        </w:rPr>
        <w:t xml:space="preserve">: </w:t>
      </w:r>
      <w:bookmarkStart w:id="51" w:name="_Hlk23618710"/>
      <w:r w:rsidR="0090443B">
        <w:rPr>
          <w:rFonts w:ascii="Calibri" w:eastAsia="Calibri" w:hAnsi="Calibri" w:cs="Calibri"/>
          <w:szCs w:val="22"/>
          <w:lang w:eastAsia="en-US"/>
        </w:rPr>
        <w:t>OKL BHS</w:t>
      </w:r>
      <w:r w:rsidR="00C155C8" w:rsidRPr="000225FC">
        <w:rPr>
          <w:rFonts w:ascii="Calibri" w:eastAsia="Calibri" w:hAnsi="Calibri" w:cs="Calibri"/>
          <w:szCs w:val="22"/>
          <w:lang w:eastAsia="en-US"/>
        </w:rPr>
        <w:t xml:space="preserve">, </w:t>
      </w:r>
      <w:bookmarkEnd w:id="51"/>
      <w:r w:rsidR="0090443B">
        <w:rPr>
          <w:rFonts w:ascii="Calibri" w:eastAsia="Calibri" w:hAnsi="Calibri" w:cs="Calibri"/>
          <w:szCs w:val="22"/>
          <w:lang w:eastAsia="en-US"/>
        </w:rPr>
        <w:t>OKL Eli</w:t>
      </w:r>
      <w:r w:rsidRPr="000225FC">
        <w:rPr>
          <w:rFonts w:ascii="Calibri" w:eastAsia="Calibri" w:hAnsi="Calibri" w:cs="Calibri"/>
          <w:szCs w:val="22"/>
          <w:lang w:eastAsia="en-US"/>
        </w:rPr>
        <w:t xml:space="preserve">, </w:t>
      </w:r>
      <w:r w:rsidR="0090443B">
        <w:rPr>
          <w:rFonts w:ascii="Calibri" w:eastAsia="Calibri" w:hAnsi="Calibri" w:cs="Calibri"/>
          <w:szCs w:val="22"/>
          <w:lang w:eastAsia="en-US"/>
        </w:rPr>
        <w:t>PEK</w:t>
      </w:r>
      <w:r w:rsidRPr="000225FC">
        <w:rPr>
          <w:rFonts w:ascii="Calibri" w:eastAsia="Calibri" w:hAnsi="Calibri" w:cs="Calibri"/>
          <w:szCs w:val="22"/>
          <w:lang w:eastAsia="en-US"/>
        </w:rPr>
        <w:t xml:space="preserve"> </w:t>
      </w:r>
      <w:r w:rsidRPr="001A1DF8">
        <w:rPr>
          <w:rFonts w:ascii="Calibri" w:eastAsia="Calibri" w:hAnsi="Calibri" w:cs="Calibri"/>
          <w:color w:val="000000"/>
          <w:szCs w:val="22"/>
          <w:lang w:eastAsia="en-US"/>
        </w:rPr>
        <w:t xml:space="preserve">Steyr, </w:t>
      </w:r>
      <w:bookmarkStart w:id="52" w:name="_Hlk529732869"/>
      <w:r w:rsidRPr="001A1DF8">
        <w:rPr>
          <w:rFonts w:ascii="Calibri" w:eastAsia="Calibri" w:hAnsi="Calibri" w:cs="Calibri"/>
          <w:color w:val="000000"/>
          <w:szCs w:val="22"/>
          <w:lang w:eastAsia="en-US"/>
        </w:rPr>
        <w:t>SK Vöcklabruck</w:t>
      </w:r>
      <w:bookmarkEnd w:id="52"/>
      <w:r w:rsidR="0090443B">
        <w:rPr>
          <w:rFonts w:ascii="Calibri" w:eastAsia="Calibri" w:hAnsi="Calibri" w:cs="Calibri"/>
          <w:color w:val="000000"/>
          <w:szCs w:val="22"/>
          <w:lang w:eastAsia="en-US"/>
        </w:rPr>
        <w:t>, KH Ried</w:t>
      </w:r>
    </w:p>
    <w:p w14:paraId="473DBA5B" w14:textId="77777777" w:rsidR="000872EE" w:rsidRPr="000872EE" w:rsidRDefault="000872EE" w:rsidP="000872EE">
      <w:pPr>
        <w:autoSpaceDE w:val="0"/>
        <w:autoSpaceDN w:val="0"/>
        <w:adjustRightInd w:val="0"/>
        <w:spacing w:line="288" w:lineRule="auto"/>
        <w:contextualSpacing/>
        <w:jc w:val="left"/>
        <w:rPr>
          <w:rFonts w:ascii="Calibri" w:eastAsia="Calibri" w:hAnsi="Calibri" w:cs="Calibri"/>
          <w:color w:val="000000"/>
          <w:szCs w:val="22"/>
          <w:lang w:eastAsia="en-US"/>
        </w:rPr>
      </w:pPr>
    </w:p>
    <w:p w14:paraId="262319C4" w14:textId="77777777" w:rsidR="001A1DF8" w:rsidRPr="001A1DF8" w:rsidRDefault="001A1DF8" w:rsidP="001A1DF8">
      <w:pPr>
        <w:autoSpaceDE w:val="0"/>
        <w:autoSpaceDN w:val="0"/>
        <w:adjustRightInd w:val="0"/>
        <w:spacing w:line="288" w:lineRule="auto"/>
        <w:jc w:val="left"/>
        <w:rPr>
          <w:rFonts w:ascii="Calibri" w:eastAsia="Calibri" w:hAnsi="Calibri" w:cs="Calibri"/>
          <w:color w:val="000000"/>
          <w:szCs w:val="22"/>
          <w:lang w:eastAsia="en-US"/>
        </w:rPr>
      </w:pPr>
      <w:r>
        <w:rPr>
          <w:rFonts w:eastAsia="Calibri" w:cs="Arial"/>
          <w:b/>
          <w:color w:val="000000"/>
          <w:szCs w:val="22"/>
          <w:lang w:eastAsia="en-US"/>
        </w:rPr>
        <w:t>3.3.</w:t>
      </w:r>
      <w:r w:rsidRPr="001A1DF8">
        <w:rPr>
          <w:rFonts w:eastAsia="Calibri" w:cs="Arial"/>
          <w:b/>
          <w:color w:val="000000"/>
          <w:szCs w:val="22"/>
          <w:lang w:eastAsia="en-US"/>
        </w:rPr>
        <w:t>2</w:t>
      </w:r>
      <w:r w:rsidRPr="001A1DF8">
        <w:rPr>
          <w:rFonts w:eastAsia="Calibri" w:cs="Arial"/>
          <w:b/>
          <w:color w:val="000000"/>
          <w:szCs w:val="22"/>
          <w:lang w:eastAsia="en-US"/>
        </w:rPr>
        <w:tab/>
        <w:t>MWA – Mikrowellenablation:</w:t>
      </w:r>
    </w:p>
    <w:p w14:paraId="2BA03ADD" w14:textId="77777777" w:rsidR="001A1DF8" w:rsidRPr="001A1DF8" w:rsidRDefault="001A1DF8"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größeres Abla</w:t>
      </w:r>
      <w:r w:rsidR="000872EE">
        <w:rPr>
          <w:rFonts w:ascii="Calibri" w:eastAsia="Calibri" w:hAnsi="Calibri" w:cs="Calibri"/>
          <w:color w:val="000000"/>
          <w:szCs w:val="22"/>
          <w:lang w:eastAsia="en-US"/>
        </w:rPr>
        <w:t>tionsvolumen als RFA (max. DM 6cm</w:t>
      </w:r>
      <w:r w:rsidRPr="001A1DF8">
        <w:rPr>
          <w:rFonts w:ascii="Calibri" w:eastAsia="Calibri" w:hAnsi="Calibri" w:cs="Calibri"/>
          <w:color w:val="000000"/>
          <w:szCs w:val="22"/>
          <w:lang w:eastAsia="en-US"/>
        </w:rPr>
        <w:t>)</w:t>
      </w:r>
    </w:p>
    <w:p w14:paraId="3CFEEEC7" w14:textId="77777777" w:rsidR="001A1DF8" w:rsidRPr="001A1DF8" w:rsidRDefault="001A1DF8"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auch in der Nähe großer Gefäße wirksam</w:t>
      </w:r>
    </w:p>
    <w:p w14:paraId="1B1B0E81" w14:textId="77777777" w:rsidR="001A1DF8" w:rsidRPr="001A1DF8" w:rsidRDefault="001A1DF8"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bisher kein direkter Vergleich der Effekivität versus RFA</w:t>
      </w:r>
    </w:p>
    <w:p w14:paraId="780825E7" w14:textId="77777777" w:rsidR="000872EE" w:rsidRDefault="001A1DF8"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Verfügbarkeit</w:t>
      </w:r>
      <w:r w:rsidRPr="000225FC">
        <w:rPr>
          <w:rFonts w:ascii="Calibri" w:eastAsia="Calibri" w:hAnsi="Calibri" w:cs="Calibri"/>
          <w:szCs w:val="22"/>
          <w:lang w:eastAsia="en-US"/>
        </w:rPr>
        <w:t xml:space="preserve">: </w:t>
      </w:r>
      <w:r w:rsidR="0090443B" w:rsidRPr="0090443B">
        <w:rPr>
          <w:rFonts w:ascii="Calibri" w:eastAsia="Calibri" w:hAnsi="Calibri" w:cs="Calibri"/>
          <w:szCs w:val="22"/>
          <w:lang w:eastAsia="en-US"/>
        </w:rPr>
        <w:t>OKL BHS, OKL Eli, PEK Steyr, SK Vöcklabruck, KH Ried</w:t>
      </w:r>
    </w:p>
    <w:p w14:paraId="6BA31437" w14:textId="77777777" w:rsidR="000872EE" w:rsidRPr="000872EE" w:rsidRDefault="000872EE" w:rsidP="000872EE">
      <w:pPr>
        <w:autoSpaceDE w:val="0"/>
        <w:autoSpaceDN w:val="0"/>
        <w:adjustRightInd w:val="0"/>
        <w:spacing w:after="160" w:line="288" w:lineRule="auto"/>
        <w:contextualSpacing/>
        <w:jc w:val="left"/>
        <w:rPr>
          <w:rFonts w:ascii="Calibri" w:eastAsia="Calibri" w:hAnsi="Calibri" w:cs="Calibri"/>
          <w:color w:val="000000"/>
          <w:szCs w:val="22"/>
          <w:lang w:eastAsia="en-US"/>
        </w:rPr>
      </w:pPr>
    </w:p>
    <w:p w14:paraId="6A4B6136" w14:textId="77777777" w:rsidR="001A1DF8" w:rsidRPr="001A1DF8" w:rsidRDefault="001A1DF8" w:rsidP="001A1DF8">
      <w:pPr>
        <w:autoSpaceDE w:val="0"/>
        <w:autoSpaceDN w:val="0"/>
        <w:adjustRightInd w:val="0"/>
        <w:spacing w:line="288" w:lineRule="auto"/>
        <w:jc w:val="left"/>
        <w:rPr>
          <w:rFonts w:eastAsia="Calibri" w:cs="Arial"/>
          <w:b/>
          <w:color w:val="000000"/>
          <w:szCs w:val="22"/>
          <w:lang w:eastAsia="en-US"/>
        </w:rPr>
      </w:pPr>
      <w:r>
        <w:rPr>
          <w:rFonts w:eastAsia="Calibri" w:cs="Arial"/>
          <w:b/>
          <w:color w:val="000000"/>
          <w:szCs w:val="22"/>
          <w:lang w:eastAsia="en-US"/>
        </w:rPr>
        <w:t>3.3</w:t>
      </w:r>
      <w:r w:rsidRPr="001A1DF8">
        <w:rPr>
          <w:rFonts w:eastAsia="Calibri" w:cs="Arial"/>
          <w:b/>
          <w:color w:val="000000"/>
          <w:szCs w:val="22"/>
          <w:lang w:eastAsia="en-US"/>
        </w:rPr>
        <w:t>.3</w:t>
      </w:r>
      <w:r w:rsidRPr="001A1DF8">
        <w:rPr>
          <w:rFonts w:eastAsia="Calibri" w:cs="Arial"/>
          <w:b/>
          <w:color w:val="000000"/>
          <w:szCs w:val="22"/>
          <w:lang w:eastAsia="en-US"/>
        </w:rPr>
        <w:tab/>
        <w:t>TACE – Transarterielle Chemoembolisation:</w:t>
      </w:r>
    </w:p>
    <w:p w14:paraId="68DD4FB9" w14:textId="77777777" w:rsidR="001A1DF8" w:rsidRPr="001A1DF8" w:rsidRDefault="001A1DF8" w:rsidP="000B1AD6">
      <w:pPr>
        <w:numPr>
          <w:ilvl w:val="0"/>
          <w:numId w:val="3"/>
        </w:numPr>
        <w:spacing w:after="160" w:line="276" w:lineRule="auto"/>
        <w:ind w:left="426" w:hanging="426"/>
        <w:contextualSpacing/>
        <w:jc w:val="both"/>
        <w:rPr>
          <w:rFonts w:ascii="Calibri" w:hAnsi="Calibri" w:cs="Calibri"/>
        </w:rPr>
      </w:pPr>
      <w:r w:rsidRPr="001A1DF8">
        <w:rPr>
          <w:rFonts w:ascii="Calibri" w:eastAsia="Calibri" w:hAnsi="Calibri" w:cs="Calibri"/>
          <w:color w:val="000000"/>
          <w:szCs w:val="22"/>
          <w:lang w:eastAsia="en-US"/>
        </w:rPr>
        <w:t>z</w:t>
      </w:r>
      <w:r w:rsidRPr="001A1DF8">
        <w:rPr>
          <w:rFonts w:ascii="Calibri" w:hAnsi="Calibri" w:cs="Calibri"/>
        </w:rPr>
        <w:t>.B. DEBIRI-TACE - Drug Dluting Bead (DEB) in Verbindng mit Irinotecan</w:t>
      </w:r>
    </w:p>
    <w:p w14:paraId="0D4856C2" w14:textId="77777777" w:rsidR="001A1DF8" w:rsidRPr="001A1DF8" w:rsidRDefault="001A1DF8" w:rsidP="000B1AD6">
      <w:pPr>
        <w:numPr>
          <w:ilvl w:val="0"/>
          <w:numId w:val="3"/>
        </w:numPr>
        <w:spacing w:after="160" w:line="276" w:lineRule="auto"/>
        <w:ind w:left="426" w:hanging="426"/>
        <w:contextualSpacing/>
        <w:jc w:val="both"/>
        <w:rPr>
          <w:rFonts w:ascii="Calibri" w:hAnsi="Calibri" w:cs="Calibri"/>
        </w:rPr>
      </w:pPr>
      <w:r w:rsidRPr="001A1DF8">
        <w:rPr>
          <w:rFonts w:ascii="Calibri" w:hAnsi="Calibri" w:cs="Calibri"/>
        </w:rPr>
        <w:t>Voraussetzung: Tumorinfiltrationsgrad der Leber &lt; 60%</w:t>
      </w:r>
    </w:p>
    <w:p w14:paraId="2B350F31" w14:textId="77777777" w:rsidR="001A1DF8" w:rsidRPr="001A1DF8" w:rsidRDefault="00C85B79" w:rsidP="000B1AD6">
      <w:pPr>
        <w:numPr>
          <w:ilvl w:val="0"/>
          <w:numId w:val="3"/>
        </w:numPr>
        <w:spacing w:after="160" w:line="276" w:lineRule="auto"/>
        <w:ind w:left="426" w:hanging="426"/>
        <w:contextualSpacing/>
        <w:jc w:val="both"/>
        <w:rPr>
          <w:rFonts w:ascii="Calibri" w:hAnsi="Calibri" w:cs="Calibri"/>
        </w:rPr>
      </w:pPr>
      <w:r>
        <w:rPr>
          <w:rFonts w:ascii="Calibri" w:hAnsi="Calibri" w:cs="Calibri"/>
        </w:rPr>
        <w:t>je größer der nichthepatische</w:t>
      </w:r>
      <w:r w:rsidR="001A1DF8" w:rsidRPr="001A1DF8">
        <w:rPr>
          <w:rFonts w:ascii="Calibri" w:hAnsi="Calibri" w:cs="Calibri"/>
        </w:rPr>
        <w:t xml:space="preserve"> Anteil des Gesamt-Tumorvolumens ist, umso geringer ist der Effekt der TACE auf das Überleben</w:t>
      </w:r>
    </w:p>
    <w:p w14:paraId="2D94A5EA" w14:textId="77777777" w:rsidR="001A1DF8" w:rsidRDefault="001A1DF8" w:rsidP="000B1AD6">
      <w:pPr>
        <w:numPr>
          <w:ilvl w:val="0"/>
          <w:numId w:val="3"/>
        </w:numPr>
        <w:spacing w:after="160" w:line="276" w:lineRule="auto"/>
        <w:ind w:left="426" w:hanging="426"/>
        <w:contextualSpacing/>
        <w:jc w:val="both"/>
        <w:rPr>
          <w:rFonts w:ascii="Calibri" w:eastAsia="Calibri" w:hAnsi="Calibri" w:cs="Calibri"/>
          <w:color w:val="000000"/>
          <w:szCs w:val="22"/>
          <w:lang w:eastAsia="en-US"/>
        </w:rPr>
      </w:pPr>
      <w:r w:rsidRPr="001A1DF8">
        <w:rPr>
          <w:rFonts w:ascii="Calibri" w:hAnsi="Calibri" w:cs="Calibri"/>
        </w:rPr>
        <w:t>Verfügbarkeit</w:t>
      </w:r>
      <w:r w:rsidRPr="000225FC">
        <w:rPr>
          <w:rFonts w:ascii="Calibri" w:hAnsi="Calibri" w:cs="Calibri"/>
        </w:rPr>
        <w:t xml:space="preserve">: </w:t>
      </w:r>
      <w:r w:rsidR="0090443B" w:rsidRPr="0090443B">
        <w:rPr>
          <w:rFonts w:ascii="Calibri" w:hAnsi="Calibri" w:cs="Calibri"/>
        </w:rPr>
        <w:t>OKL BHS, OKL Eli, PEK Steyr, SK Vöcklabruck, KH Ried</w:t>
      </w:r>
    </w:p>
    <w:p w14:paraId="3AADD70D" w14:textId="77777777" w:rsidR="000872EE" w:rsidRPr="000872EE" w:rsidRDefault="000872EE" w:rsidP="000872EE">
      <w:pPr>
        <w:spacing w:after="160" w:line="276" w:lineRule="auto"/>
        <w:contextualSpacing/>
        <w:jc w:val="both"/>
        <w:rPr>
          <w:rFonts w:ascii="Calibri" w:eastAsia="Calibri" w:hAnsi="Calibri" w:cs="Calibri"/>
          <w:color w:val="000000"/>
          <w:szCs w:val="22"/>
          <w:lang w:eastAsia="en-US"/>
        </w:rPr>
      </w:pPr>
    </w:p>
    <w:p w14:paraId="3A1FEDC8" w14:textId="77777777" w:rsidR="001A1DF8" w:rsidRPr="001A1DF8" w:rsidRDefault="001A1DF8" w:rsidP="001A1DF8">
      <w:pPr>
        <w:autoSpaceDE w:val="0"/>
        <w:autoSpaceDN w:val="0"/>
        <w:adjustRightInd w:val="0"/>
        <w:spacing w:line="288" w:lineRule="auto"/>
        <w:jc w:val="left"/>
        <w:rPr>
          <w:rFonts w:eastAsia="Calibri" w:cs="Arial"/>
          <w:b/>
          <w:color w:val="000000"/>
          <w:szCs w:val="22"/>
          <w:lang w:eastAsia="en-US"/>
        </w:rPr>
      </w:pPr>
      <w:r>
        <w:rPr>
          <w:rFonts w:eastAsia="Calibri" w:cs="Arial"/>
          <w:b/>
          <w:color w:val="000000"/>
          <w:szCs w:val="22"/>
          <w:lang w:eastAsia="en-US"/>
        </w:rPr>
        <w:t>3.3</w:t>
      </w:r>
      <w:r w:rsidRPr="001A1DF8">
        <w:rPr>
          <w:rFonts w:eastAsia="Calibri" w:cs="Arial"/>
          <w:b/>
          <w:color w:val="000000"/>
          <w:szCs w:val="22"/>
          <w:lang w:eastAsia="en-US"/>
        </w:rPr>
        <w:t>.4</w:t>
      </w:r>
      <w:r w:rsidRPr="001A1DF8">
        <w:rPr>
          <w:rFonts w:eastAsia="Calibri" w:cs="Arial"/>
          <w:b/>
          <w:color w:val="000000"/>
          <w:szCs w:val="22"/>
          <w:lang w:eastAsia="en-US"/>
        </w:rPr>
        <w:tab/>
        <w:t>SIRT – Selektive interne Radiotherapie:</w:t>
      </w:r>
    </w:p>
    <w:p w14:paraId="75F1E63F" w14:textId="77777777" w:rsidR="00C155C8"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 xml:space="preserve">Bei nicht resektablen Lebermetastasen, nach Ausschöpfung oder bei Nichtdurchführbakeit von </w:t>
      </w:r>
    </w:p>
    <w:p w14:paraId="5C1B01DC" w14:textId="77777777" w:rsidR="009E4D22" w:rsidRDefault="009E4D22" w:rsidP="00C155C8">
      <w:pPr>
        <w:autoSpaceDE w:val="0"/>
        <w:autoSpaceDN w:val="0"/>
        <w:adjustRightInd w:val="0"/>
        <w:spacing w:after="160" w:line="288" w:lineRule="auto"/>
        <w:ind w:left="360"/>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RFA</w:t>
      </w:r>
      <w:r w:rsidR="00C155C8">
        <w:rPr>
          <w:rFonts w:ascii="Calibri" w:eastAsia="Calibri" w:hAnsi="Calibri" w:cs="Calibri"/>
          <w:color w:val="000000"/>
          <w:szCs w:val="22"/>
          <w:lang w:eastAsia="en-US"/>
        </w:rPr>
        <w:t xml:space="preserve"> oder</w:t>
      </w:r>
      <w:r>
        <w:rPr>
          <w:rFonts w:ascii="Calibri" w:eastAsia="Calibri" w:hAnsi="Calibri" w:cs="Calibri"/>
          <w:color w:val="000000"/>
          <w:szCs w:val="22"/>
          <w:lang w:eastAsia="en-US"/>
        </w:rPr>
        <w:t xml:space="preserve"> MWA</w:t>
      </w:r>
    </w:p>
    <w:p w14:paraId="1323423F" w14:textId="77777777" w:rsidR="009E4D22"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Voraussetzung: Tumorinfiltrationsgrad der Leber &lt; 70%, keine relevante extrahepatische Tumorlast</w:t>
      </w:r>
    </w:p>
    <w:p w14:paraId="4AB11EE3" w14:textId="77777777" w:rsidR="009E4D22"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Kontraindikationen: Karnofsky &lt; 70%, Leberzirrhose Child B &gt; 7, Aszites, Bili &gt; 2, Niereninsuffizienz EGFR &lt; 30, Capecitabin in den letzten 4 Wochen vor SIRT</w:t>
      </w:r>
    </w:p>
    <w:p w14:paraId="07FAC68E" w14:textId="77777777" w:rsidR="009E4D22"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070330">
        <w:rPr>
          <w:rFonts w:ascii="Calibri" w:eastAsia="Calibri" w:hAnsi="Calibri" w:cs="Calibri"/>
          <w:color w:val="000000"/>
          <w:szCs w:val="22"/>
          <w:lang w:eastAsia="en-US"/>
        </w:rPr>
        <w:t>SIRFLOX-Studie: CT (FOLFOX 6 +/- Beva) versus CT + SIRT (nach erstem Chemozyklus),</w:t>
      </w:r>
      <w:r w:rsidRPr="00070330">
        <w:rPr>
          <w:rFonts w:ascii="Calibri" w:eastAsia="Calibri" w:hAnsi="Calibri" w:cs="Calibri"/>
          <w:color w:val="000000"/>
          <w:szCs w:val="22"/>
          <w:lang w:eastAsia="en-US"/>
        </w:rPr>
        <w:br/>
        <w:t xml:space="preserve">Verbesserung des lebermetastasenbezogenen PFS im Median um 7,9 Monate </w:t>
      </w:r>
    </w:p>
    <w:p w14:paraId="3A9FF221" w14:textId="13433FFC" w:rsidR="009E4D22"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szCs w:val="22"/>
          <w:lang w:eastAsia="en-US"/>
        </w:rPr>
      </w:pPr>
      <w:r w:rsidRPr="009E4D22">
        <w:rPr>
          <w:rFonts w:ascii="Calibri" w:eastAsia="Calibri" w:hAnsi="Calibri" w:cs="Calibri"/>
          <w:szCs w:val="22"/>
          <w:lang w:eastAsia="en-US"/>
        </w:rPr>
        <w:t>Retrospektive Subgruppen-Analyse der SIRFLOX- und FOXFIRE-Studien (ESMO 2017, LBA-006)</w:t>
      </w:r>
      <w:r w:rsidRPr="009E4D22">
        <w:rPr>
          <w:rFonts w:cs="Arial"/>
          <w:szCs w:val="22"/>
        </w:rPr>
        <w:t>:</w:t>
      </w:r>
      <w:r w:rsidRPr="009E4D22">
        <w:rPr>
          <w:rFonts w:cs="Arial"/>
          <w:szCs w:val="22"/>
        </w:rPr>
        <w:br/>
      </w:r>
      <w:r w:rsidRPr="009E4D22">
        <w:rPr>
          <w:rFonts w:ascii="Calibri" w:eastAsia="Calibri" w:hAnsi="Calibri" w:cs="Calibri"/>
          <w:szCs w:val="22"/>
          <w:lang w:eastAsia="en-US"/>
        </w:rPr>
        <w:t>signifikante OS-Verbesserung um 36% bei Patienten mit rechtsseitigem Primär-TU, bei Patienten mit linksseitigem Primär-TU kein OS-Vorteil ¹</w:t>
      </w:r>
    </w:p>
    <w:p w14:paraId="15FA6377" w14:textId="70643A98" w:rsidR="002F7D40" w:rsidRPr="008D7345" w:rsidRDefault="002F7D40"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themeColor="text1"/>
          <w:szCs w:val="22"/>
          <w:lang w:eastAsia="en-US"/>
        </w:rPr>
      </w:pPr>
      <w:r w:rsidRPr="008D7345">
        <w:rPr>
          <w:rFonts w:ascii="Calibri" w:eastAsia="Calibri" w:hAnsi="Calibri" w:cs="Calibri"/>
          <w:color w:val="000000" w:themeColor="text1"/>
          <w:szCs w:val="22"/>
          <w:lang w:eastAsia="en-US"/>
        </w:rPr>
        <w:t>EPOCH-Studie (ESMO 2021):</w:t>
      </w:r>
      <w:r w:rsidR="00EE7881" w:rsidRPr="008D7345">
        <w:rPr>
          <w:rFonts w:ascii="Calibri" w:eastAsia="Calibri" w:hAnsi="Calibri" w:cs="Calibri"/>
          <w:color w:val="000000" w:themeColor="text1"/>
          <w:szCs w:val="22"/>
          <w:lang w:eastAsia="en-US"/>
        </w:rPr>
        <w:t xml:space="preserve"> Phase III – Studie</w:t>
      </w:r>
      <w:r w:rsidR="004957B1" w:rsidRPr="008D7345">
        <w:rPr>
          <w:rFonts w:ascii="Calibri" w:eastAsia="Calibri" w:hAnsi="Calibri" w:cs="Calibri"/>
          <w:color w:val="000000" w:themeColor="text1"/>
          <w:szCs w:val="22"/>
          <w:lang w:eastAsia="en-US"/>
        </w:rPr>
        <w:t>,</w:t>
      </w:r>
      <w:r w:rsidR="00EE7881" w:rsidRPr="008D7345">
        <w:rPr>
          <w:rFonts w:ascii="Calibri" w:eastAsia="Calibri" w:hAnsi="Calibri" w:cs="Calibri"/>
          <w:color w:val="000000" w:themeColor="text1"/>
          <w:szCs w:val="22"/>
          <w:lang w:eastAsia="en-US"/>
        </w:rPr>
        <w:t xml:space="preserve"> Secondline Chemotherapie mit oder ohne TARE (SIRT) bei Patienten mit colorektalen Lebermetastasen und Progress nach Firstline-Chemotherapie:</w:t>
      </w:r>
      <w:r w:rsidR="004957B1" w:rsidRPr="008D7345">
        <w:rPr>
          <w:rFonts w:ascii="Calibri" w:eastAsia="Calibri" w:hAnsi="Calibri" w:cs="Calibri"/>
          <w:color w:val="000000" w:themeColor="text1"/>
          <w:szCs w:val="22"/>
          <w:lang w:eastAsia="en-US"/>
        </w:rPr>
        <w:br/>
        <w:t xml:space="preserve">signifikante Verbesserung des PFS und hPFS in der TARE-Gruppe, kein OS-Benefit </w:t>
      </w:r>
      <w:r w:rsidR="004957B1" w:rsidRPr="008D7345">
        <w:rPr>
          <w:rFonts w:ascii="Calibri" w:hAnsi="Calibri" w:cs="Calibri"/>
          <w:b/>
          <w:bCs/>
          <w:color w:val="000000" w:themeColor="text1"/>
          <w:vertAlign w:val="superscript"/>
        </w:rPr>
        <w:t>2</w:t>
      </w:r>
    </w:p>
    <w:p w14:paraId="2518ACD6" w14:textId="77777777" w:rsidR="009E4D22" w:rsidRDefault="009E4D22"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 xml:space="preserve">Verfügbarkeit: </w:t>
      </w:r>
      <w:r w:rsidR="0090443B">
        <w:rPr>
          <w:rFonts w:ascii="Calibri" w:eastAsia="Calibri" w:hAnsi="Calibri" w:cs="Calibri"/>
          <w:color w:val="000000"/>
          <w:szCs w:val="22"/>
          <w:lang w:eastAsia="en-US"/>
        </w:rPr>
        <w:t xml:space="preserve">OKL </w:t>
      </w:r>
      <w:r>
        <w:rPr>
          <w:rFonts w:ascii="Calibri" w:eastAsia="Calibri" w:hAnsi="Calibri" w:cs="Calibri"/>
          <w:color w:val="000000"/>
          <w:szCs w:val="22"/>
          <w:lang w:eastAsia="en-US"/>
        </w:rPr>
        <w:t>BHS Linz</w:t>
      </w:r>
    </w:p>
    <w:p w14:paraId="3EAB6735" w14:textId="77777777" w:rsidR="000872EE" w:rsidRPr="000872EE" w:rsidRDefault="000872EE" w:rsidP="000872EE">
      <w:pPr>
        <w:autoSpaceDE w:val="0"/>
        <w:autoSpaceDN w:val="0"/>
        <w:adjustRightInd w:val="0"/>
        <w:spacing w:after="160" w:line="288" w:lineRule="auto"/>
        <w:contextualSpacing/>
        <w:jc w:val="left"/>
        <w:rPr>
          <w:rFonts w:ascii="Calibri" w:eastAsia="Calibri" w:hAnsi="Calibri" w:cs="Calibri"/>
          <w:color w:val="000000"/>
          <w:szCs w:val="22"/>
          <w:lang w:eastAsia="en-US"/>
        </w:rPr>
      </w:pPr>
    </w:p>
    <w:p w14:paraId="50A33172" w14:textId="77777777" w:rsidR="001A1DF8" w:rsidRPr="001A1DF8" w:rsidRDefault="001A1DF8" w:rsidP="001A1DF8">
      <w:pPr>
        <w:autoSpaceDE w:val="0"/>
        <w:autoSpaceDN w:val="0"/>
        <w:adjustRightInd w:val="0"/>
        <w:spacing w:line="288" w:lineRule="auto"/>
        <w:jc w:val="left"/>
        <w:rPr>
          <w:rFonts w:eastAsia="Calibri" w:cs="Arial"/>
          <w:b/>
          <w:color w:val="000000"/>
          <w:szCs w:val="22"/>
          <w:lang w:eastAsia="en-US"/>
        </w:rPr>
      </w:pPr>
      <w:r>
        <w:rPr>
          <w:rFonts w:eastAsia="Calibri" w:cs="Arial"/>
          <w:b/>
          <w:color w:val="000000"/>
          <w:szCs w:val="22"/>
          <w:lang w:eastAsia="en-US"/>
        </w:rPr>
        <w:t>3.3</w:t>
      </w:r>
      <w:r w:rsidRPr="001A1DF8">
        <w:rPr>
          <w:rFonts w:eastAsia="Calibri" w:cs="Arial"/>
          <w:b/>
          <w:color w:val="000000"/>
          <w:szCs w:val="22"/>
          <w:lang w:eastAsia="en-US"/>
        </w:rPr>
        <w:t>.5</w:t>
      </w:r>
      <w:r w:rsidRPr="001A1DF8">
        <w:rPr>
          <w:rFonts w:eastAsia="Calibri" w:cs="Arial"/>
          <w:b/>
          <w:color w:val="000000"/>
          <w:szCs w:val="22"/>
          <w:lang w:eastAsia="en-US"/>
        </w:rPr>
        <w:tab/>
        <w:t>Stereotaktische Radiotherapie:</w:t>
      </w:r>
    </w:p>
    <w:p w14:paraId="1FACD069" w14:textId="77777777" w:rsidR="001A1DF8" w:rsidRPr="001A1DF8" w:rsidRDefault="001A1DF8" w:rsidP="000B1AD6">
      <w:pPr>
        <w:numPr>
          <w:ilvl w:val="0"/>
          <w:numId w:val="6"/>
        </w:numPr>
        <w:autoSpaceDE w:val="0"/>
        <w:autoSpaceDN w:val="0"/>
        <w:adjustRightInd w:val="0"/>
        <w:spacing w:after="160" w:line="288" w:lineRule="auto"/>
        <w:contextualSpacing/>
        <w:jc w:val="left"/>
        <w:rPr>
          <w:rFonts w:ascii="Calibri" w:eastAsia="Calibri" w:hAnsi="Calibri" w:cs="Calibri"/>
          <w:color w:val="000000"/>
          <w:szCs w:val="22"/>
          <w:lang w:eastAsia="en-US"/>
        </w:rPr>
      </w:pPr>
      <w:r w:rsidRPr="001A1DF8">
        <w:rPr>
          <w:rFonts w:ascii="Calibri" w:eastAsia="Calibri" w:hAnsi="Calibri" w:cs="Calibri"/>
          <w:color w:val="000000"/>
          <w:szCs w:val="22"/>
          <w:lang w:eastAsia="en-US"/>
        </w:rPr>
        <w:t>Ähnlich hohe lokale Tumorkontroll-Raten wie RFA (um 80%)</w:t>
      </w:r>
    </w:p>
    <w:p w14:paraId="43C4187F" w14:textId="77777777" w:rsidR="009E4D22" w:rsidRDefault="009E4D22">
      <w:pPr>
        <w:spacing w:line="240" w:lineRule="auto"/>
        <w:jc w:val="left"/>
        <w:rPr>
          <w:lang w:val="de-DE" w:eastAsia="de-AT"/>
        </w:rPr>
      </w:pPr>
    </w:p>
    <w:p w14:paraId="33BA7506" w14:textId="77777777" w:rsidR="009E4D22" w:rsidRDefault="009E4D22">
      <w:pPr>
        <w:spacing w:line="240" w:lineRule="auto"/>
        <w:jc w:val="left"/>
        <w:rPr>
          <w:lang w:val="de-DE" w:eastAsia="de-AT"/>
        </w:rPr>
      </w:pPr>
    </w:p>
    <w:p w14:paraId="13284704" w14:textId="0154E5E9" w:rsidR="009E4D22" w:rsidRPr="008D7345" w:rsidRDefault="009E4D22" w:rsidP="000B1AD6">
      <w:pPr>
        <w:pStyle w:val="Listenabsatz"/>
        <w:numPr>
          <w:ilvl w:val="0"/>
          <w:numId w:val="10"/>
        </w:numPr>
        <w:autoSpaceDE w:val="0"/>
        <w:autoSpaceDN w:val="0"/>
        <w:adjustRightInd w:val="0"/>
        <w:spacing w:after="160" w:line="288" w:lineRule="auto"/>
        <w:jc w:val="left"/>
        <w:rPr>
          <w:rFonts w:ascii="Calibri" w:eastAsia="Calibri" w:hAnsi="Calibri" w:cs="Calibri"/>
          <w:color w:val="000000" w:themeColor="text1"/>
          <w:sz w:val="18"/>
          <w:szCs w:val="18"/>
          <w:lang w:val="en-GB" w:eastAsia="en-US"/>
        </w:rPr>
      </w:pPr>
      <w:r w:rsidRPr="008D7345">
        <w:rPr>
          <w:rFonts w:ascii="Calibri" w:eastAsia="Calibri" w:hAnsi="Calibri" w:cs="Calibri"/>
          <w:iCs/>
          <w:color w:val="000000" w:themeColor="text1"/>
          <w:sz w:val="18"/>
          <w:szCs w:val="18"/>
          <w:lang w:val="en-GB" w:eastAsia="en-US"/>
        </w:rPr>
        <w:t>Van Hazel et al</w:t>
      </w:r>
      <w:r w:rsidR="00754A51" w:rsidRPr="008D7345">
        <w:rPr>
          <w:rFonts w:ascii="Calibri" w:eastAsia="Calibri" w:hAnsi="Calibri" w:cs="Calibri"/>
          <w:iCs/>
          <w:color w:val="000000" w:themeColor="text1"/>
          <w:sz w:val="18"/>
          <w:szCs w:val="18"/>
          <w:lang w:val="en-GB" w:eastAsia="en-US"/>
        </w:rPr>
        <w:t>,</w:t>
      </w:r>
      <w:r w:rsidRPr="008D7345">
        <w:rPr>
          <w:rFonts w:ascii="Calibri" w:eastAsia="Calibri" w:hAnsi="Calibri" w:cs="Calibri"/>
          <w:iCs/>
          <w:color w:val="000000" w:themeColor="text1"/>
          <w:sz w:val="18"/>
          <w:szCs w:val="18"/>
          <w:lang w:val="en-GB" w:eastAsia="en-US"/>
        </w:rPr>
        <w:t xml:space="preserve"> </w:t>
      </w:r>
      <w:r w:rsidRPr="008D7345">
        <w:rPr>
          <w:rFonts w:ascii="Calibri" w:eastAsia="Calibri" w:hAnsi="Calibri" w:cs="Calibri"/>
          <w:i/>
          <w:iCs/>
          <w:color w:val="000000" w:themeColor="text1"/>
          <w:sz w:val="18"/>
          <w:szCs w:val="18"/>
          <w:lang w:val="en-GB" w:eastAsia="en-US"/>
        </w:rPr>
        <w:t>Annals of Oncology</w:t>
      </w:r>
      <w:r w:rsidRPr="008D7345">
        <w:rPr>
          <w:rFonts w:ascii="Calibri" w:eastAsia="Calibri" w:hAnsi="Calibri" w:cs="Calibri"/>
          <w:color w:val="000000" w:themeColor="text1"/>
          <w:sz w:val="18"/>
          <w:szCs w:val="18"/>
          <w:lang w:val="en-GB" w:eastAsia="en-US"/>
        </w:rPr>
        <w:t>, Volume 28, Issue suppl_3, 1 June 2017</w:t>
      </w:r>
    </w:p>
    <w:p w14:paraId="1600CCA6" w14:textId="52C7FAEC" w:rsidR="00754A51" w:rsidRPr="008D7345" w:rsidRDefault="00754A51" w:rsidP="000B1AD6">
      <w:pPr>
        <w:pStyle w:val="Listenabsatz"/>
        <w:numPr>
          <w:ilvl w:val="0"/>
          <w:numId w:val="10"/>
        </w:numPr>
        <w:autoSpaceDE w:val="0"/>
        <w:autoSpaceDN w:val="0"/>
        <w:adjustRightInd w:val="0"/>
        <w:spacing w:after="160" w:line="288" w:lineRule="auto"/>
        <w:jc w:val="left"/>
        <w:rPr>
          <w:rFonts w:ascii="Calibri" w:eastAsia="Calibri" w:hAnsi="Calibri" w:cs="Calibri"/>
          <w:color w:val="000000" w:themeColor="text1"/>
          <w:sz w:val="18"/>
          <w:szCs w:val="18"/>
          <w:lang w:val="en-GB" w:eastAsia="en-US"/>
        </w:rPr>
      </w:pPr>
      <w:r w:rsidRPr="008D7345">
        <w:rPr>
          <w:rFonts w:ascii="Calibri" w:eastAsia="Calibri" w:hAnsi="Calibri" w:cs="Calibri"/>
          <w:color w:val="000000" w:themeColor="text1"/>
          <w:sz w:val="18"/>
          <w:szCs w:val="18"/>
          <w:lang w:val="en-GB" w:eastAsia="en-US"/>
        </w:rPr>
        <w:t>Mulcahy et al., ESMO 2021, Abstract LBA21</w:t>
      </w:r>
    </w:p>
    <w:p w14:paraId="0B392425" w14:textId="77777777" w:rsidR="001744FB" w:rsidRPr="001744FB" w:rsidRDefault="001A1DF8" w:rsidP="009E4D22">
      <w:pPr>
        <w:pStyle w:val="berschrift2"/>
        <w:ind w:left="0" w:firstLine="0"/>
        <w:rPr>
          <w:lang w:val="de-DE" w:eastAsia="de-AT"/>
        </w:rPr>
      </w:pPr>
      <w:bookmarkStart w:id="53" w:name="_Toc93523297"/>
      <w:r>
        <w:rPr>
          <w:lang w:val="de-DE" w:eastAsia="de-AT"/>
        </w:rPr>
        <w:lastRenderedPageBreak/>
        <w:t>3.4</w:t>
      </w:r>
      <w:r w:rsidR="001744FB">
        <w:rPr>
          <w:lang w:val="de-DE" w:eastAsia="de-AT"/>
        </w:rPr>
        <w:tab/>
      </w:r>
      <w:r w:rsidR="001744FB" w:rsidRPr="001744FB">
        <w:rPr>
          <w:lang w:val="de-DE" w:eastAsia="de-AT"/>
        </w:rPr>
        <w:t>Rektumkarzinom, nicht metastasiert</w:t>
      </w:r>
      <w:bookmarkEnd w:id="53"/>
    </w:p>
    <w:p w14:paraId="2A2C620E" w14:textId="77777777" w:rsidR="00DA1014" w:rsidRDefault="00AD4267" w:rsidP="001744FB">
      <w:pPr>
        <w:spacing w:line="240" w:lineRule="auto"/>
        <w:jc w:val="both"/>
        <w:rPr>
          <w:rFonts w:asciiTheme="minorHAnsi" w:hAnsiTheme="minorHAnsi" w:cstheme="minorHAnsi"/>
          <w:sz w:val="20"/>
        </w:rPr>
      </w:pPr>
      <w:r>
        <w:rPr>
          <w:noProof/>
          <w:lang w:eastAsia="de-AT"/>
        </w:rPr>
        <w:drawing>
          <wp:inline distT="0" distB="0" distL="0" distR="0" wp14:anchorId="7821BC3B" wp14:editId="413F2CA1">
            <wp:extent cx="5957570" cy="7958455"/>
            <wp:effectExtent l="0" t="0" r="508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7570" cy="7958455"/>
                    </a:xfrm>
                    <a:prstGeom prst="rect">
                      <a:avLst/>
                    </a:prstGeom>
                    <a:noFill/>
                    <a:ln>
                      <a:noFill/>
                    </a:ln>
                  </pic:spPr>
                </pic:pic>
              </a:graphicData>
            </a:graphic>
          </wp:inline>
        </w:drawing>
      </w:r>
    </w:p>
    <w:p w14:paraId="03BA78EC" w14:textId="77777777" w:rsidR="00C1060A" w:rsidRPr="004B71D2" w:rsidRDefault="00C1060A" w:rsidP="001744FB">
      <w:pPr>
        <w:spacing w:line="240" w:lineRule="auto"/>
        <w:jc w:val="both"/>
        <w:rPr>
          <w:rFonts w:asciiTheme="minorHAnsi" w:hAnsiTheme="minorHAnsi" w:cstheme="minorHAnsi"/>
          <w:sz w:val="20"/>
        </w:rPr>
      </w:pPr>
    </w:p>
    <w:p w14:paraId="23BDB44D" w14:textId="77777777" w:rsidR="00F57EAC" w:rsidRPr="00F57EAC" w:rsidRDefault="00F57EAC" w:rsidP="00F57EAC">
      <w:pPr>
        <w:keepNext/>
        <w:spacing w:before="240" w:after="60"/>
        <w:ind w:left="705" w:hanging="705"/>
        <w:jc w:val="left"/>
        <w:outlineLvl w:val="1"/>
        <w:rPr>
          <w:rFonts w:cs="Arial"/>
          <w:b/>
          <w:bCs/>
          <w:i/>
          <w:iCs/>
          <w:sz w:val="24"/>
          <w:szCs w:val="24"/>
          <w:lang w:val="de-DE" w:eastAsia="de-AT"/>
        </w:rPr>
      </w:pPr>
      <w:bookmarkStart w:id="54" w:name="_Toc93523298"/>
      <w:r w:rsidRPr="00F57EAC">
        <w:rPr>
          <w:rFonts w:cs="Arial"/>
          <w:b/>
          <w:bCs/>
          <w:i/>
          <w:iCs/>
          <w:sz w:val="24"/>
          <w:szCs w:val="24"/>
          <w:lang w:val="de-DE" w:eastAsia="de-AT"/>
        </w:rPr>
        <w:lastRenderedPageBreak/>
        <w:t>3.5</w:t>
      </w:r>
      <w:r w:rsidRPr="00F57EAC">
        <w:rPr>
          <w:rFonts w:cs="Arial"/>
          <w:b/>
          <w:bCs/>
          <w:i/>
          <w:iCs/>
          <w:sz w:val="24"/>
          <w:szCs w:val="24"/>
          <w:lang w:val="de-DE" w:eastAsia="de-AT"/>
        </w:rPr>
        <w:tab/>
        <w:t>Indikationen für postoperative Chemoradiotherapie</w:t>
      </w:r>
      <w:bookmarkEnd w:id="54"/>
      <w:r w:rsidRPr="00F57EAC">
        <w:rPr>
          <w:rFonts w:cs="Arial"/>
          <w:b/>
          <w:bCs/>
          <w:i/>
          <w:iCs/>
          <w:sz w:val="24"/>
          <w:szCs w:val="24"/>
          <w:lang w:val="de-DE" w:eastAsia="de-AT"/>
        </w:rPr>
        <w:br/>
      </w:r>
    </w:p>
    <w:tbl>
      <w:tblPr>
        <w:tblStyle w:val="TableGrid3"/>
        <w:tblW w:w="878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9" w:type="dxa"/>
          <w:left w:w="108" w:type="dxa"/>
          <w:right w:w="46" w:type="dxa"/>
        </w:tblCellMar>
        <w:tblLook w:val="04A0" w:firstRow="1" w:lastRow="0" w:firstColumn="1" w:lastColumn="0" w:noHBand="0" w:noVBand="1"/>
      </w:tblPr>
      <w:tblGrid>
        <w:gridCol w:w="8789"/>
      </w:tblGrid>
      <w:tr w:rsidR="00F57EAC" w:rsidRPr="00820564" w14:paraId="79AA7E16" w14:textId="77777777" w:rsidTr="00F57EAC">
        <w:trPr>
          <w:trHeight w:val="284"/>
        </w:trPr>
        <w:tc>
          <w:tcPr>
            <w:tcW w:w="8789" w:type="dxa"/>
            <w:shd w:val="clear" w:color="auto" w:fill="F7CAAC"/>
          </w:tcPr>
          <w:p w14:paraId="3FBABB26" w14:textId="77777777" w:rsidR="00F57EAC" w:rsidRPr="00564EAE" w:rsidRDefault="00F57EAC" w:rsidP="00F57EAC">
            <w:pPr>
              <w:spacing w:after="173" w:line="276" w:lineRule="auto"/>
              <w:jc w:val="left"/>
              <w:rPr>
                <w:rFonts w:cs="Arial"/>
                <w:b/>
                <w:color w:val="000000"/>
                <w:lang w:val="en-GB" w:eastAsia="de-AT"/>
              </w:rPr>
            </w:pPr>
            <w:r w:rsidRPr="00564EAE">
              <w:rPr>
                <w:rFonts w:cs="Arial"/>
                <w:b/>
                <w:color w:val="000000"/>
                <w:lang w:val="en-GB" w:eastAsia="de-AT"/>
              </w:rPr>
              <w:t>Potential indications for postoperative chemoradiotherapy if preoperative chemoradiotherapy not given *</w:t>
            </w:r>
          </w:p>
        </w:tc>
      </w:tr>
      <w:tr w:rsidR="00F57EAC" w:rsidRPr="00820564" w14:paraId="2D163A7B" w14:textId="77777777" w:rsidTr="00F57EAC">
        <w:trPr>
          <w:trHeight w:val="657"/>
        </w:trPr>
        <w:tc>
          <w:tcPr>
            <w:tcW w:w="8789" w:type="dxa"/>
            <w:shd w:val="clear" w:color="auto" w:fill="FFF2CC"/>
          </w:tcPr>
          <w:p w14:paraId="1CB417AB" w14:textId="77777777" w:rsidR="00F57EAC" w:rsidRPr="00F57EAC" w:rsidRDefault="00F57EAC" w:rsidP="00F57EAC">
            <w:pPr>
              <w:jc w:val="left"/>
              <w:rPr>
                <w:rFonts w:cs="Arial"/>
                <w:b/>
                <w:color w:val="000000"/>
                <w:lang w:eastAsia="de-AT"/>
              </w:rPr>
            </w:pPr>
            <w:r w:rsidRPr="00F57EAC">
              <w:rPr>
                <w:rFonts w:cs="Arial"/>
                <w:b/>
                <w:color w:val="000000"/>
                <w:lang w:eastAsia="de-AT"/>
              </w:rPr>
              <w:t>Sufficient and necessary:</w:t>
            </w:r>
          </w:p>
          <w:p w14:paraId="43FCB065"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CRM ≤ 1mm</w:t>
            </w:r>
          </w:p>
          <w:p w14:paraId="5007F226"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pT4b</w:t>
            </w:r>
          </w:p>
          <w:p w14:paraId="5BE18561"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pN2 extracapsular spread close to MRF</w:t>
            </w:r>
          </w:p>
          <w:p w14:paraId="75C6B174"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Extranodal deposits (N1c)</w:t>
            </w:r>
          </w:p>
          <w:p w14:paraId="62929976"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pN2 if poor mesorectal quality/defects pN1</w:t>
            </w:r>
          </w:p>
        </w:tc>
      </w:tr>
      <w:tr w:rsidR="00F57EAC" w:rsidRPr="00820564" w14:paraId="1810BDA6" w14:textId="77777777" w:rsidTr="00F57EAC">
        <w:trPr>
          <w:trHeight w:val="657"/>
        </w:trPr>
        <w:tc>
          <w:tcPr>
            <w:tcW w:w="8789" w:type="dxa"/>
            <w:shd w:val="clear" w:color="auto" w:fill="FFF2CC"/>
          </w:tcPr>
          <w:p w14:paraId="48CE48C4" w14:textId="77777777" w:rsidR="00F57EAC" w:rsidRPr="00F57EAC" w:rsidRDefault="00F57EAC" w:rsidP="00F57EAC">
            <w:pPr>
              <w:jc w:val="left"/>
              <w:rPr>
                <w:rFonts w:cs="Arial"/>
                <w:b/>
                <w:color w:val="000000"/>
                <w:lang w:eastAsia="de-AT"/>
              </w:rPr>
            </w:pPr>
            <w:r w:rsidRPr="00F57EAC">
              <w:rPr>
                <w:rFonts w:cs="Arial"/>
                <w:b/>
                <w:color w:val="000000"/>
                <w:lang w:eastAsia="de-AT"/>
              </w:rPr>
              <w:t xml:space="preserve">Sufficient: </w:t>
            </w:r>
          </w:p>
          <w:p w14:paraId="2CCA5701"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pN2 low tumours within 4 cm of anal verge (risk of involved LPLN)</w:t>
            </w:r>
          </w:p>
          <w:p w14:paraId="697885FF"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Extensive extramural vascular invasion/perineural invasion close to MRF</w:t>
            </w:r>
          </w:p>
          <w:p w14:paraId="4FB97029" w14:textId="77777777" w:rsidR="0000656C" w:rsidRPr="00564EAE" w:rsidRDefault="0000656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Perforation in the tumour area</w:t>
            </w:r>
          </w:p>
        </w:tc>
      </w:tr>
      <w:tr w:rsidR="00F57EAC" w:rsidRPr="00F57EAC" w14:paraId="2C65CB6F" w14:textId="77777777" w:rsidTr="00F57EAC">
        <w:trPr>
          <w:trHeight w:val="657"/>
        </w:trPr>
        <w:tc>
          <w:tcPr>
            <w:tcW w:w="8789" w:type="dxa"/>
            <w:shd w:val="clear" w:color="auto" w:fill="FFF2CC"/>
          </w:tcPr>
          <w:p w14:paraId="55483A3B" w14:textId="77777777" w:rsidR="00F57EAC" w:rsidRPr="00F57EAC" w:rsidRDefault="00F57EAC" w:rsidP="00F57EAC">
            <w:pPr>
              <w:jc w:val="left"/>
              <w:rPr>
                <w:rFonts w:cs="Arial"/>
                <w:b/>
                <w:color w:val="000000"/>
                <w:lang w:eastAsia="de-AT"/>
              </w:rPr>
            </w:pPr>
            <w:r w:rsidRPr="00F57EAC">
              <w:rPr>
                <w:rFonts w:cs="Arial"/>
                <w:b/>
                <w:color w:val="000000"/>
                <w:lang w:eastAsia="de-AT"/>
              </w:rPr>
              <w:t xml:space="preserve">Borderline sufficient: </w:t>
            </w:r>
          </w:p>
          <w:p w14:paraId="4EEEDAB9"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pN2 in mid/upper rectum if good mesorectal quality</w:t>
            </w:r>
          </w:p>
          <w:p w14:paraId="3C49DDA0"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CRM 1–2mm</w:t>
            </w:r>
          </w:p>
          <w:p w14:paraId="78C8049C"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Circumferential obstructing tumours</w:t>
            </w:r>
          </w:p>
        </w:tc>
      </w:tr>
      <w:tr w:rsidR="00F57EAC" w:rsidRPr="00820564" w14:paraId="34E937B2" w14:textId="77777777" w:rsidTr="00F57EAC">
        <w:trPr>
          <w:trHeight w:val="657"/>
        </w:trPr>
        <w:tc>
          <w:tcPr>
            <w:tcW w:w="8789" w:type="dxa"/>
            <w:shd w:val="clear" w:color="auto" w:fill="FFF2CC"/>
          </w:tcPr>
          <w:p w14:paraId="583A376A" w14:textId="77777777" w:rsidR="00F57EAC" w:rsidRPr="00F57EAC" w:rsidRDefault="00F57EAC" w:rsidP="00F57EAC">
            <w:pPr>
              <w:jc w:val="left"/>
              <w:rPr>
                <w:rFonts w:cs="Arial"/>
                <w:b/>
                <w:color w:val="000000"/>
                <w:lang w:eastAsia="de-AT"/>
              </w:rPr>
            </w:pPr>
            <w:r w:rsidRPr="00F57EAC">
              <w:rPr>
                <w:rFonts w:cs="Arial"/>
                <w:b/>
                <w:color w:val="000000"/>
                <w:lang w:eastAsia="de-AT"/>
              </w:rPr>
              <w:t>Insufficient and unnecessary:</w:t>
            </w:r>
          </w:p>
          <w:p w14:paraId="4C6CD265"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pT1/pT2</w:t>
            </w:r>
          </w:p>
          <w:p w14:paraId="05D05452"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pT3</w:t>
            </w:r>
          </w:p>
          <w:p w14:paraId="243F8949"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CRM &gt; 2mm</w:t>
            </w:r>
          </w:p>
          <w:p w14:paraId="3482718A"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pT4a above peritoneal reflection</w:t>
            </w:r>
          </w:p>
          <w:p w14:paraId="0B4A8192" w14:textId="77777777" w:rsidR="00F57EAC" w:rsidRPr="00F57EAC" w:rsidRDefault="00F57EAC" w:rsidP="000B1AD6">
            <w:pPr>
              <w:numPr>
                <w:ilvl w:val="0"/>
                <w:numId w:val="11"/>
              </w:numPr>
              <w:ind w:right="8"/>
              <w:contextualSpacing/>
              <w:jc w:val="both"/>
              <w:rPr>
                <w:rFonts w:cs="Arial"/>
                <w:color w:val="000000"/>
                <w:lang w:eastAsia="de-AT"/>
              </w:rPr>
            </w:pPr>
            <w:r w:rsidRPr="00F57EAC">
              <w:rPr>
                <w:rFonts w:cs="Arial"/>
                <w:color w:val="000000"/>
                <w:lang w:eastAsia="de-AT"/>
              </w:rPr>
              <w:t>pN1</w:t>
            </w:r>
          </w:p>
          <w:p w14:paraId="445967A0" w14:textId="77777777" w:rsidR="00F57EAC" w:rsidRPr="00564EAE" w:rsidRDefault="00F57EAC" w:rsidP="000B1AD6">
            <w:pPr>
              <w:numPr>
                <w:ilvl w:val="0"/>
                <w:numId w:val="11"/>
              </w:numPr>
              <w:ind w:right="8"/>
              <w:contextualSpacing/>
              <w:jc w:val="both"/>
              <w:rPr>
                <w:rFonts w:cs="Arial"/>
                <w:color w:val="000000"/>
                <w:lang w:val="en-GB" w:eastAsia="de-AT"/>
              </w:rPr>
            </w:pPr>
            <w:r w:rsidRPr="00564EAE">
              <w:rPr>
                <w:rFonts w:cs="Arial"/>
                <w:color w:val="000000"/>
                <w:lang w:val="en-GB" w:eastAsia="de-AT"/>
              </w:rPr>
              <w:t>If good quality smooth intact mesorectum</w:t>
            </w:r>
          </w:p>
        </w:tc>
      </w:tr>
      <w:tr w:rsidR="00F57EAC" w:rsidRPr="00F57EAC" w14:paraId="51970AC1" w14:textId="77777777" w:rsidTr="00F57EAC">
        <w:trPr>
          <w:trHeight w:val="657"/>
        </w:trPr>
        <w:tc>
          <w:tcPr>
            <w:tcW w:w="8789" w:type="dxa"/>
            <w:shd w:val="clear" w:color="auto" w:fill="FFF2CC"/>
          </w:tcPr>
          <w:p w14:paraId="720A87F2" w14:textId="77777777" w:rsidR="00F57EAC" w:rsidRPr="00564EAE" w:rsidRDefault="00F57EAC" w:rsidP="00F57EAC">
            <w:pPr>
              <w:spacing w:line="240" w:lineRule="auto"/>
              <w:jc w:val="left"/>
              <w:rPr>
                <w:rFonts w:cs="Arial"/>
                <w:lang w:val="en-GB" w:eastAsia="de-AT"/>
              </w:rPr>
            </w:pPr>
            <w:r w:rsidRPr="00564EAE">
              <w:rPr>
                <w:rFonts w:cs="Arial"/>
                <w:lang w:val="en-GB" w:eastAsia="de-AT"/>
              </w:rPr>
              <w:t>CRM: circumferential resection margin; LPLN: lateral pelvic lymph node;</w:t>
            </w:r>
          </w:p>
          <w:p w14:paraId="190E386A" w14:textId="77777777" w:rsidR="00F57EAC" w:rsidRPr="00F57EAC" w:rsidRDefault="00F57EAC" w:rsidP="00F57EAC">
            <w:pPr>
              <w:spacing w:line="240" w:lineRule="auto"/>
              <w:jc w:val="left"/>
              <w:rPr>
                <w:rFonts w:cs="Arial"/>
                <w:lang w:eastAsia="de-AT"/>
              </w:rPr>
            </w:pPr>
            <w:r w:rsidRPr="00F57EAC">
              <w:rPr>
                <w:rFonts w:cs="Arial"/>
                <w:lang w:eastAsia="de-AT"/>
              </w:rPr>
              <w:t>MRF: mesorectal fascia.</w:t>
            </w:r>
          </w:p>
        </w:tc>
      </w:tr>
    </w:tbl>
    <w:p w14:paraId="2A847C8F" w14:textId="77777777" w:rsidR="00F57EAC" w:rsidRPr="00F57EAC" w:rsidRDefault="00F57EAC" w:rsidP="00F57EAC">
      <w:pPr>
        <w:spacing w:line="259" w:lineRule="auto"/>
        <w:jc w:val="left"/>
        <w:rPr>
          <w:rFonts w:ascii="Calibri" w:eastAsia="Calibri" w:hAnsi="Calibri"/>
          <w:szCs w:val="22"/>
          <w:lang w:val="en-US" w:eastAsia="en-US"/>
        </w:rPr>
      </w:pPr>
    </w:p>
    <w:p w14:paraId="37AB49C0" w14:textId="77777777" w:rsidR="00F57EAC" w:rsidRPr="00564EAE" w:rsidRDefault="00F57EAC" w:rsidP="00F57EAC">
      <w:pPr>
        <w:spacing w:line="240" w:lineRule="auto"/>
        <w:ind w:left="-5" w:right="8" w:hanging="10"/>
        <w:jc w:val="both"/>
        <w:rPr>
          <w:rFonts w:ascii="Calibri" w:hAnsi="Calibri" w:cs="Calibri"/>
          <w:color w:val="000000"/>
          <w:sz w:val="24"/>
          <w:szCs w:val="22"/>
          <w:lang w:val="en-GB" w:eastAsia="de-AT"/>
        </w:rPr>
      </w:pPr>
      <w:r w:rsidRPr="00564EAE">
        <w:rPr>
          <w:rFonts w:ascii="Calibri" w:hAnsi="Calibri" w:cs="Calibri"/>
          <w:color w:val="000000"/>
          <w:sz w:val="24"/>
          <w:szCs w:val="22"/>
          <w:lang w:val="en-GB" w:eastAsia="de-AT"/>
        </w:rPr>
        <w:t>*: Rectal cancer: ESMO Clinical Practice Guidelines for diagnosis, treatment and follow-up</w:t>
      </w:r>
    </w:p>
    <w:p w14:paraId="41390F62" w14:textId="77777777" w:rsidR="00F57EAC" w:rsidRPr="00564EAE" w:rsidRDefault="00F57EAC" w:rsidP="00F57EAC">
      <w:pPr>
        <w:rPr>
          <w:lang w:val="en-GB" w:eastAsia="de-AT"/>
        </w:rPr>
      </w:pPr>
    </w:p>
    <w:p w14:paraId="45100B20" w14:textId="77777777" w:rsidR="00F57EAC" w:rsidRPr="00564EAE" w:rsidRDefault="00F57EAC" w:rsidP="00F57EAC">
      <w:pPr>
        <w:rPr>
          <w:lang w:val="en-GB" w:eastAsia="de-AT"/>
        </w:rPr>
      </w:pPr>
    </w:p>
    <w:p w14:paraId="1387B361" w14:textId="77777777" w:rsidR="00F57EAC" w:rsidRPr="00564EAE" w:rsidRDefault="00F57EAC" w:rsidP="00F57EAC">
      <w:pPr>
        <w:rPr>
          <w:lang w:val="en-GB" w:eastAsia="de-AT"/>
        </w:rPr>
      </w:pPr>
    </w:p>
    <w:p w14:paraId="57F9412A" w14:textId="77777777" w:rsidR="00F57EAC" w:rsidRPr="00564EAE" w:rsidRDefault="00F57EAC" w:rsidP="00F57EAC">
      <w:pPr>
        <w:rPr>
          <w:lang w:val="en-GB" w:eastAsia="de-AT"/>
        </w:rPr>
      </w:pPr>
    </w:p>
    <w:p w14:paraId="1045D98D" w14:textId="77777777" w:rsidR="003E1C8E" w:rsidRPr="000225FC" w:rsidRDefault="003E1C8E" w:rsidP="003E1C8E">
      <w:pPr>
        <w:keepNext/>
        <w:spacing w:before="240" w:after="60"/>
        <w:ind w:left="705" w:hanging="705"/>
        <w:jc w:val="left"/>
        <w:outlineLvl w:val="1"/>
        <w:rPr>
          <w:rFonts w:cs="Arial"/>
          <w:b/>
          <w:bCs/>
          <w:i/>
          <w:iCs/>
          <w:sz w:val="24"/>
          <w:szCs w:val="24"/>
          <w:lang w:val="de-DE" w:eastAsia="de-AT"/>
        </w:rPr>
      </w:pPr>
      <w:bookmarkStart w:id="55" w:name="_Toc24906334"/>
      <w:bookmarkStart w:id="56" w:name="_Toc93523299"/>
      <w:bookmarkStart w:id="57" w:name="_Hlk59194150"/>
      <w:r w:rsidRPr="000225FC">
        <w:rPr>
          <w:rFonts w:cs="Arial"/>
          <w:b/>
          <w:bCs/>
          <w:i/>
          <w:iCs/>
          <w:sz w:val="24"/>
          <w:szCs w:val="24"/>
          <w:lang w:val="de-DE" w:eastAsia="de-AT"/>
        </w:rPr>
        <w:lastRenderedPageBreak/>
        <w:t>3.6</w:t>
      </w:r>
      <w:r w:rsidRPr="000225FC">
        <w:rPr>
          <w:rFonts w:cs="Arial"/>
          <w:b/>
          <w:bCs/>
          <w:i/>
          <w:iCs/>
          <w:sz w:val="24"/>
          <w:szCs w:val="24"/>
          <w:lang w:val="de-DE" w:eastAsia="de-AT"/>
        </w:rPr>
        <w:tab/>
        <w:t>Anmerkungen zum Rektumkarzinom</w:t>
      </w:r>
      <w:bookmarkEnd w:id="55"/>
      <w:bookmarkEnd w:id="56"/>
    </w:p>
    <w:p w14:paraId="62B7C246" w14:textId="77777777" w:rsidR="003E1C8E" w:rsidRPr="000225FC" w:rsidRDefault="003E1C8E" w:rsidP="003E1C8E">
      <w:pPr>
        <w:autoSpaceDE w:val="0"/>
        <w:autoSpaceDN w:val="0"/>
        <w:adjustRightInd w:val="0"/>
        <w:spacing w:line="288" w:lineRule="auto"/>
        <w:jc w:val="left"/>
        <w:rPr>
          <w:rFonts w:eastAsia="Calibri" w:cs="Arial"/>
          <w:b/>
          <w:szCs w:val="22"/>
          <w:lang w:eastAsia="en-US"/>
        </w:rPr>
      </w:pPr>
      <w:r w:rsidRPr="000225FC">
        <w:rPr>
          <w:rFonts w:eastAsia="Calibri" w:cs="Arial"/>
          <w:b/>
          <w:szCs w:val="22"/>
          <w:lang w:eastAsia="en-US"/>
        </w:rPr>
        <w:t>3.6.1</w:t>
      </w:r>
      <w:r w:rsidRPr="000225FC">
        <w:rPr>
          <w:rFonts w:eastAsia="Calibri" w:cs="Arial"/>
          <w:b/>
          <w:szCs w:val="22"/>
          <w:lang w:eastAsia="en-US"/>
        </w:rPr>
        <w:tab/>
        <w:t>Endoskopische Befundung:</w:t>
      </w:r>
    </w:p>
    <w:p w14:paraId="3EA4DF48" w14:textId="77777777" w:rsidR="003E1C8E" w:rsidRPr="000225FC" w:rsidRDefault="003E1C8E" w:rsidP="003E1C8E">
      <w:pPr>
        <w:numPr>
          <w:ilvl w:val="0"/>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Der makroskopisch klinische Tumorunterrand ist beim Rektumkarzinom, erhoben durch starres rektoskopisches Ausmessen, im Abstand zur anatomisch fix vorgegebenen und nicht verschieblichen Linea Dentata in cm  anzugeben, da der Analkanal bei jedem Patienten unterschiedlich lang sein kann und daher durch Angaben ab Linea Anocutanea kein genauer Rückschluss auf den chirurgisch relevanten Abstand vom Schließmuskel gezogen werden kann.</w:t>
      </w:r>
    </w:p>
    <w:p w14:paraId="56169D8E" w14:textId="77777777" w:rsidR="003E1C8E" w:rsidRPr="000225FC" w:rsidRDefault="003E1C8E" w:rsidP="003E1C8E">
      <w:pPr>
        <w:numPr>
          <w:ilvl w:val="0"/>
          <w:numId w:val="22"/>
        </w:numPr>
        <w:autoSpaceDE w:val="0"/>
        <w:autoSpaceDN w:val="0"/>
        <w:adjustRightInd w:val="0"/>
        <w:spacing w:line="288" w:lineRule="auto"/>
        <w:contextualSpacing/>
        <w:jc w:val="left"/>
        <w:rPr>
          <w:rFonts w:ascii="Calibri" w:eastAsia="Calibri" w:hAnsi="Calibri" w:cs="Calibri"/>
          <w:szCs w:val="22"/>
          <w:lang w:eastAsia="en-US"/>
        </w:rPr>
      </w:pPr>
      <w:r w:rsidRPr="009800C0">
        <w:rPr>
          <w:rFonts w:ascii="Calibri" w:eastAsia="Calibri" w:hAnsi="Calibri" w:cs="Calibri"/>
          <w:szCs w:val="22"/>
          <w:lang w:eastAsia="en-US"/>
        </w:rPr>
        <w:t xml:space="preserve">Unteres </w:t>
      </w:r>
      <w:r w:rsidRPr="000225FC">
        <w:rPr>
          <w:rFonts w:ascii="Calibri" w:eastAsia="Calibri" w:hAnsi="Calibri" w:cs="Calibri"/>
          <w:szCs w:val="22"/>
          <w:lang w:eastAsia="en-US"/>
        </w:rPr>
        <w:t>Drittel:</w:t>
      </w:r>
      <w:r>
        <w:rPr>
          <w:rFonts w:ascii="Calibri" w:eastAsia="Calibri" w:hAnsi="Calibri" w:cs="Calibri"/>
          <w:szCs w:val="22"/>
          <w:lang w:eastAsia="en-US"/>
        </w:rPr>
        <w:t xml:space="preserve"> </w:t>
      </w:r>
      <w:r w:rsidRPr="000225FC">
        <w:rPr>
          <w:rFonts w:ascii="Calibri" w:eastAsia="Calibri" w:hAnsi="Calibri" w:cs="Calibri"/>
          <w:szCs w:val="22"/>
          <w:lang w:eastAsia="en-US"/>
        </w:rPr>
        <w:t>0-6cm ab linea dentata</w:t>
      </w:r>
    </w:p>
    <w:p w14:paraId="3CA7269B" w14:textId="77777777" w:rsidR="003E1C8E" w:rsidRPr="000225FC" w:rsidRDefault="003E1C8E" w:rsidP="003E1C8E">
      <w:pPr>
        <w:numPr>
          <w:ilvl w:val="0"/>
          <w:numId w:val="22"/>
        </w:numPr>
        <w:autoSpaceDE w:val="0"/>
        <w:autoSpaceDN w:val="0"/>
        <w:adjustRightInd w:val="0"/>
        <w:spacing w:line="288"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Mittleres Drittel:</w:t>
      </w:r>
      <w:r>
        <w:rPr>
          <w:rFonts w:ascii="Calibri" w:eastAsia="Calibri" w:hAnsi="Calibri" w:cs="Calibri"/>
          <w:szCs w:val="22"/>
          <w:lang w:eastAsia="en-US"/>
        </w:rPr>
        <w:t xml:space="preserve"> </w:t>
      </w:r>
      <w:r w:rsidRPr="000225FC">
        <w:rPr>
          <w:rFonts w:ascii="Calibri" w:eastAsia="Calibri" w:hAnsi="Calibri" w:cs="Calibri"/>
          <w:szCs w:val="22"/>
          <w:lang w:eastAsia="en-US"/>
        </w:rPr>
        <w:t>6-12 cm ab linea dentata</w:t>
      </w:r>
    </w:p>
    <w:p w14:paraId="7380CFDD" w14:textId="77777777" w:rsidR="003E1C8E" w:rsidRPr="000225FC" w:rsidRDefault="003E1C8E" w:rsidP="003E1C8E">
      <w:pPr>
        <w:numPr>
          <w:ilvl w:val="0"/>
          <w:numId w:val="22"/>
        </w:numPr>
        <w:autoSpaceDE w:val="0"/>
        <w:autoSpaceDN w:val="0"/>
        <w:adjustRightInd w:val="0"/>
        <w:spacing w:line="288"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Oberes Drittel: 12-16 ab line dentata</w:t>
      </w:r>
    </w:p>
    <w:p w14:paraId="2FB33D09" w14:textId="77777777" w:rsidR="003E1C8E" w:rsidRPr="000225FC" w:rsidRDefault="003E1C8E" w:rsidP="003E1C8E">
      <w:pPr>
        <w:numPr>
          <w:ilvl w:val="0"/>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Ebenso muss die zirkumferentielle Ausdehnung mit der Angabe einer Uhrzeitbezeichnung in Steinschnittlage(SSL) oder alternativ Knie-Ellenbogen Lage (KEL) mit dem Zusatz um welche Lage es sich bei der endoskopischen Angabe handelt dokumentiert werden. Bei nicht stenosierenden Tumoren ist zusätzlich der obere Tumorrand in cm ab linea dentata wünschenswert. Die Endosonografie mit cTN Stadium sollte ebenso in einer Sitzung durchgeführt werden.</w:t>
      </w:r>
    </w:p>
    <w:p w14:paraId="0A393D8B" w14:textId="77777777" w:rsidR="003E1C8E" w:rsidRPr="000225FC" w:rsidRDefault="003E1C8E" w:rsidP="003E1C8E">
      <w:pPr>
        <w:numPr>
          <w:ilvl w:val="0"/>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Beispielbefund Endoskopie:</w:t>
      </w:r>
    </w:p>
    <w:p w14:paraId="50FAA49C" w14:textId="77777777" w:rsidR="003E1C8E" w:rsidRPr="000225FC" w:rsidRDefault="003E1C8E" w:rsidP="003E1C8E">
      <w:pPr>
        <w:numPr>
          <w:ilvl w:val="1"/>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 xml:space="preserve">schüsselförmig exulzerierendes Rektumkarzinom im unteren Drittel, starr ausgemessen </w:t>
      </w:r>
      <w:r w:rsidRPr="000225FC">
        <w:rPr>
          <w:rFonts w:ascii="Calibri" w:eastAsia="Calibri" w:hAnsi="Calibri" w:cs="Calibri"/>
          <w:szCs w:val="22"/>
          <w:lang w:eastAsia="en-US"/>
        </w:rPr>
        <w:br/>
        <w:t>2-4 cm ab Linea Dentata, 3 Uhr-7 Uhr SSL, nicht stenosierend, endosonografisch cT3Npos</w:t>
      </w:r>
    </w:p>
    <w:p w14:paraId="3A89C778" w14:textId="77777777" w:rsidR="003E1C8E" w:rsidRPr="003D4CA4" w:rsidRDefault="003E1C8E" w:rsidP="003E1C8E">
      <w:pPr>
        <w:autoSpaceDE w:val="0"/>
        <w:autoSpaceDN w:val="0"/>
        <w:adjustRightInd w:val="0"/>
        <w:spacing w:line="288" w:lineRule="auto"/>
        <w:contextualSpacing/>
        <w:jc w:val="left"/>
        <w:rPr>
          <w:rFonts w:ascii="Calibri" w:eastAsia="Calibri" w:hAnsi="Calibri" w:cs="Calibri"/>
          <w:sz w:val="16"/>
          <w:szCs w:val="16"/>
          <w:lang w:eastAsia="en-US"/>
        </w:rPr>
      </w:pPr>
    </w:p>
    <w:p w14:paraId="52B6156B" w14:textId="77777777" w:rsidR="003E1C8E" w:rsidRPr="000225FC" w:rsidRDefault="003E1C8E" w:rsidP="003E1C8E">
      <w:pPr>
        <w:autoSpaceDE w:val="0"/>
        <w:autoSpaceDN w:val="0"/>
        <w:adjustRightInd w:val="0"/>
        <w:spacing w:line="288" w:lineRule="auto"/>
        <w:ind w:left="720" w:hanging="720"/>
        <w:jc w:val="left"/>
        <w:rPr>
          <w:rFonts w:ascii="Calibri" w:eastAsia="Calibri" w:hAnsi="Calibri" w:cs="Calibri"/>
          <w:szCs w:val="22"/>
          <w:lang w:eastAsia="en-US"/>
        </w:rPr>
      </w:pPr>
      <w:r w:rsidRPr="000225FC">
        <w:rPr>
          <w:rFonts w:eastAsia="Calibri" w:cs="Arial"/>
          <w:b/>
          <w:szCs w:val="22"/>
          <w:lang w:eastAsia="en-US"/>
        </w:rPr>
        <w:t>3.6.2</w:t>
      </w:r>
      <w:r w:rsidRPr="000225FC">
        <w:rPr>
          <w:rFonts w:eastAsia="Calibri" w:cs="Arial"/>
          <w:b/>
          <w:szCs w:val="22"/>
          <w:lang w:eastAsia="en-US"/>
        </w:rPr>
        <w:tab/>
        <w:t>Begründung für neoadjuvante Radiochemotherapie bei cT4 und/oder cN pos. Rektumkazinomen mit Lokalisation im oberen Drittel:</w:t>
      </w:r>
    </w:p>
    <w:p w14:paraId="2E608702" w14:textId="77777777" w:rsidR="003E1C8E" w:rsidRPr="000225FC" w:rsidRDefault="003E1C8E" w:rsidP="003E1C8E">
      <w:pPr>
        <w:numPr>
          <w:ilvl w:val="0"/>
          <w:numId w:val="6"/>
        </w:numPr>
        <w:autoSpaceDE w:val="0"/>
        <w:autoSpaceDN w:val="0"/>
        <w:adjustRightInd w:val="0"/>
        <w:spacing w:after="160" w:line="288"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T4 Tumore und nodal positive Tumore haben ein deutlich erhöhtes Lokalrezidivrisiko.</w:t>
      </w:r>
    </w:p>
    <w:p w14:paraId="48282919" w14:textId="77777777" w:rsidR="003E1C8E" w:rsidRPr="000225FC" w:rsidRDefault="003E1C8E" w:rsidP="003E1C8E">
      <w:pPr>
        <w:numPr>
          <w:ilvl w:val="0"/>
          <w:numId w:val="6"/>
        </w:numPr>
        <w:autoSpaceDE w:val="0"/>
        <w:autoSpaceDN w:val="0"/>
        <w:adjustRightInd w:val="0"/>
        <w:spacing w:after="160" w:line="288"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 xml:space="preserve">Durch die chirurgisch nur partielle TME mit einem distalen Tumorabstand von 5 cm werden nicht alle LK des Mesorektums entfernt. Dies fördert zwar deutlich die postoperativen Kontinenzraten, erlaubt aber keine hundertprozentige LK Kontrolle. Wenn auch der Hauptmetastasierungsweg im oberen Drittel über die Lymphgefäße entlang der A. rectalis superior in Richtung A. mesenterica inferior geht und somit dem des Colonkarzinoms entspricht, sollte daher bei prätherapeutisch klinisch positiven LK im Mesorektum eine neoadjuvante RCT durchgeführt werden.  </w:t>
      </w:r>
    </w:p>
    <w:p w14:paraId="47BD87F6" w14:textId="77777777" w:rsidR="003E1C8E" w:rsidRPr="003D4CA4" w:rsidRDefault="003E1C8E" w:rsidP="003E1C8E">
      <w:pPr>
        <w:autoSpaceDE w:val="0"/>
        <w:autoSpaceDN w:val="0"/>
        <w:adjustRightInd w:val="0"/>
        <w:spacing w:after="160" w:line="288" w:lineRule="auto"/>
        <w:contextualSpacing/>
        <w:jc w:val="left"/>
        <w:rPr>
          <w:rFonts w:ascii="Calibri" w:eastAsia="Calibri" w:hAnsi="Calibri" w:cs="Calibri"/>
          <w:sz w:val="16"/>
          <w:szCs w:val="16"/>
          <w:lang w:eastAsia="en-US"/>
        </w:rPr>
      </w:pPr>
    </w:p>
    <w:p w14:paraId="4D15C713" w14:textId="77777777" w:rsidR="003E1C8E" w:rsidRPr="000225FC" w:rsidRDefault="003E1C8E" w:rsidP="003E1C8E">
      <w:pPr>
        <w:autoSpaceDE w:val="0"/>
        <w:autoSpaceDN w:val="0"/>
        <w:adjustRightInd w:val="0"/>
        <w:spacing w:line="288" w:lineRule="auto"/>
        <w:ind w:left="720" w:hanging="720"/>
        <w:jc w:val="left"/>
        <w:rPr>
          <w:rFonts w:eastAsia="Calibri" w:cs="Arial"/>
          <w:b/>
          <w:szCs w:val="22"/>
          <w:lang w:eastAsia="en-US"/>
        </w:rPr>
      </w:pPr>
      <w:bookmarkStart w:id="58" w:name="_Hlk93513287"/>
      <w:r w:rsidRPr="000225FC">
        <w:rPr>
          <w:rFonts w:eastAsia="Calibri" w:cs="Arial"/>
          <w:b/>
          <w:szCs w:val="22"/>
          <w:lang w:eastAsia="en-US"/>
        </w:rPr>
        <w:t>3.6.3</w:t>
      </w:r>
      <w:r w:rsidRPr="000225FC">
        <w:rPr>
          <w:rFonts w:eastAsia="Calibri" w:cs="Arial"/>
          <w:b/>
          <w:szCs w:val="22"/>
          <w:lang w:eastAsia="en-US"/>
        </w:rPr>
        <w:tab/>
        <w:t>Positive laterale Lymphknoten sollten nach neoadjuvanter CRT operativ entfernt werden:</w:t>
      </w:r>
    </w:p>
    <w:p w14:paraId="57831485" w14:textId="77777777" w:rsidR="003E1C8E" w:rsidRPr="000225FC" w:rsidRDefault="003E1C8E" w:rsidP="003E1C8E">
      <w:pPr>
        <w:numPr>
          <w:ilvl w:val="0"/>
          <w:numId w:val="6"/>
        </w:numPr>
        <w:autoSpaceDE w:val="0"/>
        <w:autoSpaceDN w:val="0"/>
        <w:adjustRightInd w:val="0"/>
        <w:spacing w:line="288" w:lineRule="auto"/>
        <w:jc w:val="left"/>
        <w:rPr>
          <w:rFonts w:ascii="Calibri" w:eastAsia="Calibri" w:hAnsi="Calibri" w:cs="Calibri"/>
          <w:szCs w:val="22"/>
          <w:lang w:eastAsia="en-US"/>
        </w:rPr>
      </w:pPr>
      <w:bookmarkStart w:id="59" w:name="_Hlk93513306"/>
      <w:bookmarkStart w:id="60" w:name="_Hlk93513334"/>
      <w:bookmarkEnd w:id="58"/>
      <w:r w:rsidRPr="000225FC">
        <w:rPr>
          <w:rFonts w:ascii="Calibri" w:eastAsia="Calibri" w:hAnsi="Calibri" w:cs="Calibri"/>
          <w:szCs w:val="22"/>
          <w:lang w:eastAsia="en-US"/>
        </w:rPr>
        <w:t xml:space="preserve">Retrospektive Analyse </w:t>
      </w:r>
      <w:r w:rsidRPr="000225FC">
        <w:rPr>
          <w:rFonts w:ascii="Calibri" w:eastAsia="Calibri" w:hAnsi="Calibri" w:cs="Calibri"/>
          <w:szCs w:val="22"/>
          <w:vertAlign w:val="superscript"/>
          <w:lang w:eastAsia="en-US"/>
        </w:rPr>
        <w:t>1)</w:t>
      </w:r>
      <w:r w:rsidRPr="000225FC">
        <w:rPr>
          <w:rFonts w:ascii="Calibri" w:eastAsia="Calibri" w:hAnsi="Calibri" w:cs="Calibri"/>
          <w:szCs w:val="22"/>
          <w:lang w:eastAsia="en-US"/>
        </w:rPr>
        <w:t xml:space="preserve"> einer Kohorte von 1500 Patienten mit tiefsitzendem Rektumkarzinom im Stadium cII/cIII und </w:t>
      </w:r>
      <w:bookmarkEnd w:id="59"/>
      <w:r w:rsidRPr="000225FC">
        <w:rPr>
          <w:rFonts w:ascii="Calibri" w:eastAsia="Calibri" w:hAnsi="Calibri" w:cs="Calibri"/>
          <w:szCs w:val="22"/>
          <w:lang w:eastAsia="en-US"/>
        </w:rPr>
        <w:t>positiven lateralen Lymphknoten (Kurzachsendurchmesser ≥ 5mm bei MRT):</w:t>
      </w:r>
    </w:p>
    <w:bookmarkEnd w:id="60"/>
    <w:p w14:paraId="5AB70C61" w14:textId="77777777" w:rsidR="003E1C8E" w:rsidRPr="000225FC" w:rsidRDefault="003E1C8E" w:rsidP="003E1C8E">
      <w:pPr>
        <w:numPr>
          <w:ilvl w:val="1"/>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Laterale Lymphknotendissektion (LLND) ist mit einem signifikant besseren 5-Jahres-RFS assoziiert.</w:t>
      </w:r>
    </w:p>
    <w:p w14:paraId="3B62CBD1" w14:textId="77777777" w:rsidR="003E1C8E" w:rsidRPr="000225FC" w:rsidRDefault="003E1C8E" w:rsidP="003E1C8E">
      <w:pPr>
        <w:numPr>
          <w:ilvl w:val="1"/>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 xml:space="preserve">5y-RFS bei Patienten mit LLN ≥5 mm bei pre-CRT-MRI: </w:t>
      </w:r>
    </w:p>
    <w:p w14:paraId="5831DDF3" w14:textId="77777777" w:rsidR="003E1C8E" w:rsidRDefault="003E1C8E" w:rsidP="003E1C8E">
      <w:pPr>
        <w:numPr>
          <w:ilvl w:val="2"/>
          <w:numId w:val="6"/>
        </w:numPr>
        <w:autoSpaceDE w:val="0"/>
        <w:autoSpaceDN w:val="0"/>
        <w:adjustRightInd w:val="0"/>
        <w:spacing w:line="288" w:lineRule="auto"/>
        <w:jc w:val="left"/>
        <w:rPr>
          <w:rFonts w:ascii="Calibri" w:eastAsia="Calibri" w:hAnsi="Calibri" w:cs="Calibri"/>
          <w:szCs w:val="22"/>
          <w:lang w:eastAsia="en-US"/>
        </w:rPr>
      </w:pPr>
      <w:r w:rsidRPr="000225FC">
        <w:rPr>
          <w:rFonts w:ascii="Calibri" w:eastAsia="Calibri" w:hAnsi="Calibri" w:cs="Calibri"/>
          <w:szCs w:val="22"/>
          <w:lang w:eastAsia="en-US"/>
        </w:rPr>
        <w:t>77.8% in der LLND-Gruppe versus 46.2% in der non-LLND-Gruppe (p = 0.06)</w:t>
      </w:r>
    </w:p>
    <w:p w14:paraId="0C1CA8FE" w14:textId="77777777" w:rsidR="003E1C8E" w:rsidRPr="003D4CA4" w:rsidRDefault="003E1C8E" w:rsidP="003E1C8E">
      <w:pPr>
        <w:autoSpaceDE w:val="0"/>
        <w:autoSpaceDN w:val="0"/>
        <w:adjustRightInd w:val="0"/>
        <w:spacing w:line="288" w:lineRule="auto"/>
        <w:jc w:val="left"/>
        <w:rPr>
          <w:rFonts w:ascii="Calibri" w:eastAsia="Calibri" w:hAnsi="Calibri" w:cs="Calibri"/>
          <w:sz w:val="16"/>
          <w:szCs w:val="16"/>
          <w:lang w:eastAsia="en-US"/>
        </w:rPr>
      </w:pPr>
    </w:p>
    <w:p w14:paraId="428BD976" w14:textId="77777777" w:rsidR="003E1C8E" w:rsidRPr="009247D3" w:rsidRDefault="003E1C8E" w:rsidP="003E1C8E">
      <w:pPr>
        <w:autoSpaceDE w:val="0"/>
        <w:autoSpaceDN w:val="0"/>
        <w:adjustRightInd w:val="0"/>
        <w:spacing w:line="288" w:lineRule="auto"/>
        <w:ind w:left="720" w:hanging="720"/>
        <w:jc w:val="left"/>
        <w:rPr>
          <w:rFonts w:eastAsia="Calibri" w:cs="Arial"/>
          <w:b/>
          <w:szCs w:val="22"/>
          <w:lang w:eastAsia="en-US"/>
        </w:rPr>
      </w:pPr>
      <w:r w:rsidRPr="009247D3">
        <w:rPr>
          <w:rFonts w:eastAsia="Calibri" w:cs="Arial"/>
          <w:b/>
          <w:szCs w:val="22"/>
          <w:lang w:eastAsia="en-US"/>
        </w:rPr>
        <w:t>3.6.</w:t>
      </w:r>
      <w:r w:rsidR="007F743D">
        <w:rPr>
          <w:rFonts w:eastAsia="Calibri" w:cs="Arial"/>
          <w:b/>
          <w:szCs w:val="22"/>
          <w:lang w:eastAsia="en-US"/>
        </w:rPr>
        <w:t>4</w:t>
      </w:r>
      <w:r w:rsidRPr="009247D3">
        <w:rPr>
          <w:rFonts w:eastAsia="Calibri" w:cs="Arial"/>
          <w:b/>
          <w:szCs w:val="22"/>
          <w:lang w:eastAsia="en-US"/>
        </w:rPr>
        <w:tab/>
        <w:t>Bei sphinktererhaltender Rektumresektion sollte der LARS-Score bestimmt werden (auch bereits präoperativ):</w:t>
      </w:r>
    </w:p>
    <w:p w14:paraId="0A225EC2" w14:textId="77777777" w:rsidR="003E1C8E" w:rsidRPr="009247D3" w:rsidRDefault="003E1C8E" w:rsidP="003E1C8E">
      <w:pPr>
        <w:numPr>
          <w:ilvl w:val="0"/>
          <w:numId w:val="6"/>
        </w:numPr>
        <w:autoSpaceDE w:val="0"/>
        <w:autoSpaceDN w:val="0"/>
        <w:adjustRightInd w:val="0"/>
        <w:spacing w:after="160" w:line="240" w:lineRule="auto"/>
        <w:ind w:left="426"/>
        <w:contextualSpacing/>
        <w:jc w:val="left"/>
        <w:rPr>
          <w:lang w:val="de-DE" w:eastAsia="de-AT"/>
        </w:rPr>
      </w:pPr>
      <w:r w:rsidRPr="009247D3">
        <w:rPr>
          <w:rFonts w:ascii="Calibri" w:eastAsia="Calibri" w:hAnsi="Calibri" w:cs="Calibri"/>
          <w:szCs w:val="22"/>
          <w:lang w:eastAsia="en-US"/>
        </w:rPr>
        <w:t>Der Lars-Score (Low Anterior Resection Syndrom Score) ist eine wenig aufwendige Möglichkeit</w:t>
      </w:r>
      <w:r w:rsidRPr="009247D3">
        <w:rPr>
          <w:rFonts w:ascii="Calibri" w:eastAsia="Calibri" w:hAnsi="Calibri" w:cs="Calibri"/>
          <w:szCs w:val="22"/>
          <w:lang w:eastAsia="en-US"/>
        </w:rPr>
        <w:br/>
        <w:t>zur Abschätzung der funktionellen Auswirkungen einer sphinktererhaltenden Rektumresektion</w:t>
      </w:r>
      <w:r w:rsidRPr="009247D3">
        <w:rPr>
          <w:rFonts w:ascii="Calibri" w:eastAsia="Calibri" w:hAnsi="Calibri" w:cs="Calibri"/>
          <w:szCs w:val="22"/>
          <w:lang w:eastAsia="en-US"/>
        </w:rPr>
        <w:br/>
        <w:t xml:space="preserve">(siehe Fragebogen Seite </w:t>
      </w:r>
      <w:r w:rsidR="008D499A" w:rsidRPr="009247D3">
        <w:rPr>
          <w:rFonts w:ascii="Calibri" w:eastAsia="Calibri" w:hAnsi="Calibri" w:cs="Calibri"/>
          <w:szCs w:val="22"/>
          <w:lang w:eastAsia="en-US"/>
        </w:rPr>
        <w:t>7</w:t>
      </w:r>
      <w:r w:rsidRPr="009247D3">
        <w:rPr>
          <w:rFonts w:ascii="Calibri" w:eastAsia="Calibri" w:hAnsi="Calibri" w:cs="Calibri"/>
          <w:szCs w:val="22"/>
          <w:lang w:eastAsia="en-US"/>
        </w:rPr>
        <w:t>).</w:t>
      </w:r>
    </w:p>
    <w:p w14:paraId="6399F89D" w14:textId="77777777" w:rsidR="003E1C8E" w:rsidRPr="003D4CA4" w:rsidRDefault="003E1C8E" w:rsidP="003E1C8E">
      <w:pPr>
        <w:autoSpaceDE w:val="0"/>
        <w:autoSpaceDN w:val="0"/>
        <w:adjustRightInd w:val="0"/>
        <w:spacing w:after="160" w:line="288" w:lineRule="auto"/>
        <w:ind w:left="360"/>
        <w:contextualSpacing/>
        <w:jc w:val="left"/>
        <w:rPr>
          <w:rFonts w:ascii="Calibri" w:eastAsia="Calibri" w:hAnsi="Calibri" w:cs="Calibri"/>
          <w:iCs/>
          <w:sz w:val="20"/>
          <w:lang w:eastAsia="en-US"/>
        </w:rPr>
      </w:pPr>
    </w:p>
    <w:p w14:paraId="24E38B75" w14:textId="77777777" w:rsidR="003E1C8E" w:rsidRPr="00564EAE" w:rsidRDefault="003E1C8E" w:rsidP="003E1C8E">
      <w:pPr>
        <w:autoSpaceDE w:val="0"/>
        <w:autoSpaceDN w:val="0"/>
        <w:adjustRightInd w:val="0"/>
        <w:spacing w:after="160" w:line="288" w:lineRule="auto"/>
        <w:ind w:left="360"/>
        <w:contextualSpacing/>
        <w:jc w:val="left"/>
        <w:rPr>
          <w:rFonts w:ascii="Calibri" w:eastAsia="Calibri" w:hAnsi="Calibri" w:cs="Calibri"/>
          <w:sz w:val="18"/>
          <w:szCs w:val="18"/>
          <w:lang w:val="en-GB" w:eastAsia="en-US"/>
        </w:rPr>
      </w:pPr>
      <w:r w:rsidRPr="00564EAE">
        <w:rPr>
          <w:rFonts w:ascii="Calibri" w:eastAsia="Calibri" w:hAnsi="Calibri" w:cs="Calibri"/>
          <w:iCs/>
          <w:sz w:val="18"/>
          <w:szCs w:val="18"/>
          <w:lang w:val="en-GB" w:eastAsia="en-US"/>
        </w:rPr>
        <w:t>1)</w:t>
      </w:r>
      <w:r w:rsidRPr="00564EAE">
        <w:rPr>
          <w:rFonts w:ascii="Calibri" w:eastAsia="Calibri" w:hAnsi="Calibri" w:cs="Calibri"/>
          <w:iCs/>
          <w:sz w:val="18"/>
          <w:szCs w:val="18"/>
          <w:lang w:val="en-GB" w:eastAsia="en-US"/>
        </w:rPr>
        <w:tab/>
        <w:t xml:space="preserve">Nishizaki et al, </w:t>
      </w:r>
      <w:r w:rsidRPr="00564EAE">
        <w:rPr>
          <w:rFonts w:ascii="Calibri" w:eastAsia="Calibri" w:hAnsi="Calibri" w:cs="Calibri"/>
          <w:i/>
          <w:iCs/>
          <w:sz w:val="18"/>
          <w:szCs w:val="18"/>
          <w:lang w:val="en-GB" w:eastAsia="en-US"/>
        </w:rPr>
        <w:t>Annals of Oncology, Volume 30, Issue Supplement_5, October 2019</w:t>
      </w:r>
    </w:p>
    <w:p w14:paraId="4869DAF9" w14:textId="77777777" w:rsidR="003E1C8E" w:rsidRPr="00760799" w:rsidRDefault="003E1C8E" w:rsidP="003E1C8E">
      <w:pPr>
        <w:pStyle w:val="berschrift2"/>
        <w:ind w:left="0" w:firstLine="0"/>
        <w:rPr>
          <w:lang w:val="de-DE" w:eastAsia="de-AT"/>
        </w:rPr>
      </w:pPr>
      <w:bookmarkStart w:id="61" w:name="_Toc24906335"/>
      <w:bookmarkStart w:id="62" w:name="_Toc93523300"/>
      <w:r>
        <w:rPr>
          <w:lang w:val="de-DE" w:eastAsia="de-AT"/>
        </w:rPr>
        <w:lastRenderedPageBreak/>
        <w:t>3.7</w:t>
      </w:r>
      <w:r>
        <w:rPr>
          <w:lang w:val="de-DE" w:eastAsia="de-AT"/>
        </w:rPr>
        <w:tab/>
      </w:r>
      <w:r w:rsidRPr="00760799">
        <w:rPr>
          <w:lang w:val="de-DE" w:eastAsia="de-AT"/>
        </w:rPr>
        <w:t>Anmerkungen Radiologie beim Rektumkarzinom</w:t>
      </w:r>
      <w:bookmarkEnd w:id="61"/>
      <w:bookmarkEnd w:id="62"/>
    </w:p>
    <w:p w14:paraId="200269A3" w14:textId="77777777" w:rsidR="003E1C8E" w:rsidRPr="00760799" w:rsidRDefault="003E1C8E" w:rsidP="003E1C8E">
      <w:pPr>
        <w:spacing w:line="276" w:lineRule="auto"/>
        <w:jc w:val="both"/>
        <w:rPr>
          <w:rFonts w:ascii="Calibri" w:hAnsi="Calibri" w:cs="Calibri"/>
          <w:b/>
        </w:rPr>
      </w:pPr>
      <w:r w:rsidRPr="00760799">
        <w:rPr>
          <w:rFonts w:ascii="Calibri" w:hAnsi="Calibri" w:cs="Calibri"/>
          <w:b/>
        </w:rPr>
        <w:t>Der MR-Befund beim primären Staging des Rektumkarzinoms sollte folgende Punkte beinhalten:</w:t>
      </w:r>
    </w:p>
    <w:p w14:paraId="179B4A44" w14:textId="77777777" w:rsidR="003E1C8E" w:rsidRPr="00760799" w:rsidRDefault="003E1C8E" w:rsidP="003E1C8E">
      <w:pPr>
        <w:spacing w:line="276" w:lineRule="auto"/>
        <w:jc w:val="both"/>
        <w:rPr>
          <w:rFonts w:ascii="Calibri" w:hAnsi="Calibri" w:cs="Calibri"/>
          <w:b/>
          <w:sz w:val="4"/>
          <w:szCs w:val="4"/>
        </w:rPr>
      </w:pPr>
    </w:p>
    <w:p w14:paraId="3B7CC116" w14:textId="77777777" w:rsidR="003E1C8E" w:rsidRPr="00760799" w:rsidRDefault="003E1C8E" w:rsidP="003E1C8E">
      <w:pPr>
        <w:spacing w:line="276" w:lineRule="auto"/>
        <w:jc w:val="both"/>
        <w:rPr>
          <w:rFonts w:ascii="Calibri" w:hAnsi="Calibri" w:cs="Calibri"/>
          <w:b/>
        </w:rPr>
      </w:pPr>
      <w:r w:rsidRPr="00760799">
        <w:rPr>
          <w:rFonts w:ascii="Calibri" w:hAnsi="Calibri" w:cs="Calibri"/>
          <w:b/>
          <w:szCs w:val="22"/>
        </w:rPr>
        <w:t>Lokaler Tumorstatus</w:t>
      </w:r>
    </w:p>
    <w:p w14:paraId="3C082D2D"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Morphologie:</w:t>
      </w:r>
      <w:r w:rsidRPr="00760799">
        <w:rPr>
          <w:rFonts w:ascii="Calibri" w:hAnsi="Calibri" w:cs="Calibri"/>
          <w:szCs w:val="22"/>
        </w:rPr>
        <w:tab/>
        <w:t>-      solid – polypoid</w:t>
      </w:r>
    </w:p>
    <w:p w14:paraId="20B9FC6E" w14:textId="77777777" w:rsidR="003E1C8E" w:rsidRPr="00760799" w:rsidRDefault="003E1C8E" w:rsidP="003E1C8E">
      <w:pPr>
        <w:numPr>
          <w:ilvl w:val="0"/>
          <w:numId w:val="15"/>
        </w:numPr>
        <w:spacing w:line="276" w:lineRule="auto"/>
        <w:contextualSpacing/>
        <w:jc w:val="both"/>
        <w:rPr>
          <w:rFonts w:ascii="Calibri" w:hAnsi="Calibri" w:cs="Calibri"/>
          <w:szCs w:val="22"/>
        </w:rPr>
      </w:pPr>
      <w:r w:rsidRPr="00760799">
        <w:rPr>
          <w:rFonts w:ascii="Calibri" w:hAnsi="Calibri" w:cs="Calibri"/>
          <w:szCs w:val="22"/>
        </w:rPr>
        <w:t>solid – (semi)annular:</w:t>
      </w:r>
      <w:r w:rsidRPr="00760799">
        <w:rPr>
          <w:rFonts w:ascii="Calibri" w:hAnsi="Calibri" w:cs="Calibri"/>
          <w:szCs w:val="22"/>
        </w:rPr>
        <w:tab/>
      </w:r>
      <w:r w:rsidRPr="00760799">
        <w:rPr>
          <w:rFonts w:ascii="Calibri" w:hAnsi="Calibri" w:cs="Calibri"/>
          <w:szCs w:val="22"/>
        </w:rPr>
        <w:tab/>
        <w:t>von … bis … „Uhr“</w:t>
      </w:r>
    </w:p>
    <w:p w14:paraId="1A15BCB7" w14:textId="77777777" w:rsidR="003E1C8E" w:rsidRPr="00760799" w:rsidRDefault="003E1C8E" w:rsidP="003E1C8E">
      <w:pPr>
        <w:numPr>
          <w:ilvl w:val="0"/>
          <w:numId w:val="15"/>
        </w:numPr>
        <w:spacing w:line="276" w:lineRule="auto"/>
        <w:contextualSpacing/>
        <w:jc w:val="both"/>
        <w:rPr>
          <w:rFonts w:ascii="Calibri" w:hAnsi="Calibri" w:cs="Calibri"/>
          <w:szCs w:val="22"/>
        </w:rPr>
      </w:pPr>
      <w:r w:rsidRPr="00760799">
        <w:rPr>
          <w:rFonts w:ascii="Calibri" w:hAnsi="Calibri" w:cs="Calibri"/>
          <w:szCs w:val="22"/>
        </w:rPr>
        <w:t>mucinös:</w:t>
      </w:r>
      <w:r w:rsidRPr="00760799">
        <w:rPr>
          <w:rFonts w:ascii="Calibri" w:hAnsi="Calibri" w:cs="Calibri"/>
          <w:szCs w:val="22"/>
        </w:rPr>
        <w:tab/>
      </w:r>
      <w:r w:rsidRPr="00760799">
        <w:rPr>
          <w:rFonts w:ascii="Calibri" w:hAnsi="Calibri" w:cs="Calibri"/>
          <w:szCs w:val="22"/>
        </w:rPr>
        <w:tab/>
      </w:r>
      <w:r w:rsidRPr="00760799">
        <w:rPr>
          <w:rFonts w:ascii="Calibri" w:hAnsi="Calibri" w:cs="Calibri"/>
          <w:szCs w:val="22"/>
        </w:rPr>
        <w:tab/>
      </w:r>
      <w:r w:rsidRPr="00760799">
        <w:rPr>
          <w:rFonts w:ascii="Calibri" w:hAnsi="Calibri" w:cs="Calibri"/>
          <w:szCs w:val="22"/>
        </w:rPr>
        <w:tab/>
        <w:t>von … bis … „Uhr“</w:t>
      </w:r>
    </w:p>
    <w:p w14:paraId="4EF56729"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Distanz vom anorektalen Übergang zum Tumorunterrand in cm</w:t>
      </w:r>
    </w:p>
    <w:p w14:paraId="37836FF4"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Tumorlänge in cm</w:t>
      </w:r>
    </w:p>
    <w:p w14:paraId="486AB83C"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 xml:space="preserve">T-Staging: </w:t>
      </w:r>
      <w:r w:rsidRPr="00760799">
        <w:rPr>
          <w:rFonts w:ascii="Calibri" w:hAnsi="Calibri" w:cs="Calibri"/>
          <w:szCs w:val="22"/>
        </w:rPr>
        <w:tab/>
      </w:r>
      <w:r w:rsidRPr="00760799">
        <w:rPr>
          <w:rFonts w:ascii="Calibri" w:hAnsi="Calibri" w:cs="Calibri"/>
          <w:szCs w:val="22"/>
        </w:rPr>
        <w:tab/>
        <w:t>-      T1 – T2</w:t>
      </w:r>
    </w:p>
    <w:p w14:paraId="412AB269" w14:textId="77777777" w:rsidR="003E1C8E" w:rsidRPr="00760799" w:rsidRDefault="003E1C8E" w:rsidP="003E1C8E">
      <w:pPr>
        <w:numPr>
          <w:ilvl w:val="1"/>
          <w:numId w:val="3"/>
        </w:numPr>
        <w:spacing w:line="276" w:lineRule="auto"/>
        <w:ind w:left="2484"/>
        <w:contextualSpacing/>
        <w:jc w:val="both"/>
        <w:rPr>
          <w:rFonts w:ascii="Calibri" w:hAnsi="Calibri" w:cs="Calibri"/>
          <w:szCs w:val="22"/>
        </w:rPr>
      </w:pPr>
      <w:r w:rsidRPr="00760799">
        <w:rPr>
          <w:rFonts w:ascii="Calibri" w:hAnsi="Calibri" w:cs="Calibri"/>
          <w:szCs w:val="22"/>
        </w:rPr>
        <w:t>T3</w:t>
      </w:r>
      <w:r w:rsidRPr="00760799">
        <w:rPr>
          <w:rFonts w:ascii="Calibri" w:hAnsi="Calibri" w:cs="Calibri"/>
          <w:szCs w:val="22"/>
        </w:rPr>
        <w:tab/>
      </w:r>
      <w:r w:rsidRPr="00760799">
        <w:rPr>
          <w:rFonts w:ascii="Calibri" w:hAnsi="Calibri" w:cs="Calibri"/>
          <w:szCs w:val="22"/>
        </w:rPr>
        <w:tab/>
        <w:t>T3a oder T3b (&lt; 5 mm extramurales Wachstum)</w:t>
      </w:r>
    </w:p>
    <w:p w14:paraId="1E0B2D1B" w14:textId="77777777" w:rsidR="003E1C8E" w:rsidRPr="00760799" w:rsidRDefault="003E1C8E" w:rsidP="003E1C8E">
      <w:pPr>
        <w:spacing w:line="276" w:lineRule="auto"/>
        <w:ind w:left="2832" w:firstLine="708"/>
        <w:contextualSpacing/>
        <w:jc w:val="both"/>
        <w:rPr>
          <w:rFonts w:ascii="Calibri" w:hAnsi="Calibri" w:cs="Calibri"/>
          <w:szCs w:val="22"/>
        </w:rPr>
      </w:pPr>
      <w:r w:rsidRPr="00760799">
        <w:rPr>
          <w:rFonts w:ascii="Calibri" w:hAnsi="Calibri" w:cs="Calibri"/>
          <w:szCs w:val="22"/>
        </w:rPr>
        <w:t>T3c oder T3d (&gt; 5 mm extramurales Wachstum)</w:t>
      </w:r>
    </w:p>
    <w:p w14:paraId="2DCE18CF" w14:textId="77777777" w:rsidR="003E1C8E" w:rsidRDefault="003E1C8E" w:rsidP="003E1C8E">
      <w:pPr>
        <w:numPr>
          <w:ilvl w:val="1"/>
          <w:numId w:val="3"/>
        </w:numPr>
        <w:spacing w:line="276" w:lineRule="auto"/>
        <w:ind w:left="2484"/>
        <w:contextualSpacing/>
        <w:jc w:val="both"/>
        <w:rPr>
          <w:rFonts w:ascii="Calibri" w:hAnsi="Calibri" w:cs="Calibri"/>
          <w:szCs w:val="22"/>
        </w:rPr>
      </w:pPr>
      <w:r w:rsidRPr="00760799">
        <w:rPr>
          <w:rFonts w:ascii="Calibri" w:hAnsi="Calibri" w:cs="Calibri"/>
          <w:szCs w:val="22"/>
        </w:rPr>
        <w:t>T4</w:t>
      </w:r>
      <w:r w:rsidRPr="00760799">
        <w:rPr>
          <w:rFonts w:ascii="Calibri" w:hAnsi="Calibri" w:cs="Calibri"/>
          <w:szCs w:val="22"/>
        </w:rPr>
        <w:tab/>
      </w:r>
      <w:r w:rsidRPr="00760799">
        <w:rPr>
          <w:rFonts w:ascii="Calibri" w:hAnsi="Calibri" w:cs="Calibri"/>
          <w:szCs w:val="22"/>
        </w:rPr>
        <w:tab/>
        <w:t>Invasion in … (Organ)</w:t>
      </w:r>
    </w:p>
    <w:p w14:paraId="569A9949" w14:textId="77777777" w:rsidR="003E1C8E" w:rsidRPr="00343CBD" w:rsidRDefault="003E1C8E" w:rsidP="003E1C8E">
      <w:pPr>
        <w:numPr>
          <w:ilvl w:val="1"/>
          <w:numId w:val="3"/>
        </w:numPr>
        <w:spacing w:line="276" w:lineRule="auto"/>
        <w:ind w:left="2484"/>
        <w:contextualSpacing/>
        <w:jc w:val="both"/>
        <w:rPr>
          <w:rFonts w:ascii="Calibri" w:hAnsi="Calibri" w:cs="Calibri"/>
          <w:szCs w:val="22"/>
        </w:rPr>
      </w:pPr>
      <w:r w:rsidRPr="00343CBD">
        <w:rPr>
          <w:rFonts w:ascii="Calibri" w:hAnsi="Calibri" w:cs="Calibri"/>
          <w:szCs w:val="22"/>
        </w:rPr>
        <w:t>T-Klassifizierung bei Sphinkterbeteiligung siehe 2.10. (Seite 14)</w:t>
      </w:r>
    </w:p>
    <w:p w14:paraId="03F7686E"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Analsphincterinvasion:</w:t>
      </w:r>
    </w:p>
    <w:p w14:paraId="456DEE72" w14:textId="77777777" w:rsidR="003E1C8E" w:rsidRPr="00760799" w:rsidRDefault="003E1C8E" w:rsidP="003E1C8E">
      <w:pPr>
        <w:numPr>
          <w:ilvl w:val="1"/>
          <w:numId w:val="3"/>
        </w:numPr>
        <w:spacing w:line="276" w:lineRule="auto"/>
        <w:contextualSpacing/>
        <w:jc w:val="both"/>
        <w:rPr>
          <w:rFonts w:ascii="Calibri" w:hAnsi="Calibri" w:cs="Calibri"/>
          <w:szCs w:val="22"/>
        </w:rPr>
      </w:pPr>
      <w:r w:rsidRPr="00760799">
        <w:rPr>
          <w:rFonts w:ascii="Calibri" w:hAnsi="Calibri" w:cs="Calibri"/>
          <w:szCs w:val="22"/>
        </w:rPr>
        <w:t>nein</w:t>
      </w:r>
    </w:p>
    <w:p w14:paraId="256164E1" w14:textId="77777777" w:rsidR="003E1C8E" w:rsidRPr="00760799" w:rsidRDefault="003E1C8E" w:rsidP="003E1C8E">
      <w:pPr>
        <w:numPr>
          <w:ilvl w:val="1"/>
          <w:numId w:val="3"/>
        </w:numPr>
        <w:spacing w:line="276" w:lineRule="auto"/>
        <w:contextualSpacing/>
        <w:jc w:val="both"/>
        <w:rPr>
          <w:rFonts w:ascii="Calibri" w:hAnsi="Calibri" w:cs="Calibri"/>
          <w:szCs w:val="22"/>
        </w:rPr>
      </w:pPr>
      <w:r w:rsidRPr="00760799">
        <w:rPr>
          <w:rFonts w:ascii="Calibri" w:hAnsi="Calibri" w:cs="Calibri"/>
          <w:szCs w:val="22"/>
        </w:rPr>
        <w:t>nur M. sphincter ani internus</w:t>
      </w:r>
      <w:r w:rsidRPr="00760799">
        <w:rPr>
          <w:rFonts w:ascii="Calibri" w:hAnsi="Calibri" w:cs="Calibri"/>
          <w:szCs w:val="22"/>
        </w:rPr>
        <w:tab/>
        <w:t>)</w:t>
      </w:r>
    </w:p>
    <w:p w14:paraId="2467E0EF" w14:textId="77777777" w:rsidR="003E1C8E" w:rsidRPr="00760799" w:rsidRDefault="003E1C8E" w:rsidP="003E1C8E">
      <w:pPr>
        <w:numPr>
          <w:ilvl w:val="1"/>
          <w:numId w:val="3"/>
        </w:numPr>
        <w:spacing w:line="276" w:lineRule="auto"/>
        <w:contextualSpacing/>
        <w:jc w:val="both"/>
        <w:rPr>
          <w:rFonts w:ascii="Calibri" w:hAnsi="Calibri" w:cs="Calibri"/>
          <w:szCs w:val="22"/>
        </w:rPr>
      </w:pPr>
      <w:r w:rsidRPr="00760799">
        <w:rPr>
          <w:rFonts w:ascii="Calibri" w:hAnsi="Calibri" w:cs="Calibri"/>
          <w:szCs w:val="22"/>
        </w:rPr>
        <w:t>+ intersphinktärer Raum</w:t>
      </w:r>
      <w:r w:rsidRPr="00760799">
        <w:rPr>
          <w:rFonts w:ascii="Calibri" w:hAnsi="Calibri" w:cs="Calibri"/>
          <w:szCs w:val="22"/>
        </w:rPr>
        <w:tab/>
        <w:t>)</w:t>
      </w:r>
      <w:r w:rsidRPr="00760799">
        <w:rPr>
          <w:rFonts w:ascii="Calibri" w:hAnsi="Calibri" w:cs="Calibri"/>
          <w:szCs w:val="22"/>
        </w:rPr>
        <w:tab/>
        <w:t>oberes, mittleres od. distales Drittel des AK</w:t>
      </w:r>
    </w:p>
    <w:p w14:paraId="402CF875" w14:textId="77777777" w:rsidR="003E1C8E" w:rsidRPr="00760799" w:rsidRDefault="003E1C8E" w:rsidP="003E1C8E">
      <w:pPr>
        <w:numPr>
          <w:ilvl w:val="1"/>
          <w:numId w:val="3"/>
        </w:numPr>
        <w:spacing w:line="276" w:lineRule="auto"/>
        <w:contextualSpacing/>
        <w:jc w:val="both"/>
        <w:rPr>
          <w:rFonts w:ascii="Calibri" w:hAnsi="Calibri" w:cs="Calibri"/>
          <w:szCs w:val="22"/>
        </w:rPr>
      </w:pPr>
      <w:r w:rsidRPr="00760799">
        <w:rPr>
          <w:rFonts w:ascii="Calibri" w:hAnsi="Calibri" w:cs="Calibri"/>
          <w:szCs w:val="22"/>
        </w:rPr>
        <w:t>+ M. sphincter ani externus</w:t>
      </w:r>
      <w:r w:rsidRPr="00760799">
        <w:rPr>
          <w:rFonts w:ascii="Calibri" w:hAnsi="Calibri" w:cs="Calibri"/>
          <w:szCs w:val="22"/>
        </w:rPr>
        <w:tab/>
        <w:t>)</w:t>
      </w:r>
    </w:p>
    <w:p w14:paraId="18446CDC" w14:textId="77777777" w:rsidR="003E1C8E" w:rsidRPr="00760799" w:rsidRDefault="003E1C8E" w:rsidP="003E1C8E">
      <w:pPr>
        <w:spacing w:line="276" w:lineRule="auto"/>
        <w:jc w:val="both"/>
        <w:rPr>
          <w:rFonts w:ascii="Calibri" w:hAnsi="Calibri" w:cs="Calibri"/>
          <w:sz w:val="8"/>
          <w:szCs w:val="8"/>
        </w:rPr>
      </w:pPr>
    </w:p>
    <w:p w14:paraId="1410EAEC" w14:textId="77777777" w:rsidR="003E1C8E" w:rsidRPr="00760799" w:rsidRDefault="003E1C8E" w:rsidP="003E1C8E">
      <w:pPr>
        <w:spacing w:line="276" w:lineRule="auto"/>
        <w:jc w:val="left"/>
        <w:rPr>
          <w:rFonts w:ascii="Calibri" w:hAnsi="Calibri" w:cs="Calibri"/>
          <w:szCs w:val="22"/>
        </w:rPr>
      </w:pPr>
      <w:r w:rsidRPr="00760799">
        <w:rPr>
          <w:rFonts w:ascii="Calibri" w:hAnsi="Calibri" w:cs="Calibri"/>
          <w:b/>
          <w:szCs w:val="22"/>
        </w:rPr>
        <w:t xml:space="preserve">Invasion Mesorektale Faszie / Peritoneum </w:t>
      </w:r>
    </w:p>
    <w:p w14:paraId="68111FA5"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kürzeste Distanz zwischen Tumor und MRF in mm</w:t>
      </w:r>
    </w:p>
    <w:p w14:paraId="73F7FAD1" w14:textId="77777777" w:rsidR="003E1C8E" w:rsidRPr="00760799" w:rsidRDefault="003E1C8E" w:rsidP="003E1C8E">
      <w:pPr>
        <w:numPr>
          <w:ilvl w:val="0"/>
          <w:numId w:val="16"/>
        </w:numPr>
        <w:tabs>
          <w:tab w:val="left" w:pos="1146"/>
        </w:tabs>
        <w:spacing w:line="276" w:lineRule="auto"/>
        <w:contextualSpacing/>
        <w:jc w:val="both"/>
        <w:rPr>
          <w:rFonts w:ascii="Calibri" w:hAnsi="Calibri" w:cs="Calibri"/>
          <w:szCs w:val="22"/>
        </w:rPr>
      </w:pPr>
      <w:r w:rsidRPr="00760799">
        <w:rPr>
          <w:rFonts w:ascii="Calibri" w:hAnsi="Calibri" w:cs="Calibri"/>
          <w:szCs w:val="22"/>
        </w:rPr>
        <w:t>frei (&gt; 2 mm)</w:t>
      </w:r>
    </w:p>
    <w:p w14:paraId="0B5E2A20" w14:textId="77777777" w:rsidR="003E1C8E" w:rsidRPr="00760799" w:rsidRDefault="003E1C8E" w:rsidP="003E1C8E">
      <w:pPr>
        <w:numPr>
          <w:ilvl w:val="0"/>
          <w:numId w:val="16"/>
        </w:numPr>
        <w:tabs>
          <w:tab w:val="left" w:pos="1146"/>
        </w:tabs>
        <w:spacing w:line="276" w:lineRule="auto"/>
        <w:contextualSpacing/>
        <w:jc w:val="both"/>
        <w:rPr>
          <w:rFonts w:ascii="Calibri" w:hAnsi="Calibri" w:cs="Calibri"/>
          <w:szCs w:val="22"/>
        </w:rPr>
      </w:pPr>
      <w:r w:rsidRPr="00760799">
        <w:rPr>
          <w:rFonts w:ascii="Calibri" w:hAnsi="Calibri" w:cs="Calibri"/>
          <w:szCs w:val="22"/>
        </w:rPr>
        <w:t>(potentiell) involviert (&lt; 2 mm)</w:t>
      </w:r>
    </w:p>
    <w:p w14:paraId="3682CD64"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Lokalisation der kürzesten Distanz zwischen Tumor und MRF:</w:t>
      </w:r>
      <w:r w:rsidRPr="00760799">
        <w:rPr>
          <w:rFonts w:ascii="Calibri" w:hAnsi="Calibri" w:cs="Calibri"/>
          <w:szCs w:val="22"/>
        </w:rPr>
        <w:tab/>
        <w:t>… Uhr (Position)</w:t>
      </w:r>
    </w:p>
    <w:p w14:paraId="530E3EE8"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Bezug zur vorderen peritonealen Umschlagfalte:</w:t>
      </w:r>
    </w:p>
    <w:p w14:paraId="6490325B" w14:textId="77777777" w:rsidR="003E1C8E" w:rsidRPr="00760799" w:rsidRDefault="003E1C8E" w:rsidP="003E1C8E">
      <w:pPr>
        <w:numPr>
          <w:ilvl w:val="0"/>
          <w:numId w:val="17"/>
        </w:numPr>
        <w:spacing w:line="276" w:lineRule="auto"/>
        <w:contextualSpacing/>
        <w:jc w:val="both"/>
        <w:rPr>
          <w:rFonts w:ascii="Calibri" w:hAnsi="Calibri" w:cs="Calibri"/>
          <w:szCs w:val="22"/>
        </w:rPr>
      </w:pPr>
      <w:r w:rsidRPr="00760799">
        <w:rPr>
          <w:rFonts w:ascii="Calibri" w:hAnsi="Calibri" w:cs="Calibri"/>
          <w:szCs w:val="22"/>
        </w:rPr>
        <w:t>unterhalb (MRF-Invasion)</w:t>
      </w:r>
    </w:p>
    <w:p w14:paraId="0AE8B25D" w14:textId="77777777" w:rsidR="003E1C8E" w:rsidRPr="00760799" w:rsidRDefault="003E1C8E" w:rsidP="003E1C8E">
      <w:pPr>
        <w:numPr>
          <w:ilvl w:val="0"/>
          <w:numId w:val="17"/>
        </w:numPr>
        <w:spacing w:line="276" w:lineRule="auto"/>
        <w:contextualSpacing/>
        <w:jc w:val="both"/>
        <w:rPr>
          <w:rFonts w:ascii="Calibri" w:hAnsi="Calibri" w:cs="Calibri"/>
          <w:szCs w:val="22"/>
        </w:rPr>
      </w:pPr>
      <w:r w:rsidRPr="00760799">
        <w:rPr>
          <w:rFonts w:ascii="Calibri" w:hAnsi="Calibri" w:cs="Calibri"/>
          <w:szCs w:val="22"/>
        </w:rPr>
        <w:t>oberhalb</w:t>
      </w:r>
    </w:p>
    <w:p w14:paraId="1C0F6371" w14:textId="77777777" w:rsidR="003E1C8E" w:rsidRPr="00760799" w:rsidRDefault="003E1C8E" w:rsidP="003E1C8E">
      <w:pPr>
        <w:spacing w:line="276" w:lineRule="auto"/>
        <w:jc w:val="both"/>
        <w:rPr>
          <w:rFonts w:ascii="Calibri" w:hAnsi="Calibri" w:cs="Calibri"/>
          <w:sz w:val="8"/>
          <w:szCs w:val="8"/>
        </w:rPr>
      </w:pPr>
    </w:p>
    <w:p w14:paraId="1566AEBC" w14:textId="77777777" w:rsidR="003E1C8E" w:rsidRPr="00760799" w:rsidRDefault="003E1C8E" w:rsidP="003E1C8E">
      <w:pPr>
        <w:spacing w:line="276" w:lineRule="auto"/>
        <w:jc w:val="left"/>
        <w:rPr>
          <w:rFonts w:ascii="Calibri" w:hAnsi="Calibri" w:cs="Calibri"/>
          <w:szCs w:val="22"/>
        </w:rPr>
      </w:pPr>
      <w:r w:rsidRPr="00760799">
        <w:rPr>
          <w:rFonts w:ascii="Calibri" w:hAnsi="Calibri" w:cs="Calibri"/>
          <w:b/>
          <w:szCs w:val="22"/>
        </w:rPr>
        <w:t>Lymphknotenstatus und Tumorsatelliten</w:t>
      </w:r>
    </w:p>
    <w:p w14:paraId="1F4A1D1E"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 xml:space="preserve">N-Staging: </w:t>
      </w:r>
      <w:r w:rsidRPr="00760799">
        <w:rPr>
          <w:rFonts w:ascii="Calibri" w:hAnsi="Calibri" w:cs="Calibri"/>
          <w:szCs w:val="22"/>
        </w:rPr>
        <w:tab/>
      </w:r>
      <w:r w:rsidRPr="00760799">
        <w:rPr>
          <w:rFonts w:ascii="Calibri" w:hAnsi="Calibri" w:cs="Calibri"/>
          <w:szCs w:val="22"/>
        </w:rPr>
        <w:tab/>
        <w:t>-      N0</w:t>
      </w:r>
    </w:p>
    <w:p w14:paraId="794BD1ED" w14:textId="77777777" w:rsidR="003E1C8E" w:rsidRPr="00271CD8" w:rsidRDefault="003E1C8E" w:rsidP="003E1C8E">
      <w:pPr>
        <w:numPr>
          <w:ilvl w:val="0"/>
          <w:numId w:val="18"/>
        </w:numPr>
        <w:spacing w:line="276" w:lineRule="auto"/>
        <w:contextualSpacing/>
        <w:jc w:val="both"/>
        <w:rPr>
          <w:rFonts w:ascii="Calibri" w:hAnsi="Calibri" w:cs="Calibri"/>
          <w:color w:val="00B050"/>
          <w:szCs w:val="22"/>
        </w:rPr>
      </w:pPr>
      <w:r w:rsidRPr="00343CBD">
        <w:rPr>
          <w:rFonts w:ascii="Calibri" w:hAnsi="Calibri" w:cs="Calibri"/>
          <w:szCs w:val="22"/>
        </w:rPr>
        <w:t>N1a,b,c; N2a,b (die Angabe von N+ ist nicht ausreichend!)</w:t>
      </w:r>
    </w:p>
    <w:p w14:paraId="6CC15C9E"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Anzahl suspekter Lymphknoten:</w:t>
      </w:r>
    </w:p>
    <w:p w14:paraId="510B0C6A" w14:textId="77777777" w:rsidR="003E1C8E" w:rsidRPr="00760799" w:rsidRDefault="003E1C8E" w:rsidP="003E1C8E">
      <w:pPr>
        <w:numPr>
          <w:ilvl w:val="0"/>
          <w:numId w:val="19"/>
        </w:numPr>
        <w:spacing w:line="276" w:lineRule="auto"/>
        <w:contextualSpacing/>
        <w:jc w:val="both"/>
        <w:rPr>
          <w:rFonts w:ascii="Calibri" w:hAnsi="Calibri" w:cs="Calibri"/>
          <w:szCs w:val="22"/>
        </w:rPr>
      </w:pPr>
      <w:r w:rsidRPr="00760799">
        <w:rPr>
          <w:rFonts w:ascii="Calibri" w:hAnsi="Calibri" w:cs="Calibri"/>
          <w:szCs w:val="22"/>
        </w:rPr>
        <w:t>… mesorektale Lymphknoten</w:t>
      </w:r>
    </w:p>
    <w:p w14:paraId="2FE81174" w14:textId="77777777" w:rsidR="003E1C8E" w:rsidRPr="00760799" w:rsidRDefault="003E1C8E" w:rsidP="003E1C8E">
      <w:pPr>
        <w:numPr>
          <w:ilvl w:val="0"/>
          <w:numId w:val="19"/>
        </w:numPr>
        <w:spacing w:line="276" w:lineRule="auto"/>
        <w:contextualSpacing/>
        <w:jc w:val="both"/>
        <w:rPr>
          <w:rFonts w:ascii="Calibri" w:hAnsi="Calibri" w:cs="Calibri"/>
          <w:szCs w:val="22"/>
        </w:rPr>
      </w:pPr>
      <w:r w:rsidRPr="00760799">
        <w:rPr>
          <w:rFonts w:ascii="Calibri" w:hAnsi="Calibri" w:cs="Calibri"/>
          <w:szCs w:val="22"/>
        </w:rPr>
        <w:t>… extramesorektale Lymphknoten</w:t>
      </w:r>
    </w:p>
    <w:p w14:paraId="74F26BE6" w14:textId="77777777" w:rsidR="003E1C8E" w:rsidRPr="00760799" w:rsidRDefault="003E1C8E" w:rsidP="003E1C8E">
      <w:pPr>
        <w:numPr>
          <w:ilvl w:val="0"/>
          <w:numId w:val="13"/>
        </w:numPr>
        <w:spacing w:line="276" w:lineRule="auto"/>
        <w:contextualSpacing/>
        <w:jc w:val="both"/>
        <w:rPr>
          <w:rFonts w:ascii="Calibri" w:hAnsi="Calibri" w:cs="Calibri"/>
          <w:szCs w:val="22"/>
        </w:rPr>
      </w:pPr>
      <w:r w:rsidRPr="00760799">
        <w:rPr>
          <w:rFonts w:ascii="Calibri" w:hAnsi="Calibri" w:cs="Calibri"/>
          <w:szCs w:val="22"/>
        </w:rPr>
        <w:t>… LK mit Kurzachsendurchmesser &gt; 9 mm</w:t>
      </w:r>
    </w:p>
    <w:p w14:paraId="132251D1" w14:textId="77777777" w:rsidR="003E1C8E" w:rsidRPr="00760799" w:rsidRDefault="003E1C8E" w:rsidP="003E1C8E">
      <w:pPr>
        <w:numPr>
          <w:ilvl w:val="0"/>
          <w:numId w:val="13"/>
        </w:numPr>
        <w:spacing w:line="276" w:lineRule="auto"/>
        <w:contextualSpacing/>
        <w:jc w:val="both"/>
        <w:rPr>
          <w:rFonts w:ascii="Calibri" w:hAnsi="Calibri" w:cs="Calibri"/>
          <w:szCs w:val="22"/>
        </w:rPr>
      </w:pPr>
      <w:r w:rsidRPr="00760799">
        <w:rPr>
          <w:rFonts w:ascii="Calibri" w:hAnsi="Calibri" w:cs="Calibri"/>
          <w:szCs w:val="22"/>
        </w:rPr>
        <w:t>… LK mit KAD 5 – 8 mm und mind. 2 morphologische Kriterien</w:t>
      </w:r>
    </w:p>
    <w:p w14:paraId="26A96AC3" w14:textId="77777777" w:rsidR="003E1C8E" w:rsidRPr="00760799" w:rsidRDefault="003E1C8E" w:rsidP="003E1C8E">
      <w:pPr>
        <w:numPr>
          <w:ilvl w:val="0"/>
          <w:numId w:val="13"/>
        </w:numPr>
        <w:spacing w:line="276" w:lineRule="auto"/>
        <w:contextualSpacing/>
        <w:jc w:val="both"/>
        <w:rPr>
          <w:rFonts w:ascii="Calibri" w:hAnsi="Calibri" w:cs="Calibri"/>
          <w:szCs w:val="22"/>
        </w:rPr>
      </w:pPr>
      <w:r w:rsidRPr="00760799">
        <w:rPr>
          <w:rFonts w:ascii="Calibri" w:hAnsi="Calibri" w:cs="Calibri"/>
          <w:szCs w:val="22"/>
        </w:rPr>
        <w:t>… LK mit KAD &lt; 5 mm und 3 morphologischen Kriterien</w:t>
      </w:r>
    </w:p>
    <w:p w14:paraId="4C717848" w14:textId="77777777" w:rsidR="003E1C8E" w:rsidRPr="00760799" w:rsidRDefault="003E1C8E" w:rsidP="003E1C8E">
      <w:pPr>
        <w:spacing w:line="276" w:lineRule="auto"/>
        <w:ind w:firstLine="426"/>
        <w:jc w:val="both"/>
        <w:rPr>
          <w:rFonts w:ascii="Calibri" w:hAnsi="Calibri" w:cs="Calibri"/>
          <w:szCs w:val="22"/>
        </w:rPr>
      </w:pPr>
      <w:r w:rsidRPr="00760799">
        <w:rPr>
          <w:rFonts w:ascii="Calibri" w:hAnsi="Calibri" w:cs="Calibri"/>
          <w:szCs w:val="22"/>
        </w:rPr>
        <w:t>Morphol. Kriterien: (1) runde Form, (2) unregelmäßiger Rand, (3) heterogenes Signal</w:t>
      </w:r>
    </w:p>
    <w:p w14:paraId="382039E6"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Tumorsatelliten innerhalb der MRF:</w:t>
      </w:r>
    </w:p>
    <w:p w14:paraId="4759FAEE" w14:textId="77777777" w:rsidR="003E1C8E" w:rsidRPr="00760799" w:rsidRDefault="003E1C8E" w:rsidP="003E1C8E">
      <w:pPr>
        <w:numPr>
          <w:ilvl w:val="0"/>
          <w:numId w:val="20"/>
        </w:numPr>
        <w:spacing w:line="276" w:lineRule="auto"/>
        <w:contextualSpacing/>
        <w:jc w:val="both"/>
        <w:rPr>
          <w:rFonts w:ascii="Calibri" w:hAnsi="Calibri" w:cs="Calibri"/>
          <w:szCs w:val="22"/>
        </w:rPr>
      </w:pPr>
      <w:r w:rsidRPr="00760799">
        <w:rPr>
          <w:rFonts w:ascii="Calibri" w:hAnsi="Calibri" w:cs="Calibri"/>
          <w:szCs w:val="22"/>
        </w:rPr>
        <w:t>nein</w:t>
      </w:r>
    </w:p>
    <w:p w14:paraId="61FC5626" w14:textId="77777777" w:rsidR="003E1C8E" w:rsidRPr="00760799" w:rsidRDefault="003E1C8E" w:rsidP="003E1C8E">
      <w:pPr>
        <w:numPr>
          <w:ilvl w:val="0"/>
          <w:numId w:val="20"/>
        </w:numPr>
        <w:spacing w:line="276" w:lineRule="auto"/>
        <w:contextualSpacing/>
        <w:jc w:val="both"/>
        <w:rPr>
          <w:rFonts w:ascii="Calibri" w:hAnsi="Calibri" w:cs="Calibri"/>
          <w:szCs w:val="22"/>
        </w:rPr>
      </w:pPr>
      <w:r w:rsidRPr="00760799">
        <w:rPr>
          <w:rFonts w:ascii="Calibri" w:hAnsi="Calibri" w:cs="Calibri"/>
          <w:szCs w:val="22"/>
        </w:rPr>
        <w:t>ja, … (Anzahl)</w:t>
      </w:r>
    </w:p>
    <w:p w14:paraId="2881D9E8" w14:textId="77777777" w:rsidR="003E1C8E" w:rsidRPr="00760799" w:rsidRDefault="003E1C8E" w:rsidP="003E1C8E">
      <w:pPr>
        <w:spacing w:line="276" w:lineRule="auto"/>
        <w:jc w:val="both"/>
        <w:rPr>
          <w:rFonts w:ascii="Calibri" w:hAnsi="Calibri" w:cs="Calibri"/>
          <w:sz w:val="8"/>
          <w:szCs w:val="8"/>
        </w:rPr>
      </w:pPr>
    </w:p>
    <w:p w14:paraId="1891548D" w14:textId="77777777" w:rsidR="003E1C8E" w:rsidRPr="00760799" w:rsidRDefault="003E1C8E" w:rsidP="003E1C8E">
      <w:pPr>
        <w:spacing w:line="276" w:lineRule="auto"/>
        <w:contextualSpacing/>
        <w:jc w:val="left"/>
        <w:rPr>
          <w:rFonts w:ascii="Calibri" w:hAnsi="Calibri" w:cs="Calibri"/>
          <w:szCs w:val="22"/>
        </w:rPr>
      </w:pPr>
      <w:r w:rsidRPr="00760799">
        <w:rPr>
          <w:rFonts w:ascii="Calibri" w:hAnsi="Calibri" w:cs="Calibri"/>
          <w:b/>
          <w:szCs w:val="22"/>
        </w:rPr>
        <w:t>Extramural vascular invasion (EMVI)</w:t>
      </w:r>
    </w:p>
    <w:p w14:paraId="1A6572B3" w14:textId="77777777" w:rsidR="003E1C8E" w:rsidRPr="00760799" w:rsidRDefault="003E1C8E" w:rsidP="003E1C8E">
      <w:pPr>
        <w:numPr>
          <w:ilvl w:val="0"/>
          <w:numId w:val="3"/>
        </w:numPr>
        <w:spacing w:line="276" w:lineRule="auto"/>
        <w:ind w:left="426" w:hanging="426"/>
        <w:contextualSpacing/>
        <w:jc w:val="both"/>
        <w:rPr>
          <w:rFonts w:ascii="Calibri" w:hAnsi="Calibri" w:cs="Calibri"/>
          <w:szCs w:val="22"/>
        </w:rPr>
      </w:pPr>
      <w:r w:rsidRPr="00760799">
        <w:rPr>
          <w:rFonts w:ascii="Calibri" w:hAnsi="Calibri" w:cs="Calibri"/>
          <w:szCs w:val="22"/>
        </w:rPr>
        <w:t>EMVI:</w:t>
      </w:r>
      <w:r w:rsidRPr="00760799">
        <w:rPr>
          <w:rFonts w:ascii="Calibri" w:hAnsi="Calibri" w:cs="Calibri"/>
          <w:szCs w:val="22"/>
        </w:rPr>
        <w:tab/>
        <w:t>-      ja</w:t>
      </w:r>
    </w:p>
    <w:p w14:paraId="40EE0FD3" w14:textId="77777777" w:rsidR="003E1C8E" w:rsidRPr="00760799" w:rsidRDefault="003E1C8E" w:rsidP="003E1C8E">
      <w:pPr>
        <w:numPr>
          <w:ilvl w:val="0"/>
          <w:numId w:val="21"/>
        </w:numPr>
        <w:spacing w:line="276" w:lineRule="auto"/>
        <w:contextualSpacing/>
        <w:jc w:val="both"/>
        <w:rPr>
          <w:rFonts w:ascii="Calibri" w:hAnsi="Calibri" w:cs="Calibri"/>
          <w:szCs w:val="22"/>
        </w:rPr>
      </w:pPr>
      <w:r w:rsidRPr="00760799">
        <w:rPr>
          <w:rFonts w:ascii="Calibri" w:hAnsi="Calibri" w:cs="Calibri"/>
          <w:szCs w:val="22"/>
        </w:rPr>
        <w:t>nein</w:t>
      </w:r>
    </w:p>
    <w:p w14:paraId="07E1E07B" w14:textId="77777777" w:rsidR="003E1C8E" w:rsidRPr="00760799" w:rsidRDefault="003E1C8E" w:rsidP="003E1C8E">
      <w:pPr>
        <w:numPr>
          <w:ilvl w:val="0"/>
          <w:numId w:val="21"/>
        </w:numPr>
        <w:spacing w:line="276" w:lineRule="auto"/>
        <w:contextualSpacing/>
        <w:jc w:val="both"/>
        <w:rPr>
          <w:rFonts w:ascii="Calibri" w:hAnsi="Calibri" w:cs="Calibri"/>
          <w:szCs w:val="22"/>
        </w:rPr>
      </w:pPr>
      <w:r w:rsidRPr="00760799">
        <w:rPr>
          <w:rFonts w:ascii="Calibri" w:hAnsi="Calibri" w:cs="Calibri"/>
          <w:szCs w:val="22"/>
        </w:rPr>
        <w:t>nicht beurteilbar</w:t>
      </w:r>
    </w:p>
    <w:p w14:paraId="7F6D8574" w14:textId="77777777" w:rsidR="003E1C8E" w:rsidRDefault="003E1C8E" w:rsidP="003E1C8E">
      <w:pPr>
        <w:spacing w:line="276" w:lineRule="auto"/>
        <w:jc w:val="both"/>
        <w:rPr>
          <w:rFonts w:ascii="Calibri" w:hAnsi="Calibri" w:cs="Calibri"/>
          <w:b/>
          <w:szCs w:val="22"/>
        </w:rPr>
      </w:pPr>
    </w:p>
    <w:p w14:paraId="27A5AAE1" w14:textId="77777777" w:rsidR="003E1C8E" w:rsidRPr="00760799" w:rsidRDefault="003E1C8E" w:rsidP="003E1C8E">
      <w:pPr>
        <w:spacing w:line="276" w:lineRule="auto"/>
        <w:jc w:val="both"/>
        <w:rPr>
          <w:rFonts w:ascii="Calibri" w:hAnsi="Calibri" w:cs="Calibri"/>
          <w:szCs w:val="22"/>
        </w:rPr>
      </w:pPr>
      <w:r w:rsidRPr="00760799">
        <w:rPr>
          <w:rFonts w:ascii="Calibri" w:hAnsi="Calibri" w:cs="Calibri"/>
          <w:b/>
          <w:szCs w:val="22"/>
        </w:rPr>
        <w:lastRenderedPageBreak/>
        <w:t>MR Protokoll:</w:t>
      </w:r>
      <w:r w:rsidRPr="00760799">
        <w:rPr>
          <w:rFonts w:ascii="Calibri" w:hAnsi="Calibri" w:cs="Calibri"/>
          <w:szCs w:val="22"/>
        </w:rPr>
        <w:t xml:space="preserve"> (lt. ESGAR Konsensus*)</w:t>
      </w:r>
    </w:p>
    <w:p w14:paraId="19993768" w14:textId="77777777" w:rsidR="003E1C8E" w:rsidRPr="00564EAE" w:rsidRDefault="003E1C8E" w:rsidP="003E1C8E">
      <w:pPr>
        <w:numPr>
          <w:ilvl w:val="0"/>
          <w:numId w:val="14"/>
        </w:numPr>
        <w:spacing w:line="276" w:lineRule="auto"/>
        <w:contextualSpacing/>
        <w:jc w:val="both"/>
        <w:rPr>
          <w:rFonts w:ascii="Calibri" w:hAnsi="Calibri" w:cs="Calibri"/>
          <w:szCs w:val="22"/>
          <w:lang w:val="en-GB"/>
        </w:rPr>
      </w:pPr>
      <w:r w:rsidRPr="00564EAE">
        <w:rPr>
          <w:rFonts w:ascii="Calibri" w:hAnsi="Calibri" w:cs="Calibri"/>
          <w:szCs w:val="22"/>
          <w:lang w:val="en-GB"/>
        </w:rPr>
        <w:t>2D T2 (&lt; 3 mm) axial, coronal, sagittal, oblique axial, oblique coronal</w:t>
      </w:r>
    </w:p>
    <w:p w14:paraId="25EF5711" w14:textId="77777777" w:rsidR="003E1C8E" w:rsidRPr="00760799" w:rsidRDefault="003E1C8E" w:rsidP="003E1C8E">
      <w:pPr>
        <w:numPr>
          <w:ilvl w:val="0"/>
          <w:numId w:val="14"/>
        </w:numPr>
        <w:spacing w:line="276" w:lineRule="auto"/>
        <w:contextualSpacing/>
        <w:jc w:val="both"/>
        <w:rPr>
          <w:rFonts w:ascii="Calibri" w:hAnsi="Calibri" w:cs="Calibri"/>
          <w:szCs w:val="22"/>
        </w:rPr>
      </w:pPr>
      <w:r w:rsidRPr="00760799">
        <w:rPr>
          <w:rFonts w:ascii="Calibri" w:hAnsi="Calibri" w:cs="Calibri"/>
          <w:szCs w:val="22"/>
        </w:rPr>
        <w:t xml:space="preserve">DWI </w:t>
      </w:r>
    </w:p>
    <w:p w14:paraId="69EBE92F" w14:textId="77777777" w:rsidR="003E1C8E" w:rsidRPr="00760799" w:rsidRDefault="003E1C8E" w:rsidP="003E1C8E">
      <w:pPr>
        <w:spacing w:line="276" w:lineRule="auto"/>
        <w:jc w:val="both"/>
        <w:rPr>
          <w:rFonts w:ascii="Calibri" w:hAnsi="Calibri" w:cs="Calibri"/>
          <w:szCs w:val="22"/>
        </w:rPr>
      </w:pPr>
      <w:r w:rsidRPr="00760799">
        <w:rPr>
          <w:rFonts w:ascii="Calibri" w:hAnsi="Calibri" w:cs="Calibri"/>
          <w:szCs w:val="22"/>
        </w:rPr>
        <w:t>T1 Sequenzen und KM-Gabe werden routinemäßig nicht empfohlen.</w:t>
      </w:r>
    </w:p>
    <w:p w14:paraId="1A5DB141" w14:textId="77777777" w:rsidR="003E1C8E" w:rsidRPr="00760799" w:rsidRDefault="003E1C8E" w:rsidP="003E1C8E">
      <w:pPr>
        <w:spacing w:line="276" w:lineRule="auto"/>
        <w:jc w:val="both"/>
        <w:rPr>
          <w:rFonts w:ascii="Calibri" w:hAnsi="Calibri" w:cs="Calibri"/>
          <w:szCs w:val="22"/>
          <w:lang w:val="en-GB"/>
        </w:rPr>
      </w:pPr>
      <w:r w:rsidRPr="00760799">
        <w:rPr>
          <w:rFonts w:ascii="Calibri" w:hAnsi="Calibri" w:cs="Calibri"/>
          <w:szCs w:val="22"/>
          <w:lang w:val="en-GB"/>
        </w:rPr>
        <w:t>Endorektalspulen sind nicht erforderlich.</w:t>
      </w:r>
    </w:p>
    <w:p w14:paraId="1765C3C9" w14:textId="77777777" w:rsidR="003E1C8E" w:rsidRPr="00564EAE" w:rsidRDefault="003E1C8E" w:rsidP="003E1C8E">
      <w:pPr>
        <w:spacing w:line="276" w:lineRule="auto"/>
        <w:rPr>
          <w:rFonts w:ascii="Calibri" w:hAnsi="Calibri" w:cs="Calibri"/>
          <w:sz w:val="8"/>
          <w:szCs w:val="8"/>
          <w:lang w:val="en-GB"/>
        </w:rPr>
      </w:pPr>
    </w:p>
    <w:p w14:paraId="3614C033" w14:textId="77777777" w:rsidR="003E1C8E" w:rsidRPr="00760799" w:rsidRDefault="003E1C8E" w:rsidP="003E1C8E">
      <w:pPr>
        <w:spacing w:line="276" w:lineRule="auto"/>
        <w:jc w:val="left"/>
        <w:rPr>
          <w:rFonts w:ascii="Calibri" w:hAnsi="Calibri" w:cs="Calibri"/>
          <w:color w:val="000000"/>
          <w:sz w:val="18"/>
          <w:szCs w:val="18"/>
          <w:lang w:val="en-US" w:eastAsia="de-AT"/>
        </w:rPr>
      </w:pPr>
      <w:r w:rsidRPr="00760799">
        <w:rPr>
          <w:rFonts w:ascii="Calibri" w:hAnsi="Calibri" w:cs="Calibri"/>
          <w:color w:val="000000"/>
          <w:sz w:val="18"/>
          <w:szCs w:val="18"/>
          <w:lang w:val="en-US" w:eastAsia="de-AT"/>
        </w:rPr>
        <w:t>*) Literatur: MR imaging for clinical management of rectal cancer: Updated recommendations from the 2016 European Society of Gastrointestinal and Abdominal Radiology (ESGAR) consensus meeting; Beets-Tan, R. G. H., Eur Radiol 2017</w:t>
      </w:r>
    </w:p>
    <w:p w14:paraId="551E379F" w14:textId="77777777" w:rsidR="003E1C8E" w:rsidRPr="00564EAE" w:rsidRDefault="00820564" w:rsidP="003E1C8E">
      <w:pPr>
        <w:spacing w:line="276" w:lineRule="auto"/>
        <w:jc w:val="left"/>
        <w:rPr>
          <w:rFonts w:ascii="Calibri" w:hAnsi="Calibri" w:cs="Calibri"/>
          <w:color w:val="0563C1"/>
          <w:sz w:val="18"/>
          <w:szCs w:val="18"/>
          <w:u w:val="single"/>
          <w:lang w:val="en-US"/>
        </w:rPr>
      </w:pPr>
      <w:hyperlink r:id="rId26" w:history="1">
        <w:r w:rsidR="003E1C8E" w:rsidRPr="00564EAE">
          <w:rPr>
            <w:rFonts w:ascii="Calibri" w:hAnsi="Calibri" w:cs="Calibri"/>
            <w:color w:val="0563C1"/>
            <w:sz w:val="18"/>
            <w:szCs w:val="18"/>
            <w:u w:val="single"/>
            <w:lang w:val="en-US"/>
          </w:rPr>
          <w:t>https://www.ncbi.nlm.nih.gov/pmc/articles/PMC5834554/pdf/330_2017_Article_5026.pdf</w:t>
        </w:r>
      </w:hyperlink>
    </w:p>
    <w:p w14:paraId="0348B977" w14:textId="77777777" w:rsidR="003E1C8E" w:rsidRDefault="003E1C8E" w:rsidP="003E1C8E">
      <w:pPr>
        <w:pStyle w:val="berschrift2"/>
        <w:rPr>
          <w:lang w:val="de-DE" w:eastAsia="de-AT"/>
        </w:rPr>
      </w:pPr>
      <w:bookmarkStart w:id="63" w:name="_Toc24906336"/>
      <w:bookmarkStart w:id="64" w:name="_Toc93523301"/>
      <w:r>
        <w:rPr>
          <w:lang w:val="de-DE" w:eastAsia="de-AT"/>
        </w:rPr>
        <w:t>3.8</w:t>
      </w:r>
      <w:r>
        <w:rPr>
          <w:lang w:val="de-DE" w:eastAsia="de-AT"/>
        </w:rPr>
        <w:tab/>
        <w:t>Timing der Operation nach Bestrahlung</w:t>
      </w:r>
      <w:bookmarkEnd w:id="63"/>
      <w:bookmarkEnd w:id="64"/>
    </w:p>
    <w:p w14:paraId="17FFB086" w14:textId="77777777" w:rsidR="003E1C8E" w:rsidRPr="000225FC" w:rsidRDefault="003E1C8E" w:rsidP="003E1C8E">
      <w:pPr>
        <w:spacing w:line="276" w:lineRule="auto"/>
        <w:jc w:val="both"/>
        <w:rPr>
          <w:rFonts w:asciiTheme="minorHAnsi" w:hAnsiTheme="minorHAnsi" w:cstheme="minorHAnsi"/>
          <w:b/>
        </w:rPr>
      </w:pPr>
      <w:r w:rsidRPr="000225FC">
        <w:rPr>
          <w:rFonts w:asciiTheme="minorHAnsi" w:hAnsiTheme="minorHAnsi" w:cstheme="minorHAnsi"/>
          <w:b/>
        </w:rPr>
        <w:t xml:space="preserve">1) 10 x </w:t>
      </w:r>
      <w:r w:rsidRPr="00343CBD">
        <w:rPr>
          <w:rFonts w:asciiTheme="minorHAnsi" w:hAnsiTheme="minorHAnsi" w:cstheme="minorHAnsi"/>
          <w:b/>
        </w:rPr>
        <w:t>2,5 Gy „klassische“ Kurzzeit</w:t>
      </w:r>
      <w:r>
        <w:rPr>
          <w:rFonts w:asciiTheme="minorHAnsi" w:hAnsiTheme="minorHAnsi" w:cstheme="minorHAnsi"/>
          <w:b/>
        </w:rPr>
        <w:t>-RT:</w:t>
      </w:r>
    </w:p>
    <w:p w14:paraId="4723B130" w14:textId="77777777" w:rsidR="003E1C8E" w:rsidRPr="000225FC" w:rsidRDefault="003E1C8E" w:rsidP="003E1C8E">
      <w:pPr>
        <w:pStyle w:val="Listenabsatz"/>
        <w:numPr>
          <w:ilvl w:val="0"/>
          <w:numId w:val="3"/>
        </w:numPr>
        <w:spacing w:line="276" w:lineRule="auto"/>
        <w:ind w:left="426" w:hanging="426"/>
        <w:jc w:val="both"/>
        <w:rPr>
          <w:rFonts w:asciiTheme="minorHAnsi" w:hAnsiTheme="minorHAnsi" w:cstheme="minorHAnsi"/>
        </w:rPr>
      </w:pPr>
      <w:r w:rsidRPr="000225FC">
        <w:rPr>
          <w:rFonts w:asciiTheme="minorHAnsi" w:hAnsiTheme="minorHAnsi" w:cstheme="minorHAnsi"/>
        </w:rPr>
        <w:t>Bestrahlung über 5 Tage ohne Unterbrechung</w:t>
      </w:r>
    </w:p>
    <w:p w14:paraId="3F516B3C" w14:textId="77777777" w:rsidR="003E1C8E" w:rsidRPr="00343CBD" w:rsidRDefault="003E1C8E" w:rsidP="003E1C8E">
      <w:pPr>
        <w:pStyle w:val="Listenabsatz"/>
        <w:numPr>
          <w:ilvl w:val="0"/>
          <w:numId w:val="3"/>
        </w:numPr>
        <w:spacing w:line="276" w:lineRule="auto"/>
        <w:ind w:left="426" w:hanging="426"/>
        <w:jc w:val="both"/>
        <w:rPr>
          <w:rFonts w:asciiTheme="minorHAnsi" w:hAnsiTheme="minorHAnsi" w:cstheme="minorHAnsi"/>
        </w:rPr>
      </w:pPr>
      <w:r w:rsidRPr="000225FC">
        <w:rPr>
          <w:rFonts w:asciiTheme="minorHAnsi" w:hAnsiTheme="minorHAnsi" w:cstheme="minorHAnsi"/>
        </w:rPr>
        <w:t xml:space="preserve">Operation innerhalb von 7 Tagen nach der letzten Bestrahlung, idealerweise innerhalb von 3 Tagen </w:t>
      </w:r>
      <w:r w:rsidRPr="00343CBD">
        <w:rPr>
          <w:rFonts w:asciiTheme="minorHAnsi" w:hAnsiTheme="minorHAnsi" w:cstheme="minorHAnsi"/>
        </w:rPr>
        <w:t xml:space="preserve">(insbes. bei Patientenalter &gt; 75) </w:t>
      </w:r>
      <w:r w:rsidRPr="00343CBD">
        <w:rPr>
          <w:rFonts w:asciiTheme="minorHAnsi" w:hAnsiTheme="minorHAnsi" w:cstheme="minorHAnsi"/>
          <w:vertAlign w:val="superscript"/>
        </w:rPr>
        <w:t>1</w:t>
      </w:r>
    </w:p>
    <w:p w14:paraId="318BACBF" w14:textId="77777777" w:rsidR="003E1C8E" w:rsidRPr="00343CBD" w:rsidRDefault="003E1C8E" w:rsidP="003E1C8E">
      <w:pPr>
        <w:pStyle w:val="Listenabsatz"/>
        <w:numPr>
          <w:ilvl w:val="0"/>
          <w:numId w:val="3"/>
        </w:numPr>
        <w:spacing w:line="276" w:lineRule="auto"/>
        <w:ind w:left="426" w:hanging="426"/>
        <w:jc w:val="both"/>
        <w:rPr>
          <w:rFonts w:asciiTheme="minorHAnsi" w:hAnsiTheme="minorHAnsi" w:cstheme="minorHAnsi"/>
        </w:rPr>
      </w:pPr>
      <w:r w:rsidRPr="00343CBD">
        <w:rPr>
          <w:rFonts w:asciiTheme="minorHAnsi" w:hAnsiTheme="minorHAnsi" w:cstheme="minorHAnsi"/>
        </w:rPr>
        <w:t>Bei TNT Kurzzeit-RT 5 x 5 Gy! gefolgt von Chemotherapie.</w:t>
      </w:r>
    </w:p>
    <w:p w14:paraId="566EEDF5" w14:textId="77777777" w:rsidR="003E1C8E" w:rsidRPr="00DF1133" w:rsidRDefault="003E1C8E" w:rsidP="003E1C8E">
      <w:pPr>
        <w:jc w:val="both"/>
        <w:rPr>
          <w:rFonts w:asciiTheme="minorHAnsi" w:hAnsiTheme="minorHAnsi" w:cstheme="minorHAnsi"/>
          <w:sz w:val="8"/>
          <w:szCs w:val="8"/>
        </w:rPr>
      </w:pPr>
    </w:p>
    <w:p w14:paraId="78ABB049" w14:textId="77777777" w:rsidR="003E1C8E" w:rsidRPr="000225FC" w:rsidRDefault="003E1C8E" w:rsidP="003E1C8E">
      <w:pPr>
        <w:spacing w:line="276" w:lineRule="auto"/>
        <w:jc w:val="both"/>
        <w:rPr>
          <w:rFonts w:asciiTheme="minorHAnsi" w:hAnsiTheme="minorHAnsi" w:cstheme="minorHAnsi"/>
          <w:b/>
        </w:rPr>
      </w:pPr>
      <w:r>
        <w:rPr>
          <w:rFonts w:asciiTheme="minorHAnsi" w:hAnsiTheme="minorHAnsi" w:cstheme="minorHAnsi"/>
          <w:b/>
        </w:rPr>
        <w:t>1</w:t>
      </w:r>
      <w:r w:rsidRPr="000225FC">
        <w:rPr>
          <w:rFonts w:asciiTheme="minorHAnsi" w:hAnsiTheme="minorHAnsi" w:cstheme="minorHAnsi"/>
          <w:b/>
        </w:rPr>
        <w:t>) 50 Gy CRT:</w:t>
      </w:r>
    </w:p>
    <w:p w14:paraId="6D96CA04" w14:textId="77777777" w:rsidR="003E1C8E" w:rsidRPr="00343CBD" w:rsidRDefault="003E1C8E" w:rsidP="003E1C8E">
      <w:pPr>
        <w:pStyle w:val="Listenabsatz"/>
        <w:numPr>
          <w:ilvl w:val="0"/>
          <w:numId w:val="3"/>
        </w:numPr>
        <w:spacing w:line="276" w:lineRule="auto"/>
        <w:ind w:left="426" w:hanging="426"/>
        <w:jc w:val="left"/>
        <w:rPr>
          <w:rFonts w:asciiTheme="minorHAnsi" w:hAnsiTheme="minorHAnsi" w:cstheme="minorHAnsi"/>
        </w:rPr>
      </w:pPr>
      <w:r w:rsidRPr="00343CBD">
        <w:rPr>
          <w:rFonts w:asciiTheme="minorHAnsi" w:hAnsiTheme="minorHAnsi" w:cstheme="minorHAnsi"/>
        </w:rPr>
        <w:t>Restaging (MRI, Endoskopie) 10 Wochen nach der letzten Bestrahlung (Maximum der Tumorregression 10-12 Wochen nach Abschluss der RCT)</w:t>
      </w:r>
    </w:p>
    <w:p w14:paraId="4CD0F210" w14:textId="77777777" w:rsidR="003E1C8E" w:rsidRPr="00343CBD" w:rsidRDefault="003E1C8E" w:rsidP="003E1C8E">
      <w:pPr>
        <w:pStyle w:val="Listenabsatz"/>
        <w:numPr>
          <w:ilvl w:val="0"/>
          <w:numId w:val="3"/>
        </w:numPr>
        <w:spacing w:line="276" w:lineRule="auto"/>
        <w:ind w:left="426" w:hanging="426"/>
        <w:jc w:val="both"/>
        <w:rPr>
          <w:rFonts w:asciiTheme="minorHAnsi" w:hAnsiTheme="minorHAnsi" w:cstheme="minorHAnsi"/>
        </w:rPr>
      </w:pPr>
      <w:r w:rsidRPr="00343CBD">
        <w:rPr>
          <w:rFonts w:asciiTheme="minorHAnsi" w:hAnsiTheme="minorHAnsi" w:cstheme="minorHAnsi"/>
        </w:rPr>
        <w:t xml:space="preserve">Operation innerhalb von 2 Wochen nach dem Restaging (sofern keine cCR vorliegt </w:t>
      </w:r>
      <w:r w:rsidRPr="00343CBD">
        <w:rPr>
          <w:rFonts w:asciiTheme="minorHAnsi" w:hAnsiTheme="minorHAnsi" w:cstheme="minorHAnsi"/>
        </w:rPr>
        <w:sym w:font="Wingdings" w:char="F0E0"/>
      </w:r>
      <w:r w:rsidRPr="00343CBD">
        <w:rPr>
          <w:rFonts w:asciiTheme="minorHAnsi" w:hAnsiTheme="minorHAnsi" w:cstheme="minorHAnsi"/>
        </w:rPr>
        <w:t xml:space="preserve"> siehe 3.9.)</w:t>
      </w:r>
    </w:p>
    <w:p w14:paraId="06E33E56" w14:textId="77777777" w:rsidR="003E1C8E" w:rsidRPr="00343CBD" w:rsidRDefault="003E1C8E" w:rsidP="003E1C8E">
      <w:pPr>
        <w:pStyle w:val="berschrift2"/>
        <w:rPr>
          <w:lang w:val="de-DE" w:eastAsia="de-AT"/>
        </w:rPr>
      </w:pPr>
      <w:bookmarkStart w:id="65" w:name="_Toc93523302"/>
      <w:r w:rsidRPr="00343CBD">
        <w:rPr>
          <w:lang w:val="de-DE" w:eastAsia="de-AT"/>
        </w:rPr>
        <w:t>3.9</w:t>
      </w:r>
      <w:r w:rsidRPr="00343CBD">
        <w:rPr>
          <w:lang w:val="de-DE" w:eastAsia="de-AT"/>
        </w:rPr>
        <w:tab/>
        <w:t>Watch&amp;Wait-Konzept beim Rektumkarzinom</w:t>
      </w:r>
      <w:bookmarkEnd w:id="65"/>
    </w:p>
    <w:p w14:paraId="56DB19A5"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Nach konventioneller Radiochemotherapie (Beckenbestrahlung, 1x täglich mit 50Gy über 5 Wochen und simultaner Gabe von 5-Flourouracil oder Capecitabin, sog. Langzeitradiochemotherapie) beträgt die Wahrscheinlichkeit einer kompletten pathologischen Remission (pCR) ca. 15%.</w:t>
      </w:r>
    </w:p>
    <w:p w14:paraId="2E73B5D2"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In diversen Studien konnte gezeigt werden, dass nach Erreichen einer cCR unter bestimmten Voraussetzungen auf eine anschließende Rektumexstirpation oder Rektumresektion verzichtet werden kann, ohne dass das onkologische Gesamtergebnis hinsichtlich Gesamtüberleben gefährdet  wird.</w:t>
      </w:r>
    </w:p>
    <w:p w14:paraId="2812FBD4"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Die aktuellen CRC-Leitlinien geben keine klare Empfehlung zum Vorgehen bei cCR nach RCT.</w:t>
      </w:r>
    </w:p>
    <w:p w14:paraId="7B53B2E1"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Eine prospektive, randomisierte Studie mit einer Randomisierung in Operation versus watch and wait Strategie nach Erreichen einer cCR gibt es bislang nicht und wird es mit großer Wahrscheinlichkeit aus ethischen Gründen auch nicht geben.</w:t>
      </w:r>
    </w:p>
    <w:p w14:paraId="55024AC9"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Allerdings gibt es mittlerweile mehrere Observanzstudien zum Thema W&amp;W.</w:t>
      </w:r>
    </w:p>
    <w:p w14:paraId="53FBF455"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 xml:space="preserve">Die größte Observanzstudie wurde 2018 von van der Valk publiziert </w:t>
      </w:r>
      <w:bookmarkStart w:id="66" w:name="_Hlk93261267"/>
      <w:r w:rsidRPr="00343CBD">
        <w:rPr>
          <w:rFonts w:eastAsia="Calibri" w:cs="Arial"/>
          <w:bCs/>
          <w:szCs w:val="22"/>
          <w:vertAlign w:val="superscript"/>
          <w:lang w:eastAsia="en-US"/>
        </w:rPr>
        <w:t>2)</w:t>
      </w:r>
      <w:r w:rsidRPr="00343CBD">
        <w:rPr>
          <w:rFonts w:asciiTheme="minorHAnsi" w:hAnsiTheme="minorHAnsi"/>
          <w:bCs/>
        </w:rPr>
        <w:t>:</w:t>
      </w:r>
      <w:bookmarkEnd w:id="66"/>
    </w:p>
    <w:p w14:paraId="03D94FA0" w14:textId="77777777" w:rsidR="003E1C8E" w:rsidRPr="00343CBD" w:rsidRDefault="003E1C8E" w:rsidP="003E1C8E">
      <w:pPr>
        <w:pStyle w:val="Listenabsatz"/>
        <w:numPr>
          <w:ilvl w:val="0"/>
          <w:numId w:val="25"/>
        </w:numPr>
        <w:spacing w:line="276" w:lineRule="auto"/>
        <w:jc w:val="both"/>
        <w:rPr>
          <w:rFonts w:asciiTheme="minorHAnsi" w:hAnsiTheme="minorHAnsi"/>
        </w:rPr>
      </w:pPr>
      <w:r w:rsidRPr="00343CBD">
        <w:rPr>
          <w:rFonts w:asciiTheme="minorHAnsi" w:hAnsiTheme="minorHAnsi"/>
        </w:rPr>
        <w:t>5-Jahres-OS ca. 85% (vergleichbar mit der 5-Jahres-OS-Rate von 87·6% bei Patienten mit pCR in einer gepoolten Analyse von Maas et al)</w:t>
      </w:r>
    </w:p>
    <w:p w14:paraId="42D0726F" w14:textId="77777777" w:rsidR="003E1C8E" w:rsidRPr="00564EAE" w:rsidRDefault="003E1C8E" w:rsidP="003E1C8E">
      <w:pPr>
        <w:pStyle w:val="Listenabsatz"/>
        <w:numPr>
          <w:ilvl w:val="0"/>
          <w:numId w:val="25"/>
        </w:numPr>
        <w:spacing w:line="276" w:lineRule="auto"/>
        <w:jc w:val="both"/>
        <w:rPr>
          <w:rFonts w:asciiTheme="minorHAnsi" w:hAnsiTheme="minorHAnsi"/>
          <w:lang w:val="en-GB"/>
        </w:rPr>
      </w:pPr>
      <w:r w:rsidRPr="00564EAE">
        <w:rPr>
          <w:rFonts w:asciiTheme="minorHAnsi" w:hAnsiTheme="minorHAnsi"/>
          <w:lang w:val="en-GB"/>
        </w:rPr>
        <w:t>5-Jahres-disease specific survival ca. 94%</w:t>
      </w:r>
    </w:p>
    <w:p w14:paraId="51C2E6D6" w14:textId="77777777" w:rsidR="003E1C8E" w:rsidRPr="00343CBD" w:rsidRDefault="003E1C8E" w:rsidP="003E1C8E">
      <w:pPr>
        <w:pStyle w:val="Listenabsatz"/>
        <w:numPr>
          <w:ilvl w:val="0"/>
          <w:numId w:val="25"/>
        </w:numPr>
        <w:spacing w:line="276" w:lineRule="auto"/>
        <w:jc w:val="both"/>
        <w:rPr>
          <w:rFonts w:asciiTheme="minorHAnsi" w:hAnsiTheme="minorHAnsi"/>
        </w:rPr>
      </w:pPr>
      <w:r w:rsidRPr="00343CBD">
        <w:rPr>
          <w:rFonts w:asciiTheme="minorHAnsi" w:hAnsiTheme="minorHAnsi"/>
        </w:rPr>
        <w:t>„local regrowth“-Risiko ca. 25% (90% innerhalb der ersten 2 Jahre)</w:t>
      </w:r>
    </w:p>
    <w:p w14:paraId="3D1E89C4" w14:textId="77777777" w:rsidR="003E1C8E" w:rsidRPr="00343CBD" w:rsidRDefault="003E1C8E" w:rsidP="003E1C8E">
      <w:pPr>
        <w:pStyle w:val="Listenabsatz"/>
        <w:numPr>
          <w:ilvl w:val="0"/>
          <w:numId w:val="25"/>
        </w:numPr>
        <w:spacing w:line="276" w:lineRule="auto"/>
        <w:jc w:val="both"/>
        <w:rPr>
          <w:rFonts w:asciiTheme="minorHAnsi" w:hAnsiTheme="minorHAnsi"/>
        </w:rPr>
      </w:pPr>
      <w:r w:rsidRPr="00343CBD">
        <w:rPr>
          <w:rFonts w:asciiTheme="minorHAnsi" w:hAnsiTheme="minorHAnsi"/>
        </w:rPr>
        <w:t>LR fast immer intraluminal und auf die Darmwand begrenzt (97%)</w:t>
      </w:r>
    </w:p>
    <w:p w14:paraId="5797FEDE" w14:textId="77777777" w:rsidR="003E1C8E" w:rsidRPr="00343CBD" w:rsidRDefault="003E1C8E" w:rsidP="003E1C8E">
      <w:pPr>
        <w:pStyle w:val="Listenabsatz"/>
        <w:numPr>
          <w:ilvl w:val="0"/>
          <w:numId w:val="25"/>
        </w:numPr>
        <w:spacing w:line="276" w:lineRule="auto"/>
        <w:jc w:val="left"/>
        <w:rPr>
          <w:rFonts w:asciiTheme="minorHAnsi" w:hAnsiTheme="minorHAnsi"/>
        </w:rPr>
      </w:pPr>
      <w:r w:rsidRPr="00343CBD">
        <w:rPr>
          <w:rFonts w:asciiTheme="minorHAnsi" w:hAnsiTheme="minorHAnsi"/>
        </w:rPr>
        <w:t>bei ca. 90 % dieser Patienten kann mit einer Salvage-Operation eine R0-Resektion erzielt werden</w:t>
      </w:r>
    </w:p>
    <w:p w14:paraId="7D195C3E" w14:textId="77777777" w:rsidR="003E1C8E" w:rsidRPr="00343CBD" w:rsidRDefault="003E1C8E" w:rsidP="003E1C8E">
      <w:pPr>
        <w:pStyle w:val="Listenabsatz"/>
        <w:spacing w:line="276" w:lineRule="auto"/>
        <w:ind w:left="644"/>
        <w:jc w:val="both"/>
        <w:rPr>
          <w:rFonts w:asciiTheme="minorHAnsi" w:hAnsiTheme="minorHAnsi"/>
        </w:rPr>
      </w:pPr>
    </w:p>
    <w:p w14:paraId="50F4AF4F" w14:textId="77777777" w:rsidR="003E1C8E" w:rsidRPr="00564EAE" w:rsidRDefault="003E1C8E" w:rsidP="003E1C8E">
      <w:pPr>
        <w:pStyle w:val="Listenabsatz"/>
        <w:numPr>
          <w:ilvl w:val="0"/>
          <w:numId w:val="26"/>
        </w:numPr>
        <w:spacing w:line="276" w:lineRule="auto"/>
        <w:jc w:val="both"/>
        <w:rPr>
          <w:rFonts w:ascii="Calibri" w:eastAsia="Calibri" w:hAnsi="Calibri" w:cs="Calibri"/>
          <w:iCs/>
          <w:sz w:val="18"/>
          <w:szCs w:val="18"/>
          <w:lang w:val="en-GB" w:eastAsia="en-US"/>
        </w:rPr>
      </w:pPr>
      <w:r w:rsidRPr="00564EAE">
        <w:rPr>
          <w:rFonts w:ascii="Calibri" w:eastAsia="Calibri" w:hAnsi="Calibri" w:cs="Calibri"/>
          <w:iCs/>
          <w:sz w:val="18"/>
          <w:szCs w:val="18"/>
          <w:lang w:val="en-GB" w:eastAsia="en-US"/>
        </w:rPr>
        <w:t xml:space="preserve">Impact of the interval between short-course radiotherapy and surgery on outcomes of rectal cancer patients. </w:t>
      </w:r>
    </w:p>
    <w:p w14:paraId="55F63C0B" w14:textId="77777777" w:rsidR="003E1C8E" w:rsidRPr="00564EAE" w:rsidRDefault="003E1C8E" w:rsidP="003E1C8E">
      <w:pPr>
        <w:pStyle w:val="Listenabsatz"/>
        <w:spacing w:line="276" w:lineRule="auto"/>
        <w:ind w:left="704"/>
        <w:jc w:val="both"/>
        <w:rPr>
          <w:rFonts w:ascii="Calibri" w:eastAsia="Calibri" w:hAnsi="Calibri" w:cs="Calibri"/>
          <w:iCs/>
          <w:sz w:val="18"/>
          <w:szCs w:val="18"/>
          <w:lang w:val="en-GB" w:eastAsia="en-US"/>
        </w:rPr>
      </w:pPr>
      <w:r w:rsidRPr="00564EAE">
        <w:rPr>
          <w:rFonts w:ascii="Calibri" w:eastAsia="Calibri" w:hAnsi="Calibri" w:cs="Calibri"/>
          <w:iCs/>
          <w:sz w:val="18"/>
          <w:szCs w:val="18"/>
          <w:lang w:val="en-GB" w:eastAsia="en-US"/>
        </w:rPr>
        <w:t>van den Broeck et al, Eur J Cancer. 2013 Oct;49(15):3131-9</w:t>
      </w:r>
    </w:p>
    <w:p w14:paraId="626A63BC" w14:textId="77777777" w:rsidR="003E1C8E" w:rsidRPr="00564EAE" w:rsidRDefault="003E1C8E" w:rsidP="003E1C8E">
      <w:pPr>
        <w:pStyle w:val="Listenabsatz"/>
        <w:numPr>
          <w:ilvl w:val="0"/>
          <w:numId w:val="26"/>
        </w:numPr>
        <w:spacing w:line="276" w:lineRule="auto"/>
        <w:jc w:val="both"/>
        <w:rPr>
          <w:rFonts w:ascii="Calibri" w:eastAsia="Calibri" w:hAnsi="Calibri" w:cs="Calibri"/>
          <w:iCs/>
          <w:sz w:val="18"/>
          <w:szCs w:val="18"/>
          <w:lang w:val="en-GB" w:eastAsia="en-US"/>
        </w:rPr>
      </w:pPr>
      <w:r w:rsidRPr="00564EAE">
        <w:rPr>
          <w:rFonts w:ascii="Calibri" w:eastAsia="Calibri" w:hAnsi="Calibri" w:cs="Calibri"/>
          <w:iCs/>
          <w:sz w:val="18"/>
          <w:szCs w:val="18"/>
          <w:lang w:val="en-GB" w:eastAsia="en-US"/>
        </w:rPr>
        <w:t>van der Valk et al., Lancet 2018; 391: 2537–45</w:t>
      </w:r>
    </w:p>
    <w:p w14:paraId="26811929" w14:textId="77777777" w:rsidR="003E1C8E" w:rsidRDefault="003E1C8E" w:rsidP="003E1C8E">
      <w:pPr>
        <w:spacing w:line="276" w:lineRule="auto"/>
        <w:jc w:val="both"/>
        <w:rPr>
          <w:rFonts w:asciiTheme="minorHAnsi" w:hAnsiTheme="minorHAnsi"/>
          <w:b/>
          <w:bCs/>
          <w:u w:val="single"/>
          <w:lang w:val="en-GB"/>
        </w:rPr>
      </w:pPr>
    </w:p>
    <w:p w14:paraId="41AF0905" w14:textId="77777777" w:rsidR="007F743D" w:rsidRPr="00564EAE" w:rsidRDefault="007F743D" w:rsidP="003E1C8E">
      <w:pPr>
        <w:spacing w:line="276" w:lineRule="auto"/>
        <w:jc w:val="both"/>
        <w:rPr>
          <w:rFonts w:asciiTheme="minorHAnsi" w:hAnsiTheme="minorHAnsi"/>
          <w:b/>
          <w:bCs/>
          <w:u w:val="single"/>
          <w:lang w:val="en-GB"/>
        </w:rPr>
      </w:pPr>
    </w:p>
    <w:p w14:paraId="72F9D776" w14:textId="77777777" w:rsidR="003E1C8E" w:rsidRPr="00343CBD" w:rsidRDefault="003E1C8E" w:rsidP="003E1C8E">
      <w:pPr>
        <w:pStyle w:val="Listenabsatz"/>
        <w:spacing w:line="276" w:lineRule="auto"/>
        <w:ind w:left="284"/>
        <w:jc w:val="both"/>
        <w:rPr>
          <w:rFonts w:asciiTheme="minorHAnsi" w:hAnsiTheme="minorHAnsi"/>
          <w:b/>
          <w:bCs/>
          <w:u w:val="single"/>
        </w:rPr>
      </w:pPr>
      <w:r w:rsidRPr="00343CBD">
        <w:rPr>
          <w:rFonts w:asciiTheme="minorHAnsi" w:hAnsiTheme="minorHAnsi"/>
          <w:b/>
          <w:bCs/>
          <w:u w:val="single"/>
        </w:rPr>
        <w:t>Vorgehen im Tumorzentrum:</w:t>
      </w:r>
    </w:p>
    <w:p w14:paraId="75CBB11E" w14:textId="77777777" w:rsidR="003E1C8E" w:rsidRPr="00343CBD" w:rsidRDefault="003E1C8E" w:rsidP="003E1C8E">
      <w:pPr>
        <w:pStyle w:val="Listenabsatz"/>
        <w:spacing w:line="276" w:lineRule="auto"/>
        <w:ind w:left="284"/>
        <w:jc w:val="both"/>
        <w:rPr>
          <w:rFonts w:asciiTheme="minorHAnsi" w:hAnsiTheme="minorHAnsi"/>
          <w:b/>
          <w:bCs/>
          <w:sz w:val="8"/>
          <w:szCs w:val="8"/>
          <w:u w:val="single"/>
        </w:rPr>
      </w:pPr>
    </w:p>
    <w:p w14:paraId="2256B16E"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u w:val="single"/>
        </w:rPr>
      </w:pPr>
      <w:r w:rsidRPr="00343CBD">
        <w:rPr>
          <w:rFonts w:asciiTheme="minorHAnsi" w:hAnsiTheme="minorHAnsi"/>
        </w:rPr>
        <w:t>Das watch and wait Konzept kann sowohl nach konventioneller Langzeitradiochemotherapie als auch nach einer totalen neoadjuvanten Therapie (TNT, siehe Kapitel X.X.)  bei Erreichen einer kompletten klinischen Remission (cCR) verfolgt werden.</w:t>
      </w:r>
    </w:p>
    <w:p w14:paraId="72E1813B"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Das Restaging (MRI, Endoskopie, DRE) soll genau 10 Wochen nach Abschluss der RCT erfolgen (Maximum der Tumorregression wird erst nach 10 – 12 Wochen erreicht).</w:t>
      </w:r>
    </w:p>
    <w:p w14:paraId="50279E15" w14:textId="77777777" w:rsidR="003E1C8E" w:rsidRPr="009247D3" w:rsidRDefault="003E1C8E" w:rsidP="003E1C8E">
      <w:pPr>
        <w:pStyle w:val="Listenabsatz"/>
        <w:spacing w:line="276" w:lineRule="auto"/>
        <w:ind w:left="284"/>
        <w:jc w:val="both"/>
        <w:rPr>
          <w:rFonts w:asciiTheme="minorHAnsi" w:hAnsiTheme="minorHAnsi"/>
        </w:rPr>
      </w:pPr>
      <w:r w:rsidRPr="009247D3">
        <w:rPr>
          <w:rFonts w:asciiTheme="minorHAnsi" w:hAnsiTheme="minorHAnsi"/>
        </w:rPr>
        <w:t>Ausnahme: Restaging bei TNT später aufgrund der neoadjuvanten Chemotherapie (Schema Seite 49)</w:t>
      </w:r>
    </w:p>
    <w:p w14:paraId="1AE869F7" w14:textId="77777777" w:rsidR="003E1C8E" w:rsidRPr="009247D3" w:rsidRDefault="003E1C8E" w:rsidP="003E1C8E">
      <w:pPr>
        <w:pStyle w:val="Listenabsatz"/>
        <w:numPr>
          <w:ilvl w:val="0"/>
          <w:numId w:val="24"/>
        </w:numPr>
        <w:spacing w:line="276" w:lineRule="auto"/>
        <w:ind w:left="284" w:hanging="284"/>
        <w:jc w:val="both"/>
        <w:rPr>
          <w:rFonts w:asciiTheme="minorHAnsi" w:hAnsiTheme="minorHAnsi"/>
          <w:u w:val="single"/>
        </w:rPr>
      </w:pPr>
      <w:r w:rsidRPr="009247D3">
        <w:rPr>
          <w:rFonts w:asciiTheme="minorHAnsi" w:hAnsiTheme="minorHAnsi"/>
          <w:u w:val="single"/>
        </w:rPr>
        <w:t>Kriterien für cCR nach RCT (modifiziert nach Fokas et al.):</w:t>
      </w:r>
      <w:r w:rsidRPr="009247D3">
        <w:rPr>
          <w:rFonts w:eastAsia="Calibri" w:cs="Arial"/>
          <w:bCs/>
          <w:szCs w:val="22"/>
          <w:vertAlign w:val="superscript"/>
          <w:lang w:eastAsia="en-US"/>
        </w:rPr>
        <w:t xml:space="preserve"> 1)</w:t>
      </w:r>
    </w:p>
    <w:p w14:paraId="6135F681" w14:textId="77777777" w:rsidR="003E1C8E" w:rsidRPr="009247D3" w:rsidRDefault="003E1C8E" w:rsidP="003E1C8E">
      <w:pPr>
        <w:pStyle w:val="Listenabsatz"/>
        <w:numPr>
          <w:ilvl w:val="0"/>
          <w:numId w:val="25"/>
        </w:numPr>
        <w:spacing w:line="276" w:lineRule="auto"/>
        <w:jc w:val="both"/>
        <w:rPr>
          <w:rFonts w:asciiTheme="minorHAnsi" w:hAnsiTheme="minorHAnsi"/>
        </w:rPr>
      </w:pPr>
      <w:r w:rsidRPr="009247D3">
        <w:rPr>
          <w:rFonts w:asciiTheme="minorHAnsi" w:hAnsiTheme="minorHAnsi"/>
        </w:rPr>
        <w:t>MRI: kein Residualtumor oder nur residuelle Fibrose, keine suspekten Lymphknoten</w:t>
      </w:r>
      <w:r w:rsidRPr="009247D3">
        <w:rPr>
          <w:rFonts w:asciiTheme="minorHAnsi" w:hAnsiTheme="minorHAnsi"/>
        </w:rPr>
        <w:br/>
        <w:t>(MRI sollte als erste Untersuchung durchgeführt werden, um das Ergebnis nicht zu verfälschen)</w:t>
      </w:r>
    </w:p>
    <w:p w14:paraId="6E3EA188" w14:textId="77777777" w:rsidR="003E1C8E" w:rsidRPr="009247D3" w:rsidRDefault="003E1C8E" w:rsidP="003E1C8E">
      <w:pPr>
        <w:pStyle w:val="Listenabsatz"/>
        <w:numPr>
          <w:ilvl w:val="0"/>
          <w:numId w:val="25"/>
        </w:numPr>
        <w:spacing w:line="276" w:lineRule="auto"/>
        <w:jc w:val="both"/>
        <w:rPr>
          <w:rFonts w:asciiTheme="minorHAnsi" w:hAnsiTheme="minorHAnsi"/>
        </w:rPr>
      </w:pPr>
      <w:r w:rsidRPr="009247D3">
        <w:rPr>
          <w:rFonts w:asciiTheme="minorHAnsi" w:hAnsiTheme="minorHAnsi"/>
        </w:rPr>
        <w:t>DRE (digitale rektale Untersuchung): kein palpabler Tumor</w:t>
      </w:r>
    </w:p>
    <w:p w14:paraId="73C7C31B" w14:textId="77777777" w:rsidR="003E1C8E" w:rsidRPr="009247D3" w:rsidRDefault="003E1C8E" w:rsidP="003E1C8E">
      <w:pPr>
        <w:pStyle w:val="Listenabsatz"/>
        <w:numPr>
          <w:ilvl w:val="0"/>
          <w:numId w:val="25"/>
        </w:numPr>
        <w:spacing w:line="276" w:lineRule="auto"/>
        <w:jc w:val="both"/>
        <w:rPr>
          <w:rFonts w:asciiTheme="minorHAnsi" w:hAnsiTheme="minorHAnsi"/>
        </w:rPr>
      </w:pPr>
      <w:r w:rsidRPr="009247D3">
        <w:rPr>
          <w:rFonts w:asciiTheme="minorHAnsi" w:hAnsiTheme="minorHAnsi"/>
        </w:rPr>
        <w:t>Rektoskopie: kein Residualtumor oder nur residuelle Rötung (Gefäßinjektion) oder Narbe</w:t>
      </w:r>
    </w:p>
    <w:p w14:paraId="5194E7CE" w14:textId="77777777" w:rsidR="003E1C8E" w:rsidRPr="009247D3" w:rsidRDefault="003E1C8E" w:rsidP="003E1C8E">
      <w:pPr>
        <w:pStyle w:val="Listenabsatz"/>
        <w:numPr>
          <w:ilvl w:val="0"/>
          <w:numId w:val="25"/>
        </w:numPr>
        <w:spacing w:line="276" w:lineRule="auto"/>
        <w:jc w:val="both"/>
        <w:rPr>
          <w:rFonts w:asciiTheme="minorHAnsi" w:hAnsiTheme="minorHAnsi"/>
        </w:rPr>
      </w:pPr>
      <w:r w:rsidRPr="009247D3">
        <w:rPr>
          <w:rFonts w:asciiTheme="minorHAnsi" w:hAnsiTheme="minorHAnsi"/>
        </w:rPr>
        <w:t>Unauffällige Endosonographie</w:t>
      </w:r>
    </w:p>
    <w:p w14:paraId="588DB38F" w14:textId="77777777" w:rsidR="003E1C8E" w:rsidRPr="009247D3" w:rsidRDefault="003E1C8E" w:rsidP="003E1C8E">
      <w:pPr>
        <w:pStyle w:val="Listenabsatz"/>
        <w:numPr>
          <w:ilvl w:val="0"/>
          <w:numId w:val="25"/>
        </w:numPr>
        <w:spacing w:line="276" w:lineRule="auto"/>
        <w:jc w:val="both"/>
        <w:rPr>
          <w:rFonts w:asciiTheme="minorHAnsi" w:hAnsiTheme="minorHAnsi"/>
        </w:rPr>
      </w:pPr>
      <w:r w:rsidRPr="009247D3">
        <w:rPr>
          <w:rFonts w:asciiTheme="minorHAnsi" w:hAnsiTheme="minorHAnsi"/>
        </w:rPr>
        <w:t>Biopsie: nicht obligat zur Definition einer cCR; sollte nicht durchgeführt werden, wenn MRI, DRE und Rektoskopie unauffällig sind</w:t>
      </w:r>
    </w:p>
    <w:p w14:paraId="4F2E5A1A"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Sollte 10 Wochen nach neoadjuvanter Therapie noch minimal Resttumor (sog. „near total cCR“) vorhanden sein, ist ein weiteres Zuwarten (noch) nicht zu empfehlen (keine klare Definition und noch kaum Daten vorhanden).</w:t>
      </w:r>
    </w:p>
    <w:p w14:paraId="40437987"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u w:val="single"/>
        </w:rPr>
      </w:pPr>
      <w:r w:rsidRPr="00343CBD">
        <w:rPr>
          <w:rFonts w:asciiTheme="minorHAnsi" w:hAnsiTheme="minorHAnsi"/>
        </w:rPr>
        <w:t>Voraussetzung für ein W&amp;W-Vorgehen ist eine ausführliche Aufklärung des Patienten und eine Bereitschaft zu einer engmaschigen, mindestens 5-jährigen Nachsorge.</w:t>
      </w:r>
    </w:p>
    <w:p w14:paraId="779A00F6"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Das W&amp;W -Konzept wird unabhängig vom Patientenalter empfohlen, eine schlechte Sphinkterfunktion ist kein Grund für eine sofortige Resektion oder Exstirpation bei Vorliegen einer cCR, allenfalls muss eine Operation jedoch im weiteren Verlauf aus funktionellen, nicht aber aus onkologischen Gründen erfolgen.</w:t>
      </w:r>
    </w:p>
    <w:p w14:paraId="6A23E429"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Das W&amp;W-Konzept wird grundsätzlich bei allen klinischen Ausgangssituationen empfohlen, die eine Neoadjuvanz erfordern, d.h. auch im Stadium cT4 im primären Staging. Ausgenommen davon ist allerdings das Vorliegen von lateralen Lymphknotenmetastasen (Lymphknoten, die außerhalb der mesorektalen Faszie liegen). Bei initial positiven lateralen LK besteht ein deutlich erhöhtes Rezidivrisiko selbst bei TME, wenn keine LLND (laterale LK-Dissektion) erfolgt. Hierzu gibt es 2 Arbeiten: Ogura et al (JCO 2018), Nishizaki et al (Anals of oncology 2019).</w:t>
      </w:r>
    </w:p>
    <w:p w14:paraId="7DF4F067"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rPr>
      </w:pPr>
      <w:r w:rsidRPr="00343CBD">
        <w:rPr>
          <w:rFonts w:asciiTheme="minorHAnsi" w:hAnsiTheme="minorHAnsi"/>
        </w:rPr>
        <w:t>Sollte aufgrund der klinischen Tumorklassifikation (z.B. cT2 cN0 cM0) keine Indikation für eine neoadjuvante Therapie bestehen, ist diese auch nicht durchzuführen, um damit eventuell eine cCR zu erreichen und damit eine Operation zu vermeiden (Risiko der Übertherapie).</w:t>
      </w:r>
    </w:p>
    <w:p w14:paraId="38B794C2" w14:textId="77777777" w:rsidR="003E1C8E" w:rsidRPr="00343CBD" w:rsidRDefault="003E1C8E" w:rsidP="003E1C8E">
      <w:pPr>
        <w:pStyle w:val="Listenabsatz"/>
        <w:numPr>
          <w:ilvl w:val="0"/>
          <w:numId w:val="24"/>
        </w:numPr>
        <w:spacing w:line="276" w:lineRule="auto"/>
        <w:ind w:left="284" w:hanging="284"/>
        <w:jc w:val="both"/>
        <w:rPr>
          <w:rFonts w:asciiTheme="minorHAnsi" w:hAnsiTheme="minorHAnsi"/>
          <w:u w:val="single"/>
        </w:rPr>
      </w:pPr>
      <w:r w:rsidRPr="00343CBD">
        <w:rPr>
          <w:rFonts w:asciiTheme="minorHAnsi" w:hAnsiTheme="minorHAnsi"/>
        </w:rPr>
        <w:t>TU-Nachsorge bei Patienten unter W&amp;W-Strategie (siehe Nachsorge-Schema, Kapitel 5.2.):</w:t>
      </w:r>
    </w:p>
    <w:p w14:paraId="75D29B55" w14:textId="77777777" w:rsidR="003E1C8E" w:rsidRPr="00343CBD" w:rsidRDefault="003E1C8E" w:rsidP="003E1C8E">
      <w:pPr>
        <w:pStyle w:val="Listenabsatz"/>
        <w:numPr>
          <w:ilvl w:val="0"/>
          <w:numId w:val="25"/>
        </w:numPr>
        <w:spacing w:line="276" w:lineRule="auto"/>
        <w:jc w:val="both"/>
        <w:rPr>
          <w:rFonts w:asciiTheme="minorHAnsi" w:hAnsiTheme="minorHAnsi"/>
        </w:rPr>
      </w:pPr>
      <w:bookmarkStart w:id="67" w:name="_Hlk93517353"/>
      <w:bookmarkStart w:id="68" w:name="_Hlk93517299"/>
      <w:r>
        <w:rPr>
          <w:rFonts w:asciiTheme="minorHAnsi" w:hAnsiTheme="minorHAnsi"/>
        </w:rPr>
        <w:t>Anamnese, körperliche Unters.,</w:t>
      </w:r>
      <w:r w:rsidRPr="00343CBD">
        <w:rPr>
          <w:rFonts w:asciiTheme="minorHAnsi" w:hAnsiTheme="minorHAnsi"/>
        </w:rPr>
        <w:t xml:space="preserve"> CEA alle 3 Monate für </w:t>
      </w:r>
      <w:r>
        <w:rPr>
          <w:rFonts w:asciiTheme="minorHAnsi" w:hAnsiTheme="minorHAnsi"/>
        </w:rPr>
        <w:t>3</w:t>
      </w:r>
      <w:r w:rsidRPr="00343CBD">
        <w:rPr>
          <w:rFonts w:asciiTheme="minorHAnsi" w:hAnsiTheme="minorHAnsi"/>
        </w:rPr>
        <w:t xml:space="preserve"> Jahre, dann alle 6 Monate (Jahre 3-5)</w:t>
      </w:r>
      <w:bookmarkEnd w:id="67"/>
    </w:p>
    <w:bookmarkEnd w:id="68"/>
    <w:p w14:paraId="2B9E094F" w14:textId="77777777" w:rsidR="003E1C8E" w:rsidRDefault="003E1C8E" w:rsidP="003E1C8E">
      <w:pPr>
        <w:pStyle w:val="Listenabsatz"/>
        <w:numPr>
          <w:ilvl w:val="0"/>
          <w:numId w:val="25"/>
        </w:numPr>
        <w:spacing w:line="276" w:lineRule="auto"/>
        <w:jc w:val="both"/>
        <w:rPr>
          <w:rFonts w:asciiTheme="minorHAnsi" w:hAnsiTheme="minorHAnsi"/>
        </w:rPr>
      </w:pPr>
      <w:r>
        <w:rPr>
          <w:rFonts w:asciiTheme="minorHAnsi" w:hAnsiTheme="minorHAnsi"/>
        </w:rPr>
        <w:t>DRE</w:t>
      </w:r>
      <w:r w:rsidRPr="002B1A98">
        <w:rPr>
          <w:rFonts w:asciiTheme="minorHAnsi" w:hAnsiTheme="minorHAnsi"/>
        </w:rPr>
        <w:t xml:space="preserve">, Rektoskopie, Dünnschicht-MRT </w:t>
      </w:r>
      <w:r>
        <w:rPr>
          <w:rFonts w:asciiTheme="minorHAnsi" w:hAnsiTheme="minorHAnsi"/>
        </w:rPr>
        <w:t xml:space="preserve">alle </w:t>
      </w:r>
      <w:r w:rsidRPr="002B1A98">
        <w:rPr>
          <w:rFonts w:asciiTheme="minorHAnsi" w:hAnsiTheme="minorHAnsi"/>
        </w:rPr>
        <w:t>3 Monate für 2 Jahre, dann alle 6 Monate (Jahre 3-5)</w:t>
      </w:r>
    </w:p>
    <w:p w14:paraId="68D7F83C" w14:textId="77777777" w:rsidR="003E1C8E" w:rsidRDefault="003E1C8E" w:rsidP="003E1C8E">
      <w:pPr>
        <w:pStyle w:val="Listenabsatz"/>
        <w:numPr>
          <w:ilvl w:val="0"/>
          <w:numId w:val="25"/>
        </w:numPr>
        <w:spacing w:line="276" w:lineRule="auto"/>
        <w:jc w:val="both"/>
        <w:rPr>
          <w:rFonts w:asciiTheme="minorHAnsi" w:hAnsiTheme="minorHAnsi"/>
        </w:rPr>
      </w:pPr>
      <w:r w:rsidRPr="00343CBD">
        <w:rPr>
          <w:rFonts w:asciiTheme="minorHAnsi" w:hAnsiTheme="minorHAnsi"/>
        </w:rPr>
        <w:t>CT Thorax/Abdomen alle 6 Monate für 2 Jahre, dann alle 12 Monate (Jahre 3-5)</w:t>
      </w:r>
    </w:p>
    <w:p w14:paraId="405AFC26" w14:textId="77777777" w:rsidR="003E1C8E" w:rsidRPr="00343CBD" w:rsidRDefault="003E1C8E" w:rsidP="003E1C8E">
      <w:pPr>
        <w:pStyle w:val="Listenabsatz"/>
        <w:numPr>
          <w:ilvl w:val="0"/>
          <w:numId w:val="25"/>
        </w:numPr>
        <w:spacing w:line="276" w:lineRule="auto"/>
        <w:jc w:val="both"/>
        <w:rPr>
          <w:rFonts w:asciiTheme="minorHAnsi" w:hAnsiTheme="minorHAnsi"/>
        </w:rPr>
      </w:pPr>
      <w:r>
        <w:rPr>
          <w:rFonts w:asciiTheme="minorHAnsi" w:hAnsiTheme="minorHAnsi"/>
        </w:rPr>
        <w:t>Endosongraphie optional bei unklaren/inkonklusiven Befunden</w:t>
      </w:r>
    </w:p>
    <w:p w14:paraId="7D881C49" w14:textId="77777777" w:rsidR="003E1C8E" w:rsidRPr="000D519C" w:rsidRDefault="003E1C8E" w:rsidP="003E1C8E">
      <w:pPr>
        <w:pStyle w:val="Listenabsatz"/>
        <w:numPr>
          <w:ilvl w:val="0"/>
          <w:numId w:val="24"/>
        </w:numPr>
        <w:spacing w:line="276" w:lineRule="auto"/>
        <w:ind w:left="284" w:hanging="284"/>
        <w:jc w:val="both"/>
        <w:rPr>
          <w:rFonts w:asciiTheme="minorHAnsi" w:hAnsiTheme="minorHAnsi"/>
          <w:u w:val="single"/>
        </w:rPr>
      </w:pPr>
      <w:r w:rsidRPr="00343CBD">
        <w:rPr>
          <w:rFonts w:asciiTheme="minorHAnsi" w:hAnsiTheme="minorHAnsi"/>
        </w:rPr>
        <w:t xml:space="preserve">Die Standard-Therapie für einen LR (local regrowth) ist eine TME, eine LE (lokale Excision) ist nicht indiziert. Eine Arbeit von Dossa et al. (Lancet 2020) ergab schlechte funktionelle Ergebnisse für die Untergruppe mit Komplettierungs-TME wegen ungünstiger histopathologischer Befunde oder wegen Rezidiv nach lokaler Excision (Morbidität 78%, Kolostomierate 25%, sexuelle Dysfunktion 41%). </w:t>
      </w:r>
      <w:r w:rsidRPr="00343CBD">
        <w:rPr>
          <w:rFonts w:asciiTheme="minorHAnsi" w:hAnsiTheme="minorHAnsi"/>
        </w:rPr>
        <w:br/>
        <w:t>2 weitere Arbeiten ergaben zudem eine hohe Komplikationsrate und eine schlechte Funktion nach neoadjuvanter RCT und LE (Gornicki, EJSO 2014; Stijns, JAMA Surg. 2019).</w:t>
      </w:r>
    </w:p>
    <w:p w14:paraId="69B21E98" w14:textId="77777777" w:rsidR="003E1C8E" w:rsidRPr="00E94A5E" w:rsidRDefault="008D499A" w:rsidP="003E1C8E">
      <w:pPr>
        <w:numPr>
          <w:ilvl w:val="0"/>
          <w:numId w:val="28"/>
        </w:numPr>
        <w:spacing w:line="276" w:lineRule="auto"/>
        <w:contextualSpacing/>
        <w:jc w:val="both"/>
        <w:rPr>
          <w:rFonts w:ascii="Calibri" w:eastAsia="Calibri" w:hAnsi="Calibri" w:cs="Calibri"/>
          <w:iCs/>
          <w:sz w:val="18"/>
          <w:szCs w:val="18"/>
          <w:lang w:eastAsia="en-US"/>
        </w:rPr>
      </w:pPr>
      <w:r w:rsidRPr="00564EAE">
        <w:rPr>
          <w:rFonts w:ascii="Calibri" w:eastAsia="Calibri" w:hAnsi="Calibri" w:cs="Calibri"/>
          <w:iCs/>
          <w:sz w:val="18"/>
          <w:szCs w:val="18"/>
          <w:lang w:val="en-GB" w:eastAsia="en-US"/>
        </w:rPr>
        <w:t xml:space="preserve">International consensus recommendations </w:t>
      </w:r>
      <w:r w:rsidR="003E1C8E" w:rsidRPr="00564EAE">
        <w:rPr>
          <w:rFonts w:ascii="Calibri" w:eastAsia="Calibri" w:hAnsi="Calibri" w:cs="Calibri"/>
          <w:iCs/>
          <w:sz w:val="18"/>
          <w:szCs w:val="18"/>
          <w:lang w:val="en-GB" w:eastAsia="en-US"/>
        </w:rPr>
        <w:t xml:space="preserve">Fokas et al., Nature RevIews, Clin. </w:t>
      </w:r>
      <w:r w:rsidR="003E1C8E" w:rsidRPr="00E94A5E">
        <w:rPr>
          <w:rFonts w:ascii="Calibri" w:eastAsia="Calibri" w:hAnsi="Calibri" w:cs="Calibri"/>
          <w:iCs/>
          <w:sz w:val="18"/>
          <w:szCs w:val="18"/>
          <w:lang w:eastAsia="en-US"/>
        </w:rPr>
        <w:t>Oncol. , Vol 18, Dec 2021</w:t>
      </w:r>
    </w:p>
    <w:p w14:paraId="714C93A5" w14:textId="77777777" w:rsidR="003E1C8E" w:rsidRPr="003D703E" w:rsidRDefault="003E1C8E" w:rsidP="003E1C8E">
      <w:pPr>
        <w:keepNext/>
        <w:spacing w:before="240" w:after="60"/>
        <w:ind w:left="705" w:hanging="705"/>
        <w:jc w:val="left"/>
        <w:outlineLvl w:val="1"/>
        <w:rPr>
          <w:rFonts w:cs="Arial"/>
          <w:b/>
          <w:bCs/>
          <w:i/>
          <w:iCs/>
          <w:sz w:val="24"/>
          <w:szCs w:val="24"/>
          <w:lang w:val="de-DE" w:eastAsia="de-AT"/>
        </w:rPr>
      </w:pPr>
      <w:bookmarkStart w:id="69" w:name="_Toc93523303"/>
      <w:r w:rsidRPr="003D703E">
        <w:rPr>
          <w:rFonts w:cs="Arial"/>
          <w:b/>
          <w:bCs/>
          <w:i/>
          <w:iCs/>
          <w:sz w:val="24"/>
          <w:szCs w:val="24"/>
          <w:lang w:val="de-DE" w:eastAsia="de-AT"/>
        </w:rPr>
        <w:lastRenderedPageBreak/>
        <w:t>3.10</w:t>
      </w:r>
      <w:r w:rsidRPr="003D703E">
        <w:rPr>
          <w:rFonts w:cs="Arial"/>
          <w:b/>
          <w:bCs/>
          <w:i/>
          <w:iCs/>
          <w:sz w:val="24"/>
          <w:szCs w:val="24"/>
          <w:lang w:val="de-DE" w:eastAsia="de-AT"/>
        </w:rPr>
        <w:tab/>
        <w:t>TNT (totale neoadjuvante Therapie) beim Rektumkarzinom</w:t>
      </w:r>
      <w:bookmarkEnd w:id="69"/>
    </w:p>
    <w:p w14:paraId="21C90666"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Unter totaler neoadjuvanter Therapie wird die Ergänzung der präoperativen Radio- oder Radiochemotherapie um eine zusätzliche präoperative Systemtherapie (in Phase-III Studien bislang nur Chemotherapie) verstanden.</w:t>
      </w:r>
    </w:p>
    <w:p w14:paraId="3807286F"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Am ASCO 2020 wurden die Daten von 2 Phase-III-Studien präsentiert (RAPIDO-Studie und PRODIGE 23-Studie).</w:t>
      </w:r>
    </w:p>
    <w:p w14:paraId="05A6F8B4"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 xml:space="preserve">Die RAPIDO-Studie </w:t>
      </w:r>
      <w:r w:rsidRPr="003D703E">
        <w:rPr>
          <w:rFonts w:eastAsia="Calibri" w:cs="Arial"/>
          <w:bCs/>
          <w:szCs w:val="22"/>
          <w:vertAlign w:val="superscript"/>
          <w:lang w:eastAsia="en-US"/>
        </w:rPr>
        <w:t>1)</w:t>
      </w:r>
      <w:r w:rsidRPr="003D703E">
        <w:rPr>
          <w:rFonts w:ascii="Calibri" w:hAnsi="Calibri"/>
        </w:rPr>
        <w:t xml:space="preserve"> verglich die TNT (RT mit 5x5 Gy gefolgt von 4.5 Monaten FOLFOX oder CAPOX und TME) mit einer Capecitabin-basierten Radiochemotherapie gefolgt von TME und optionaler postoperativer Chemotherapie mit CAPOX oder FOLFOX über 24 Wochen. Eingeschlossen wurden Patienten mit mindestens einem der folgenden Kriterien: T4, mesorektale Faszie+, N2, EMVI+, </w:t>
      </w:r>
      <w:r w:rsidRPr="003D703E">
        <w:rPr>
          <w:rFonts w:ascii="Calibri" w:hAnsi="Calibri"/>
        </w:rPr>
        <w:br/>
        <w:t>laterale Lymphknoten vergrößert. Der experimentelle Arm (TNT) zeigte eine signifikante Verbesserung des krankheitsfreien Überlebens und eine doppelt so hohe pCR-Rate (28% vs. 14%).</w:t>
      </w:r>
      <w:r w:rsidRPr="003D703E">
        <w:rPr>
          <w:rFonts w:ascii="Calibri" w:hAnsi="Calibri"/>
        </w:rPr>
        <w:br/>
        <w:t xml:space="preserve">Die Überlegenheit war in allen relevanten Subgruppen nachweisbar. Das Gesamtüberleben ist </w:t>
      </w:r>
      <w:r w:rsidRPr="003D703E">
        <w:rPr>
          <w:rFonts w:ascii="Calibri" w:hAnsi="Calibri"/>
        </w:rPr>
        <w:br/>
        <w:t>bisher nicht unterschiedlich (bei noch kurzem Follow-up).</w:t>
      </w:r>
    </w:p>
    <w:p w14:paraId="719FC4B7"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 xml:space="preserve">Die PRODIGE 23-Studie </w:t>
      </w:r>
      <w:r w:rsidRPr="003D703E">
        <w:rPr>
          <w:rFonts w:eastAsia="Calibri" w:cs="Arial"/>
          <w:bCs/>
          <w:szCs w:val="22"/>
          <w:vertAlign w:val="superscript"/>
          <w:lang w:eastAsia="en-US"/>
        </w:rPr>
        <w:t>2)</w:t>
      </w:r>
      <w:r w:rsidRPr="003D703E">
        <w:rPr>
          <w:rFonts w:ascii="Calibri" w:hAnsi="Calibri"/>
        </w:rPr>
        <w:t xml:space="preserve"> verglich eine Induktions-Chemotherapie mit 6 Zyklen FOLFIRINOX gefolgt von einer Capecitabin-basierten Radiochemotherapie, TME und weiterer adjuvanter Therapie über 3 Monate (Capecitabin oder FOLFOX) mit einer Capecitabin-basierten Radiochemotherapie gefolgt von TME und einer adjuvanten FOLFOX- oder Capecitabin-Therapie über 6 Monate. Auch bei dieser Studie waren krankheitsfreies Überleben und pCR-Rate im experimentellen Arm signifikant besser.</w:t>
      </w:r>
    </w:p>
    <w:p w14:paraId="194A8A95"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 xml:space="preserve">2 weitere Phase-II-Studien (OPRA und CAO/ARO/AIO-12) verglichen die Sequenz Induktions-Chemotherapie </w:t>
      </w:r>
      <w:r w:rsidRPr="003D703E">
        <w:rPr>
          <w:rFonts w:ascii="Calibri" w:hAnsi="Calibri"/>
        </w:rPr>
        <w:sym w:font="Wingdings" w:char="F0E0"/>
      </w:r>
      <w:r w:rsidRPr="003D703E">
        <w:rPr>
          <w:rFonts w:ascii="Calibri" w:hAnsi="Calibri"/>
        </w:rPr>
        <w:t xml:space="preserve"> RCT versus RCT </w:t>
      </w:r>
      <w:r w:rsidRPr="003D703E">
        <w:rPr>
          <w:rFonts w:ascii="Calibri" w:hAnsi="Calibri"/>
        </w:rPr>
        <w:sym w:font="Wingdings" w:char="F0E0"/>
      </w:r>
      <w:r w:rsidRPr="003D703E">
        <w:rPr>
          <w:rFonts w:ascii="Calibri" w:hAnsi="Calibri"/>
        </w:rPr>
        <w:t xml:space="preserve"> Konsolidierungs-Chemotherapie. Bei beiden Studien waren die cCR/pCR-Raten höher im Arm mit der Konsolidierungschemotherapie.</w:t>
      </w:r>
    </w:p>
    <w:p w14:paraId="5BB33165" w14:textId="77777777" w:rsidR="003E1C8E" w:rsidRPr="003D703E" w:rsidRDefault="003E1C8E" w:rsidP="003E1C8E">
      <w:pPr>
        <w:spacing w:line="276" w:lineRule="auto"/>
        <w:jc w:val="both"/>
        <w:rPr>
          <w:rFonts w:ascii="Calibri" w:hAnsi="Calibri"/>
        </w:rPr>
      </w:pPr>
    </w:p>
    <w:p w14:paraId="047AE389" w14:textId="77777777" w:rsidR="003E1C8E" w:rsidRPr="003D703E" w:rsidRDefault="003E1C8E" w:rsidP="003E1C8E">
      <w:pPr>
        <w:spacing w:line="276" w:lineRule="auto"/>
        <w:ind w:left="284"/>
        <w:contextualSpacing/>
        <w:jc w:val="both"/>
        <w:rPr>
          <w:rFonts w:ascii="Calibri" w:hAnsi="Calibri"/>
          <w:b/>
          <w:bCs/>
          <w:u w:val="single"/>
        </w:rPr>
      </w:pPr>
      <w:r w:rsidRPr="003D703E">
        <w:rPr>
          <w:rFonts w:ascii="Calibri" w:hAnsi="Calibri"/>
          <w:b/>
          <w:bCs/>
          <w:u w:val="single"/>
        </w:rPr>
        <w:t>Vorgehen im Tumorzentrum:</w:t>
      </w:r>
    </w:p>
    <w:p w14:paraId="7977AB33" w14:textId="77777777" w:rsidR="003E1C8E" w:rsidRPr="003D703E" w:rsidRDefault="003E1C8E" w:rsidP="003E1C8E">
      <w:pPr>
        <w:spacing w:line="276" w:lineRule="auto"/>
        <w:ind w:left="284"/>
        <w:contextualSpacing/>
        <w:jc w:val="both"/>
        <w:rPr>
          <w:rFonts w:ascii="Calibri" w:hAnsi="Calibri"/>
          <w:b/>
          <w:bCs/>
          <w:sz w:val="8"/>
          <w:szCs w:val="8"/>
          <w:u w:val="single"/>
        </w:rPr>
      </w:pPr>
    </w:p>
    <w:p w14:paraId="7EEFB8B6" w14:textId="77777777" w:rsidR="003E1C8E" w:rsidRPr="003D703E" w:rsidRDefault="003E1C8E" w:rsidP="003E1C8E">
      <w:pPr>
        <w:numPr>
          <w:ilvl w:val="0"/>
          <w:numId w:val="24"/>
        </w:numPr>
        <w:spacing w:line="276" w:lineRule="auto"/>
        <w:ind w:left="284" w:hanging="284"/>
        <w:contextualSpacing/>
        <w:jc w:val="both"/>
        <w:rPr>
          <w:rFonts w:ascii="Calibri" w:hAnsi="Calibri"/>
          <w:u w:val="single"/>
        </w:rPr>
      </w:pPr>
      <w:r w:rsidRPr="003D703E">
        <w:rPr>
          <w:rFonts w:ascii="Calibri" w:hAnsi="Calibri"/>
        </w:rPr>
        <w:t>Die TNT wird im Tumorzentrum nur bei MRT-definierter „high-risk“ Situation angeboten.</w:t>
      </w:r>
    </w:p>
    <w:p w14:paraId="4D8E219E" w14:textId="77777777" w:rsidR="003E1C8E" w:rsidRPr="003D703E" w:rsidRDefault="003E1C8E" w:rsidP="003E1C8E">
      <w:pPr>
        <w:numPr>
          <w:ilvl w:val="0"/>
          <w:numId w:val="24"/>
        </w:numPr>
        <w:spacing w:line="276" w:lineRule="auto"/>
        <w:ind w:left="284" w:hanging="284"/>
        <w:contextualSpacing/>
        <w:jc w:val="both"/>
        <w:rPr>
          <w:rFonts w:ascii="Calibri" w:hAnsi="Calibri"/>
          <w:u w:val="single"/>
        </w:rPr>
      </w:pPr>
      <w:r w:rsidRPr="003D703E">
        <w:rPr>
          <w:rFonts w:ascii="Calibri" w:hAnsi="Calibri"/>
        </w:rPr>
        <w:t>Patientenauswahl und Therapie-Schema sollen entsprechend der RAPIDO-Studie durchgeführt werden.</w:t>
      </w:r>
    </w:p>
    <w:p w14:paraId="60AC7BD8" w14:textId="77777777" w:rsidR="003E1C8E" w:rsidRPr="003D703E" w:rsidRDefault="003E1C8E" w:rsidP="003E1C8E">
      <w:pPr>
        <w:numPr>
          <w:ilvl w:val="0"/>
          <w:numId w:val="24"/>
        </w:numPr>
        <w:spacing w:line="276" w:lineRule="auto"/>
        <w:ind w:left="284" w:hanging="284"/>
        <w:contextualSpacing/>
        <w:jc w:val="both"/>
        <w:rPr>
          <w:rFonts w:ascii="Calibri" w:hAnsi="Calibri"/>
          <w:u w:val="single"/>
        </w:rPr>
      </w:pPr>
      <w:r w:rsidRPr="003D703E">
        <w:rPr>
          <w:rFonts w:ascii="Calibri" w:hAnsi="Calibri"/>
        </w:rPr>
        <w:t>High-risk Kriterien (entsprechend RAPIDO-Studie), mindestens 1 Kriterium muss erfüllt sein:</w:t>
      </w:r>
    </w:p>
    <w:p w14:paraId="5417F851" w14:textId="77777777" w:rsidR="003E1C8E" w:rsidRPr="003D703E" w:rsidRDefault="003E1C8E" w:rsidP="003E1C8E">
      <w:pPr>
        <w:numPr>
          <w:ilvl w:val="0"/>
          <w:numId w:val="25"/>
        </w:numPr>
        <w:spacing w:line="276" w:lineRule="auto"/>
        <w:contextualSpacing/>
        <w:jc w:val="both"/>
        <w:rPr>
          <w:rFonts w:ascii="Calibri" w:hAnsi="Calibri"/>
        </w:rPr>
      </w:pPr>
      <w:r w:rsidRPr="003D703E">
        <w:rPr>
          <w:rFonts w:ascii="Calibri" w:hAnsi="Calibri"/>
        </w:rPr>
        <w:t>T4-Stadium</w:t>
      </w:r>
    </w:p>
    <w:p w14:paraId="369E1604" w14:textId="77777777" w:rsidR="003E1C8E" w:rsidRPr="003D703E" w:rsidRDefault="003E1C8E" w:rsidP="003E1C8E">
      <w:pPr>
        <w:numPr>
          <w:ilvl w:val="0"/>
          <w:numId w:val="25"/>
        </w:numPr>
        <w:spacing w:line="276" w:lineRule="auto"/>
        <w:contextualSpacing/>
        <w:jc w:val="both"/>
        <w:rPr>
          <w:rFonts w:ascii="Calibri" w:hAnsi="Calibri"/>
        </w:rPr>
      </w:pPr>
      <w:r w:rsidRPr="003D703E">
        <w:rPr>
          <w:rFonts w:ascii="Calibri" w:hAnsi="Calibri"/>
        </w:rPr>
        <w:t>N2-Stadium</w:t>
      </w:r>
    </w:p>
    <w:p w14:paraId="69BF6214" w14:textId="77777777" w:rsidR="003E1C8E" w:rsidRPr="003D703E" w:rsidRDefault="003E1C8E" w:rsidP="003E1C8E">
      <w:pPr>
        <w:numPr>
          <w:ilvl w:val="0"/>
          <w:numId w:val="25"/>
        </w:numPr>
        <w:spacing w:line="276" w:lineRule="auto"/>
        <w:contextualSpacing/>
        <w:jc w:val="both"/>
        <w:rPr>
          <w:rFonts w:ascii="Calibri" w:hAnsi="Calibri"/>
        </w:rPr>
      </w:pPr>
      <w:r w:rsidRPr="003D703E">
        <w:rPr>
          <w:rFonts w:ascii="Calibri" w:hAnsi="Calibri"/>
        </w:rPr>
        <w:t>Mesorektale Faszie+</w:t>
      </w:r>
    </w:p>
    <w:p w14:paraId="6E22962B" w14:textId="77777777" w:rsidR="003E1C8E" w:rsidRPr="003D703E" w:rsidRDefault="003E1C8E" w:rsidP="003E1C8E">
      <w:pPr>
        <w:numPr>
          <w:ilvl w:val="0"/>
          <w:numId w:val="25"/>
        </w:numPr>
        <w:spacing w:line="276" w:lineRule="auto"/>
        <w:contextualSpacing/>
        <w:jc w:val="both"/>
        <w:rPr>
          <w:rFonts w:ascii="Calibri" w:hAnsi="Calibri"/>
        </w:rPr>
      </w:pPr>
      <w:r w:rsidRPr="003D703E">
        <w:rPr>
          <w:rFonts w:ascii="Calibri" w:hAnsi="Calibri"/>
        </w:rPr>
        <w:t>EMVI+ (extramurale vaskuläre Infiltration)</w:t>
      </w:r>
    </w:p>
    <w:p w14:paraId="3FE7E7F5" w14:textId="77777777" w:rsidR="003E1C8E" w:rsidRPr="00564EAE" w:rsidRDefault="003E1C8E" w:rsidP="003E1C8E">
      <w:pPr>
        <w:numPr>
          <w:ilvl w:val="0"/>
          <w:numId w:val="25"/>
        </w:numPr>
        <w:spacing w:line="276" w:lineRule="auto"/>
        <w:contextualSpacing/>
        <w:jc w:val="both"/>
        <w:rPr>
          <w:rFonts w:ascii="Calibri" w:hAnsi="Calibri"/>
          <w:lang w:val="en-GB"/>
        </w:rPr>
      </w:pPr>
      <w:r w:rsidRPr="00564EAE">
        <w:rPr>
          <w:rFonts w:ascii="Calibri" w:hAnsi="Calibri"/>
          <w:lang w:val="en-GB"/>
        </w:rPr>
        <w:t>laterale Lymphknoten-Metastasen („Lymph nodes with a short axis diameter of more than 10 mm and round shape or Lymph nodes between 5-9 mm and at least two of the ciriteria: round shape/irregular border/heterogeneous signal intensity are regarded as metastatic.“)</w:t>
      </w:r>
    </w:p>
    <w:p w14:paraId="3EBA710E"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 xml:space="preserve">Therapieschema: Kurzzeit-RT (5x5 Gy!, nicht wie „klassisch“ 10x2,5 Gy!) </w:t>
      </w:r>
      <w:r w:rsidRPr="003D703E">
        <w:rPr>
          <w:rFonts w:ascii="Calibri" w:hAnsi="Calibri"/>
        </w:rPr>
        <w:sym w:font="Wingdings" w:char="F0E0"/>
      </w:r>
      <w:r w:rsidRPr="003D703E">
        <w:rPr>
          <w:rFonts w:ascii="Calibri" w:hAnsi="Calibri"/>
        </w:rPr>
        <w:t xml:space="preserve"> Chemotherapie </w:t>
      </w:r>
      <w:r w:rsidRPr="003D703E">
        <w:rPr>
          <w:rFonts w:ascii="Calibri" w:hAnsi="Calibri"/>
        </w:rPr>
        <w:br/>
        <w:t xml:space="preserve">(6 Zyklen CAPOX oder 9 Zyklen FOLFOX) </w:t>
      </w:r>
      <w:r w:rsidRPr="003D703E">
        <w:rPr>
          <w:rFonts w:ascii="Calibri" w:hAnsi="Calibri"/>
        </w:rPr>
        <w:sym w:font="Wingdings" w:char="F0E0"/>
      </w:r>
      <w:r w:rsidRPr="003D703E">
        <w:rPr>
          <w:rFonts w:ascii="Calibri" w:hAnsi="Calibri"/>
        </w:rPr>
        <w:t xml:space="preserve"> TME (siehe Seite 49)</w:t>
      </w:r>
    </w:p>
    <w:p w14:paraId="118FF1C4"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Patienten, welche für das RAPIDO-Protokoll in Frage kommen, müssen bereits vor Beginn der</w:t>
      </w:r>
      <w:r w:rsidRPr="003D703E">
        <w:rPr>
          <w:rFonts w:ascii="Calibri" w:hAnsi="Calibri"/>
        </w:rPr>
        <w:br/>
        <w:t>Radiotherapie von einem internistischen Onkologen begutachtet werden („Tauglichkeit“ für Chemo mit FOLFOX oder CAPOX muss vorab geklärt werden).</w:t>
      </w:r>
    </w:p>
    <w:p w14:paraId="5A3AB136" w14:textId="77777777" w:rsidR="003E1C8E" w:rsidRPr="003D703E" w:rsidRDefault="003E1C8E" w:rsidP="003E1C8E">
      <w:pPr>
        <w:numPr>
          <w:ilvl w:val="0"/>
          <w:numId w:val="24"/>
        </w:numPr>
        <w:spacing w:line="276" w:lineRule="auto"/>
        <w:ind w:left="284" w:hanging="284"/>
        <w:contextualSpacing/>
        <w:jc w:val="both"/>
        <w:rPr>
          <w:rFonts w:ascii="Calibri" w:hAnsi="Calibri"/>
        </w:rPr>
      </w:pPr>
      <w:r w:rsidRPr="003D703E">
        <w:rPr>
          <w:rFonts w:ascii="Calibri" w:hAnsi="Calibri"/>
        </w:rPr>
        <w:t>Bei Erreichen einer cCR kann eine Watch&amp;Wait-Strategie angeboten werden.</w:t>
      </w:r>
    </w:p>
    <w:p w14:paraId="18AD49A0" w14:textId="77777777" w:rsidR="003E1C8E" w:rsidRPr="003D703E" w:rsidRDefault="003E1C8E" w:rsidP="003E1C8E">
      <w:pPr>
        <w:spacing w:line="276" w:lineRule="auto"/>
        <w:jc w:val="both"/>
        <w:rPr>
          <w:lang w:val="de-DE" w:eastAsia="de-AT"/>
        </w:rPr>
      </w:pPr>
    </w:p>
    <w:p w14:paraId="4AEE2CE8" w14:textId="77777777" w:rsidR="003E1C8E" w:rsidRPr="003D703E" w:rsidRDefault="003E1C8E" w:rsidP="003E1C8E">
      <w:pPr>
        <w:spacing w:line="276" w:lineRule="auto"/>
        <w:jc w:val="both"/>
        <w:rPr>
          <w:lang w:val="de-DE" w:eastAsia="de-AT"/>
        </w:rPr>
      </w:pPr>
    </w:p>
    <w:p w14:paraId="2E3D9973" w14:textId="77777777" w:rsidR="003E1C8E" w:rsidRPr="003D703E" w:rsidRDefault="003E1C8E" w:rsidP="003E1C8E">
      <w:pPr>
        <w:numPr>
          <w:ilvl w:val="0"/>
          <w:numId w:val="28"/>
        </w:numPr>
        <w:spacing w:line="276" w:lineRule="auto"/>
        <w:contextualSpacing/>
        <w:jc w:val="both"/>
        <w:rPr>
          <w:rFonts w:ascii="Calibri" w:eastAsia="Calibri" w:hAnsi="Calibri" w:cs="Calibri"/>
          <w:iCs/>
          <w:sz w:val="18"/>
          <w:szCs w:val="18"/>
          <w:lang w:eastAsia="en-US"/>
        </w:rPr>
      </w:pPr>
      <w:bookmarkStart w:id="70" w:name="_Hlk93262513"/>
      <w:r w:rsidRPr="003D703E">
        <w:rPr>
          <w:rFonts w:ascii="Calibri" w:eastAsia="Calibri" w:hAnsi="Calibri" w:cs="Calibri"/>
          <w:iCs/>
          <w:sz w:val="18"/>
          <w:szCs w:val="18"/>
          <w:lang w:eastAsia="en-US"/>
        </w:rPr>
        <w:t>Bahadoer, ASCO 2020, Abstract 4006</w:t>
      </w:r>
    </w:p>
    <w:bookmarkEnd w:id="70"/>
    <w:p w14:paraId="0C348A1A" w14:textId="77777777" w:rsidR="003E1C8E" w:rsidRPr="003D703E" w:rsidRDefault="003E1C8E" w:rsidP="003E1C8E">
      <w:pPr>
        <w:numPr>
          <w:ilvl w:val="0"/>
          <w:numId w:val="28"/>
        </w:numPr>
        <w:spacing w:line="276" w:lineRule="auto"/>
        <w:contextualSpacing/>
        <w:jc w:val="both"/>
        <w:rPr>
          <w:rFonts w:ascii="Calibri" w:eastAsia="Calibri" w:hAnsi="Calibri" w:cs="Calibri"/>
          <w:iCs/>
          <w:sz w:val="18"/>
          <w:szCs w:val="18"/>
          <w:lang w:eastAsia="en-US"/>
        </w:rPr>
      </w:pPr>
      <w:r w:rsidRPr="003D703E">
        <w:rPr>
          <w:rFonts w:ascii="Calibri" w:eastAsia="Calibri" w:hAnsi="Calibri" w:cs="Calibri"/>
          <w:iCs/>
          <w:sz w:val="18"/>
          <w:szCs w:val="18"/>
          <w:lang w:eastAsia="en-US"/>
        </w:rPr>
        <w:t>Conroy, ASCO 2020, Abstract 4007</w:t>
      </w:r>
    </w:p>
    <w:p w14:paraId="56A2B932" w14:textId="77777777" w:rsidR="001E0F64" w:rsidRPr="00667A57" w:rsidRDefault="001E0F64" w:rsidP="001E0F64">
      <w:pPr>
        <w:keepNext/>
        <w:spacing w:before="240" w:after="60"/>
        <w:ind w:left="705" w:hanging="705"/>
        <w:jc w:val="left"/>
        <w:outlineLvl w:val="1"/>
        <w:rPr>
          <w:rFonts w:cs="Arial"/>
          <w:b/>
          <w:bCs/>
          <w:i/>
          <w:iCs/>
          <w:sz w:val="24"/>
          <w:szCs w:val="24"/>
          <w:lang w:val="de-DE" w:eastAsia="de-AT"/>
        </w:rPr>
      </w:pPr>
      <w:bookmarkStart w:id="71" w:name="_Toc93523304"/>
      <w:bookmarkEnd w:id="57"/>
      <w:r w:rsidRPr="00CF352A">
        <w:rPr>
          <w:rFonts w:cs="Arial"/>
          <w:b/>
          <w:bCs/>
          <w:i/>
          <w:iCs/>
          <w:sz w:val="24"/>
          <w:szCs w:val="24"/>
          <w:lang w:val="de-DE" w:eastAsia="de-AT"/>
        </w:rPr>
        <w:lastRenderedPageBreak/>
        <w:t>3.</w:t>
      </w:r>
      <w:r w:rsidR="000B705C" w:rsidRPr="00CF352A">
        <w:rPr>
          <w:rFonts w:cs="Arial"/>
          <w:b/>
          <w:bCs/>
          <w:i/>
          <w:iCs/>
          <w:sz w:val="24"/>
          <w:szCs w:val="24"/>
          <w:lang w:val="de-DE" w:eastAsia="de-AT"/>
        </w:rPr>
        <w:t>11</w:t>
      </w:r>
      <w:r w:rsidRPr="00CF352A">
        <w:rPr>
          <w:rFonts w:cs="Arial"/>
          <w:b/>
          <w:bCs/>
          <w:i/>
          <w:iCs/>
          <w:sz w:val="24"/>
          <w:szCs w:val="24"/>
          <w:lang w:val="de-DE" w:eastAsia="de-AT"/>
        </w:rPr>
        <w:tab/>
        <w:t xml:space="preserve">Anmerkungen </w:t>
      </w:r>
      <w:r w:rsidR="00223A04" w:rsidRPr="00CF352A">
        <w:rPr>
          <w:rFonts w:cs="Arial"/>
          <w:b/>
          <w:bCs/>
          <w:i/>
          <w:iCs/>
          <w:sz w:val="24"/>
          <w:szCs w:val="24"/>
          <w:lang w:val="de-DE" w:eastAsia="de-AT"/>
        </w:rPr>
        <w:t xml:space="preserve">adjuvante </w:t>
      </w:r>
      <w:r w:rsidRPr="00CF352A">
        <w:rPr>
          <w:rFonts w:cs="Arial"/>
          <w:b/>
          <w:bCs/>
          <w:i/>
          <w:iCs/>
          <w:sz w:val="24"/>
          <w:szCs w:val="24"/>
          <w:lang w:val="de-DE" w:eastAsia="de-AT"/>
        </w:rPr>
        <w:t xml:space="preserve">Chemotherapie </w:t>
      </w:r>
      <w:r w:rsidRPr="00667A57">
        <w:rPr>
          <w:rFonts w:cs="Arial"/>
          <w:b/>
          <w:bCs/>
          <w:i/>
          <w:iCs/>
          <w:sz w:val="24"/>
          <w:szCs w:val="24"/>
          <w:lang w:val="de-DE" w:eastAsia="de-AT"/>
        </w:rPr>
        <w:t>beim Rektumkarzinom</w:t>
      </w:r>
      <w:bookmarkEnd w:id="71"/>
    </w:p>
    <w:p w14:paraId="3BA7A462" w14:textId="77777777" w:rsidR="001E0F64" w:rsidRPr="00667A57" w:rsidRDefault="001E0F64" w:rsidP="001E0F64">
      <w:pPr>
        <w:autoSpaceDE w:val="0"/>
        <w:autoSpaceDN w:val="0"/>
        <w:adjustRightInd w:val="0"/>
        <w:spacing w:line="288" w:lineRule="auto"/>
        <w:jc w:val="left"/>
        <w:rPr>
          <w:rFonts w:eastAsia="Calibri" w:cs="Arial"/>
          <w:b/>
          <w:szCs w:val="22"/>
          <w:lang w:eastAsia="en-US"/>
        </w:rPr>
      </w:pPr>
      <w:r w:rsidRPr="00667A57">
        <w:rPr>
          <w:rFonts w:eastAsia="Calibri" w:cs="Arial"/>
          <w:b/>
          <w:szCs w:val="22"/>
          <w:lang w:eastAsia="en-US"/>
        </w:rPr>
        <w:t>3.</w:t>
      </w:r>
      <w:r w:rsidR="007F743D">
        <w:rPr>
          <w:rFonts w:eastAsia="Calibri" w:cs="Arial"/>
          <w:b/>
          <w:szCs w:val="22"/>
          <w:lang w:eastAsia="en-US"/>
        </w:rPr>
        <w:t>11</w:t>
      </w:r>
      <w:r w:rsidRPr="00667A57">
        <w:rPr>
          <w:rFonts w:eastAsia="Calibri" w:cs="Arial"/>
          <w:b/>
          <w:szCs w:val="22"/>
          <w:lang w:eastAsia="en-US"/>
        </w:rPr>
        <w:t>.1</w:t>
      </w:r>
      <w:r w:rsidRPr="00667A57">
        <w:rPr>
          <w:rFonts w:eastAsia="Calibri" w:cs="Arial"/>
          <w:b/>
          <w:szCs w:val="22"/>
          <w:lang w:eastAsia="en-US"/>
        </w:rPr>
        <w:tab/>
      </w:r>
      <w:r w:rsidRPr="00667A57">
        <w:rPr>
          <w:rFonts w:eastAsia="Calibri" w:cs="Arial"/>
          <w:b/>
          <w:bCs/>
          <w:iCs/>
          <w:szCs w:val="22"/>
          <w:lang w:val="de-DE" w:eastAsia="en-US"/>
        </w:rPr>
        <w:t>Adjuvante Chemotherapie bei pCR nach neoadjuvanter Radiochemotherapie?</w:t>
      </w:r>
    </w:p>
    <w:p w14:paraId="295A08B0" w14:textId="77777777" w:rsidR="001E0F64" w:rsidRPr="00667A57" w:rsidRDefault="001E0F64" w:rsidP="001E0F64">
      <w:pPr>
        <w:autoSpaceDE w:val="0"/>
        <w:autoSpaceDN w:val="0"/>
        <w:adjustRightInd w:val="0"/>
        <w:spacing w:line="288" w:lineRule="auto"/>
        <w:jc w:val="left"/>
        <w:rPr>
          <w:rFonts w:asciiTheme="minorHAnsi" w:hAnsiTheme="minorHAnsi" w:cstheme="minorHAnsi"/>
          <w:b/>
          <w:sz w:val="4"/>
          <w:szCs w:val="4"/>
        </w:rPr>
      </w:pPr>
    </w:p>
    <w:p w14:paraId="7E0C0D8B" w14:textId="77777777" w:rsidR="001E0F64" w:rsidRPr="00564EAE" w:rsidRDefault="001E0F64" w:rsidP="001E0F64">
      <w:pPr>
        <w:autoSpaceDE w:val="0"/>
        <w:autoSpaceDN w:val="0"/>
        <w:adjustRightInd w:val="0"/>
        <w:spacing w:line="288" w:lineRule="auto"/>
        <w:jc w:val="left"/>
        <w:rPr>
          <w:rFonts w:ascii="Calibri" w:eastAsia="Calibri" w:hAnsi="Calibri" w:cs="Calibri"/>
          <w:szCs w:val="22"/>
          <w:lang w:val="en-GB" w:eastAsia="en-US"/>
        </w:rPr>
      </w:pPr>
      <w:r w:rsidRPr="00564EAE">
        <w:rPr>
          <w:rFonts w:asciiTheme="minorHAnsi" w:hAnsiTheme="minorHAnsi" w:cstheme="minorHAnsi"/>
          <w:b/>
          <w:lang w:val="en-GB"/>
        </w:rPr>
        <w:t>Studie von Shahab et al., Clinical Colorectal Cancer 2017:</w:t>
      </w:r>
    </w:p>
    <w:p w14:paraId="2F7083E2"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 xml:space="preserve">Retrospektive Analyse der Daten des National Cancer Data Base von 2006 to 2013. </w:t>
      </w:r>
    </w:p>
    <w:p w14:paraId="0A804EA5"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noProof/>
          <w:lang w:eastAsia="de-AT"/>
        </w:rPr>
        <w:drawing>
          <wp:anchor distT="0" distB="0" distL="114300" distR="114300" simplePos="0" relativeHeight="251645440" behindDoc="1" locked="0" layoutInCell="1" allowOverlap="1" wp14:anchorId="2F9FE672" wp14:editId="2458619B">
            <wp:simplePos x="0" y="0"/>
            <wp:positionH relativeFrom="margin">
              <wp:posOffset>1069975</wp:posOffset>
            </wp:positionH>
            <wp:positionV relativeFrom="paragraph">
              <wp:posOffset>234950</wp:posOffset>
            </wp:positionV>
            <wp:extent cx="3314700" cy="1099185"/>
            <wp:effectExtent l="0" t="0" r="0" b="571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700" cy="1099185"/>
                    </a:xfrm>
                    <a:prstGeom prst="rect">
                      <a:avLst/>
                    </a:prstGeom>
                    <a:noFill/>
                    <a:ln>
                      <a:noFill/>
                    </a:ln>
                  </pic:spPr>
                </pic:pic>
              </a:graphicData>
            </a:graphic>
          </wp:anchor>
        </w:drawing>
      </w:r>
      <w:r w:rsidRPr="00667A57">
        <w:rPr>
          <w:rFonts w:ascii="Calibri" w:eastAsia="Calibri" w:hAnsi="Calibri" w:cs="Calibri"/>
          <w:szCs w:val="22"/>
          <w:lang w:eastAsia="en-US"/>
        </w:rPr>
        <w:t>Der primäre Endpunkt war overall survival (OS).</w:t>
      </w:r>
    </w:p>
    <w:p w14:paraId="7755C5BD"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Es gab einen signifikanten Unterschied beim OS zwischen den den 2 Chemotherapie -Kohorten:</w:t>
      </w:r>
      <w:r w:rsidRPr="00667A57">
        <w:rPr>
          <w:rFonts w:ascii="Calibri" w:eastAsia="Calibri" w:hAnsi="Calibri" w:cs="Calibri"/>
          <w:szCs w:val="22"/>
          <w:lang w:eastAsia="en-US"/>
        </w:rPr>
        <w:br/>
        <w:t>Die 5-Jahres-OS-Rate war 94% für Gruppe mit neoadjuvanter CRT + adjuvanter Chemotherapie versus 84% für die Gruppe ohne adjuvanter Chemoth. nach neoadj. CRT (HR 0,555; P &lt; 0,01).</w:t>
      </w:r>
    </w:p>
    <w:p w14:paraId="308FCD89"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Es gab keinen signifikanten Unterschied zwischen klinisch pos. und neg. Nodalstatus (HR 1,066).</w:t>
      </w:r>
    </w:p>
    <w:p w14:paraId="17CCCD93" w14:textId="77777777" w:rsidR="001E0F64" w:rsidRPr="00667A57" w:rsidRDefault="001E0F64" w:rsidP="001E0F64">
      <w:pPr>
        <w:autoSpaceDE w:val="0"/>
        <w:autoSpaceDN w:val="0"/>
        <w:adjustRightInd w:val="0"/>
        <w:spacing w:line="288" w:lineRule="auto"/>
        <w:contextualSpacing/>
        <w:jc w:val="left"/>
        <w:rPr>
          <w:rFonts w:ascii="Calibri" w:eastAsia="Calibri" w:hAnsi="Calibri" w:cs="Calibri"/>
          <w:szCs w:val="22"/>
          <w:lang w:eastAsia="en-US"/>
        </w:rPr>
      </w:pPr>
    </w:p>
    <w:p w14:paraId="26F73AD9" w14:textId="77777777" w:rsidR="001E0F64" w:rsidRPr="00667A57" w:rsidRDefault="001E0F64" w:rsidP="001E0F64">
      <w:pPr>
        <w:autoSpaceDE w:val="0"/>
        <w:autoSpaceDN w:val="0"/>
        <w:adjustRightInd w:val="0"/>
        <w:spacing w:line="288" w:lineRule="auto"/>
        <w:jc w:val="left"/>
        <w:rPr>
          <w:rFonts w:asciiTheme="minorHAnsi" w:hAnsiTheme="minorHAnsi" w:cstheme="minorHAnsi"/>
          <w:b/>
          <w:sz w:val="4"/>
          <w:szCs w:val="4"/>
        </w:rPr>
      </w:pPr>
      <w:r w:rsidRPr="00667A57">
        <w:rPr>
          <w:rFonts w:eastAsia="Calibri" w:cs="Arial"/>
          <w:b/>
          <w:szCs w:val="22"/>
          <w:lang w:eastAsia="en-US"/>
        </w:rPr>
        <w:t>3.</w:t>
      </w:r>
      <w:r w:rsidR="007F743D">
        <w:rPr>
          <w:rFonts w:eastAsia="Calibri" w:cs="Arial"/>
          <w:b/>
          <w:szCs w:val="22"/>
          <w:lang w:eastAsia="en-US"/>
        </w:rPr>
        <w:t>11</w:t>
      </w:r>
      <w:r w:rsidRPr="00667A57">
        <w:rPr>
          <w:rFonts w:eastAsia="Calibri" w:cs="Arial"/>
          <w:b/>
          <w:szCs w:val="22"/>
          <w:lang w:eastAsia="en-US"/>
        </w:rPr>
        <w:t>.2</w:t>
      </w:r>
      <w:r w:rsidRPr="00667A57">
        <w:rPr>
          <w:rFonts w:eastAsia="Calibri" w:cs="Arial"/>
          <w:b/>
          <w:szCs w:val="22"/>
          <w:lang w:eastAsia="en-US"/>
        </w:rPr>
        <w:tab/>
      </w:r>
      <w:r w:rsidRPr="00667A57">
        <w:rPr>
          <w:rFonts w:eastAsia="Calibri" w:cs="Arial"/>
          <w:b/>
          <w:bCs/>
          <w:iCs/>
          <w:szCs w:val="22"/>
          <w:lang w:val="de-DE" w:eastAsia="en-US"/>
        </w:rPr>
        <w:t>Oxaliplatin adjuvant beim Rektumkarzinom?</w:t>
      </w:r>
      <w:r w:rsidRPr="00667A57">
        <w:rPr>
          <w:rFonts w:eastAsia="Calibri" w:cs="Arial"/>
          <w:b/>
          <w:bCs/>
          <w:iCs/>
          <w:szCs w:val="22"/>
          <w:lang w:val="de-DE" w:eastAsia="en-US"/>
        </w:rPr>
        <w:br/>
      </w:r>
    </w:p>
    <w:p w14:paraId="75996461" w14:textId="77777777" w:rsidR="001E0F64" w:rsidRPr="00667A57" w:rsidRDefault="001E0F64" w:rsidP="001E0F64">
      <w:pPr>
        <w:autoSpaceDE w:val="0"/>
        <w:autoSpaceDN w:val="0"/>
        <w:adjustRightInd w:val="0"/>
        <w:spacing w:line="288" w:lineRule="auto"/>
        <w:jc w:val="left"/>
        <w:rPr>
          <w:rFonts w:ascii="Calibri" w:eastAsia="Calibri" w:hAnsi="Calibri" w:cs="Calibri"/>
          <w:szCs w:val="22"/>
          <w:lang w:eastAsia="en-US"/>
        </w:rPr>
      </w:pPr>
      <w:r w:rsidRPr="00667A57">
        <w:rPr>
          <w:rFonts w:asciiTheme="minorHAnsi" w:hAnsiTheme="minorHAnsi" w:cstheme="minorHAnsi"/>
          <w:b/>
        </w:rPr>
        <w:t>ADORE-Studie (Update ASCO 2018):</w:t>
      </w:r>
    </w:p>
    <w:p w14:paraId="18ACDD5E"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noProof/>
          <w:lang w:eastAsia="de-AT"/>
        </w:rPr>
        <w:drawing>
          <wp:anchor distT="0" distB="0" distL="114300" distR="114300" simplePos="0" relativeHeight="251646464" behindDoc="0" locked="0" layoutInCell="1" allowOverlap="1" wp14:anchorId="6DA54801" wp14:editId="78C84040">
            <wp:simplePos x="0" y="0"/>
            <wp:positionH relativeFrom="column">
              <wp:posOffset>471170</wp:posOffset>
            </wp:positionH>
            <wp:positionV relativeFrom="paragraph">
              <wp:posOffset>236220</wp:posOffset>
            </wp:positionV>
            <wp:extent cx="4617720" cy="1096973"/>
            <wp:effectExtent l="0" t="0" r="0" b="825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7720" cy="1096973"/>
                    </a:xfrm>
                    <a:prstGeom prst="rect">
                      <a:avLst/>
                    </a:prstGeom>
                    <a:noFill/>
                    <a:ln>
                      <a:noFill/>
                    </a:ln>
                  </pic:spPr>
                </pic:pic>
              </a:graphicData>
            </a:graphic>
          </wp:anchor>
        </w:drawing>
      </w:r>
      <w:bookmarkStart w:id="72" w:name="_Hlk529479670"/>
      <w:r w:rsidRPr="00667A57">
        <w:rPr>
          <w:rFonts w:ascii="Calibri" w:eastAsia="Calibri" w:hAnsi="Calibri" w:cs="Calibri"/>
          <w:szCs w:val="22"/>
          <w:lang w:eastAsia="en-US"/>
        </w:rPr>
        <w:t>Randomisierte Phase II-Studie mit 321 Patiente</w:t>
      </w:r>
      <w:bookmarkEnd w:id="72"/>
      <w:r w:rsidRPr="00667A57">
        <w:rPr>
          <w:rFonts w:ascii="Calibri" w:eastAsia="Calibri" w:hAnsi="Calibri" w:cs="Calibri"/>
          <w:szCs w:val="22"/>
          <w:lang w:eastAsia="en-US"/>
        </w:rPr>
        <w:t>n</w:t>
      </w:r>
    </w:p>
    <w:p w14:paraId="3AB52A01"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Primäres Ziel war, bei „Hochrisiko“-Histologie nach abgeschlossener neoadjuvanter Radiochemotherapie und Resektion, die Intensivierung der adjuvanten Therapie mit Oxaliplatin zu untersuchen.</w:t>
      </w:r>
    </w:p>
    <w:p w14:paraId="53192D72"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Theme="minorHAnsi" w:eastAsia="Calibri" w:hAnsiTheme="minorHAnsi" w:cstheme="minorHAnsi"/>
          <w:szCs w:val="22"/>
          <w:lang w:eastAsia="en-US"/>
        </w:rPr>
      </w:pPr>
      <w:bookmarkStart w:id="73" w:name="_Hlk529479687"/>
      <w:r w:rsidRPr="00667A57">
        <w:rPr>
          <w:rFonts w:asciiTheme="minorHAnsi" w:hAnsiTheme="minorHAnsi" w:cstheme="minorHAnsi"/>
          <w:szCs w:val="22"/>
          <w:lang w:eastAsia="de-AT"/>
        </w:rPr>
        <w:t>6-Jahres DFS war 68.2% im FOLFOX-Arm versus 56.8% im FL-Arm (HR 0.63, p= 0.018)</w:t>
      </w:r>
    </w:p>
    <w:p w14:paraId="07F15A64"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6-Jahres OS war 78.1% im FOLFOX-Arm versus 76.4% im FL arm (HR 0.73, p= 0.21)</w:t>
      </w:r>
    </w:p>
    <w:p w14:paraId="512557FD" w14:textId="77777777" w:rsidR="00FC3936" w:rsidRPr="00FC3936"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Größter Nutzen im Stadium yp-Stadium III (ab ypN1b) und bei minimaler Tumor-Regression nach neoadjuvanter CRT</w:t>
      </w:r>
      <w:bookmarkEnd w:id="73"/>
    </w:p>
    <w:p w14:paraId="20AD5E74"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Kritikpunkt an der Studie: es wurde Bolus-5-FU versus FOLFOX verglichen (bereits aus anderen Studien ist bekannt, dass Bolus-5-FU infusionalem 5-FU unterlegen ist)</w:t>
      </w:r>
    </w:p>
    <w:p w14:paraId="360D3DF1" w14:textId="77777777" w:rsidR="001E0F64" w:rsidRPr="00667A57" w:rsidRDefault="001E0F64" w:rsidP="001E0F64">
      <w:pPr>
        <w:autoSpaceDE w:val="0"/>
        <w:autoSpaceDN w:val="0"/>
        <w:adjustRightInd w:val="0"/>
        <w:spacing w:after="160" w:line="288" w:lineRule="auto"/>
        <w:contextualSpacing/>
        <w:jc w:val="left"/>
        <w:rPr>
          <w:rFonts w:ascii="Calibri" w:eastAsia="Calibri" w:hAnsi="Calibri" w:cs="Calibri"/>
          <w:szCs w:val="22"/>
          <w:lang w:eastAsia="en-US"/>
        </w:rPr>
      </w:pPr>
    </w:p>
    <w:p w14:paraId="350E0A10" w14:textId="77777777" w:rsidR="001E0F64" w:rsidRPr="00667A57" w:rsidRDefault="001E0F64" w:rsidP="001E0F64">
      <w:pPr>
        <w:autoSpaceDE w:val="0"/>
        <w:autoSpaceDN w:val="0"/>
        <w:adjustRightInd w:val="0"/>
        <w:spacing w:line="288" w:lineRule="auto"/>
        <w:jc w:val="left"/>
        <w:rPr>
          <w:rFonts w:eastAsia="Calibri" w:cs="Arial"/>
          <w:b/>
          <w:szCs w:val="22"/>
          <w:lang w:eastAsia="en-US"/>
        </w:rPr>
      </w:pPr>
      <w:r w:rsidRPr="00667A57">
        <w:rPr>
          <w:rFonts w:eastAsia="Calibri" w:cs="Arial"/>
          <w:b/>
          <w:szCs w:val="22"/>
          <w:lang w:eastAsia="en-US"/>
        </w:rPr>
        <w:t>3.</w:t>
      </w:r>
      <w:r w:rsidR="007F743D">
        <w:rPr>
          <w:rFonts w:eastAsia="Calibri" w:cs="Arial"/>
          <w:b/>
          <w:szCs w:val="22"/>
          <w:lang w:eastAsia="en-US"/>
        </w:rPr>
        <w:t>11</w:t>
      </w:r>
      <w:r w:rsidRPr="00667A57">
        <w:rPr>
          <w:rFonts w:eastAsia="Calibri" w:cs="Arial"/>
          <w:b/>
          <w:szCs w:val="22"/>
          <w:lang w:eastAsia="en-US"/>
        </w:rPr>
        <w:t>.3</w:t>
      </w:r>
      <w:r w:rsidRPr="00667A57">
        <w:rPr>
          <w:rFonts w:eastAsia="Calibri" w:cs="Arial"/>
          <w:b/>
          <w:szCs w:val="22"/>
          <w:lang w:eastAsia="en-US"/>
        </w:rPr>
        <w:tab/>
        <w:t>Stellungnahme der AIO-KRK-Leitgruppe zur adjuv. Therapie beim Rektum-Ca:</w:t>
      </w:r>
    </w:p>
    <w:p w14:paraId="76A4D489" w14:textId="77777777" w:rsidR="001E0F64" w:rsidRPr="00667A57" w:rsidRDefault="001E0F64" w:rsidP="000B1AD6">
      <w:pPr>
        <w:numPr>
          <w:ilvl w:val="0"/>
          <w:numId w:val="6"/>
        </w:numPr>
        <w:autoSpaceDE w:val="0"/>
        <w:autoSpaceDN w:val="0"/>
        <w:adjustRightInd w:val="0"/>
        <w:spacing w:after="160" w:line="276" w:lineRule="auto"/>
        <w:contextualSpacing/>
        <w:jc w:val="left"/>
        <w:rPr>
          <w:rFonts w:asciiTheme="minorHAnsi" w:eastAsia="Calibri" w:hAnsiTheme="minorHAnsi" w:cstheme="minorHAnsi"/>
          <w:szCs w:val="22"/>
          <w:lang w:eastAsia="en-US"/>
        </w:rPr>
      </w:pPr>
      <w:r w:rsidRPr="00667A57">
        <w:rPr>
          <w:rFonts w:asciiTheme="minorHAnsi" w:hAnsiTheme="minorHAnsi" w:cstheme="minorHAnsi"/>
          <w:szCs w:val="22"/>
          <w:lang w:eastAsia="de-AT"/>
        </w:rPr>
        <w:t>„</w:t>
      </w:r>
      <w:r w:rsidRPr="00667A57">
        <w:rPr>
          <w:rFonts w:ascii="Calibri" w:eastAsia="Calibri" w:hAnsi="Calibri" w:cs="Calibri"/>
          <w:szCs w:val="22"/>
          <w:lang w:eastAsia="en-US"/>
        </w:rPr>
        <w:t>Zusammenfassend sollten in der adjuvanten Therapie des Rektumkarzinoms nach auf infusionalem 5-FU oder Capecitabin-basierter RChT sowie TME-Chirurgie keine Bolusprotokolle mehr eingesetzt werden und stattdessen optimierte 5-FU Schemata Verwendung finden (z.B. Capecitabin). Der prinzipielle Einsatz von Oxaliplatin kann nicht generell empfohlen werden. Jüngere Patienten mit einem erhöhten Rezidivrisiko (ypStadium III) sollten über den möglichen Überlebensvorteil einer zusätzlichen Oxaliplatin-Therapie beraten werden.“</w:t>
      </w:r>
    </w:p>
    <w:p w14:paraId="2C7A8BF9" w14:textId="77777777" w:rsidR="000375CF" w:rsidRDefault="00A13EF1" w:rsidP="000375CF">
      <w:pPr>
        <w:pStyle w:val="berschrift2"/>
      </w:pPr>
      <w:bookmarkStart w:id="74" w:name="_Toc93523305"/>
      <w:r>
        <w:lastRenderedPageBreak/>
        <w:t>3.</w:t>
      </w:r>
      <w:r w:rsidR="00684845">
        <w:t>1</w:t>
      </w:r>
      <w:r w:rsidR="000B705C">
        <w:t>2</w:t>
      </w:r>
      <w:r w:rsidR="004B71D2">
        <w:tab/>
        <w:t>Rektumkarzinom, synchron metastasiert</w:t>
      </w:r>
      <w:bookmarkEnd w:id="74"/>
    </w:p>
    <w:p w14:paraId="7458A133" w14:textId="77777777" w:rsidR="006B3B79" w:rsidRPr="006B3B79" w:rsidRDefault="006B3B79" w:rsidP="006B3B79">
      <w:r>
        <w:rPr>
          <w:noProof/>
          <w:lang w:eastAsia="de-AT"/>
        </w:rPr>
        <w:drawing>
          <wp:inline distT="0" distB="0" distL="0" distR="0" wp14:anchorId="3555DB0D" wp14:editId="39C148AE">
            <wp:extent cx="5956935" cy="8458200"/>
            <wp:effectExtent l="0" t="0" r="5715" b="0"/>
            <wp:docPr id="12" name="Grafik 12" descr="C:\Users\Michi\AppData\Local\Microsoft\Windows\INetCache\Content.Word\Rektum 2 metastasiert aktu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i\AppData\Local\Microsoft\Windows\INetCache\Content.Word\Rektum 2 metastasiert aktuel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990" cy="8468218"/>
                    </a:xfrm>
                    <a:prstGeom prst="rect">
                      <a:avLst/>
                    </a:prstGeom>
                    <a:noFill/>
                    <a:ln>
                      <a:noFill/>
                    </a:ln>
                  </pic:spPr>
                </pic:pic>
              </a:graphicData>
            </a:graphic>
          </wp:inline>
        </w:drawing>
      </w:r>
    </w:p>
    <w:p w14:paraId="072D2841" w14:textId="77777777" w:rsidR="006B3B79" w:rsidRPr="006B3B79" w:rsidRDefault="006B3B79" w:rsidP="006B3B79">
      <w:pPr>
        <w:rPr>
          <w:sz w:val="2"/>
          <w:szCs w:val="2"/>
        </w:rPr>
      </w:pPr>
    </w:p>
    <w:p w14:paraId="6A6DE980" w14:textId="77777777" w:rsidR="006D4DAC" w:rsidRPr="00E344D4" w:rsidRDefault="006D4DAC" w:rsidP="007F3064">
      <w:pPr>
        <w:pStyle w:val="berschrift1"/>
      </w:pPr>
      <w:bookmarkStart w:id="75" w:name="_Toc367183618"/>
      <w:bookmarkStart w:id="76" w:name="_Toc367183856"/>
      <w:bookmarkStart w:id="77" w:name="_Toc93523306"/>
      <w:r w:rsidRPr="00E344D4">
        <w:lastRenderedPageBreak/>
        <w:t>4</w:t>
      </w:r>
      <w:r w:rsidRPr="00E344D4">
        <w:tab/>
      </w:r>
      <w:bookmarkEnd w:id="75"/>
      <w:bookmarkEnd w:id="76"/>
      <w:r w:rsidR="0049768A">
        <w:t>Besondere klinische Situationen</w:t>
      </w:r>
      <w:bookmarkEnd w:id="77"/>
      <w:r w:rsidRPr="00E344D4">
        <w:t xml:space="preserve"> </w:t>
      </w:r>
    </w:p>
    <w:p w14:paraId="15A3D3EE" w14:textId="77777777" w:rsidR="00643783" w:rsidRPr="00E4567C" w:rsidRDefault="00643783" w:rsidP="00643783">
      <w:pPr>
        <w:keepNext/>
        <w:spacing w:before="240" w:after="60"/>
        <w:ind w:left="705" w:hanging="705"/>
        <w:jc w:val="left"/>
        <w:outlineLvl w:val="1"/>
        <w:rPr>
          <w:rFonts w:cs="Arial"/>
          <w:b/>
          <w:bCs/>
          <w:i/>
          <w:iCs/>
          <w:sz w:val="24"/>
          <w:szCs w:val="24"/>
          <w:lang w:val="de-DE" w:eastAsia="de-AT"/>
        </w:rPr>
      </w:pPr>
      <w:bookmarkStart w:id="78" w:name="_Toc529996778"/>
      <w:bookmarkStart w:id="79" w:name="_Toc93523307"/>
      <w:bookmarkStart w:id="80" w:name="_Toc367183619"/>
      <w:bookmarkStart w:id="81" w:name="_Toc367183857"/>
      <w:r w:rsidRPr="00E4567C">
        <w:rPr>
          <w:rFonts w:cs="Arial"/>
          <w:b/>
          <w:bCs/>
          <w:i/>
          <w:iCs/>
          <w:sz w:val="24"/>
          <w:szCs w:val="24"/>
          <w:lang w:val="de-DE" w:eastAsia="de-AT"/>
        </w:rPr>
        <w:t>4.</w:t>
      </w:r>
      <w:r w:rsidR="00833383" w:rsidRPr="00E4567C">
        <w:rPr>
          <w:rFonts w:cs="Arial"/>
          <w:b/>
          <w:bCs/>
          <w:i/>
          <w:iCs/>
          <w:sz w:val="24"/>
          <w:szCs w:val="24"/>
          <w:lang w:val="de-DE" w:eastAsia="de-AT"/>
        </w:rPr>
        <w:t>1</w:t>
      </w:r>
      <w:r w:rsidRPr="00E4567C">
        <w:rPr>
          <w:rFonts w:cs="Arial"/>
          <w:b/>
          <w:bCs/>
          <w:i/>
          <w:iCs/>
          <w:sz w:val="24"/>
          <w:szCs w:val="24"/>
          <w:lang w:val="de-DE" w:eastAsia="de-AT"/>
        </w:rPr>
        <w:tab/>
      </w:r>
      <w:bookmarkEnd w:id="78"/>
      <w:r w:rsidRPr="00E4567C">
        <w:rPr>
          <w:rFonts w:cs="Arial"/>
          <w:b/>
          <w:bCs/>
          <w:i/>
          <w:iCs/>
          <w:sz w:val="24"/>
          <w:szCs w:val="24"/>
          <w:lang w:val="de-DE" w:eastAsia="de-AT"/>
        </w:rPr>
        <w:t>Dauer der adjuvanten Chemotherapie beim Stadium-III Colonkarzinom</w:t>
      </w:r>
      <w:bookmarkEnd w:id="79"/>
      <w:r w:rsidRPr="00E4567C">
        <w:rPr>
          <w:rFonts w:cs="Arial"/>
          <w:b/>
          <w:bCs/>
          <w:i/>
          <w:iCs/>
          <w:sz w:val="24"/>
          <w:szCs w:val="24"/>
          <w:lang w:val="de-DE" w:eastAsia="de-AT"/>
        </w:rPr>
        <w:t xml:space="preserve"> </w:t>
      </w:r>
    </w:p>
    <w:p w14:paraId="490611AD" w14:textId="77777777" w:rsidR="00643783" w:rsidRPr="00E4567C" w:rsidRDefault="00643783" w:rsidP="00643783">
      <w:pPr>
        <w:autoSpaceDE w:val="0"/>
        <w:autoSpaceDN w:val="0"/>
        <w:adjustRightInd w:val="0"/>
        <w:spacing w:line="288" w:lineRule="auto"/>
        <w:jc w:val="left"/>
        <w:rPr>
          <w:rFonts w:eastAsia="Calibri" w:cs="Arial"/>
          <w:b/>
          <w:szCs w:val="22"/>
          <w:lang w:eastAsia="en-US"/>
        </w:rPr>
      </w:pPr>
      <w:bookmarkStart w:id="82" w:name="_Hlk58263144"/>
      <w:r w:rsidRPr="00E4567C">
        <w:rPr>
          <w:rFonts w:eastAsia="Calibri" w:cs="Arial"/>
          <w:b/>
          <w:szCs w:val="22"/>
          <w:lang w:eastAsia="en-US"/>
        </w:rPr>
        <w:t>4.</w:t>
      </w:r>
      <w:r w:rsidR="00833383" w:rsidRPr="00E4567C">
        <w:rPr>
          <w:rFonts w:eastAsia="Calibri" w:cs="Arial"/>
          <w:b/>
          <w:szCs w:val="22"/>
          <w:lang w:eastAsia="en-US"/>
        </w:rPr>
        <w:t>1</w:t>
      </w:r>
      <w:r w:rsidRPr="00E4567C">
        <w:rPr>
          <w:rFonts w:eastAsia="Calibri" w:cs="Arial"/>
          <w:b/>
          <w:szCs w:val="22"/>
          <w:lang w:eastAsia="en-US"/>
        </w:rPr>
        <w:t>.1</w:t>
      </w:r>
      <w:r w:rsidRPr="00E4567C">
        <w:rPr>
          <w:rFonts w:eastAsia="Calibri" w:cs="Arial"/>
          <w:b/>
          <w:szCs w:val="22"/>
          <w:lang w:eastAsia="en-US"/>
        </w:rPr>
        <w:tab/>
        <w:t>IDEA-Collaboration (ASCO 2017)</w:t>
      </w:r>
      <w:r w:rsidRPr="00E4567C">
        <w:rPr>
          <w:rFonts w:eastAsia="Calibri" w:cs="Arial"/>
          <w:b/>
          <w:szCs w:val="22"/>
          <w:vertAlign w:val="superscript"/>
          <w:lang w:eastAsia="en-US"/>
        </w:rPr>
        <w:t>1)</w:t>
      </w:r>
      <w:r w:rsidRPr="00E4567C">
        <w:rPr>
          <w:rFonts w:eastAsia="Calibri" w:cs="Arial"/>
          <w:b/>
          <w:szCs w:val="22"/>
          <w:lang w:eastAsia="en-US"/>
        </w:rPr>
        <w:t>:</w:t>
      </w:r>
    </w:p>
    <w:p w14:paraId="08E0E6E1" w14:textId="77777777" w:rsidR="00643783" w:rsidRPr="008C76BB" w:rsidRDefault="00643783" w:rsidP="00643783">
      <w:pPr>
        <w:numPr>
          <w:ilvl w:val="0"/>
          <w:numId w:val="3"/>
        </w:numPr>
        <w:spacing w:after="160" w:line="276" w:lineRule="auto"/>
        <w:ind w:left="426" w:hanging="426"/>
        <w:contextualSpacing/>
        <w:jc w:val="left"/>
        <w:rPr>
          <w:rFonts w:ascii="Calibri" w:hAnsi="Calibri" w:cs="Calibri"/>
        </w:rPr>
      </w:pPr>
      <w:bookmarkStart w:id="83" w:name="_Hlk23619375"/>
      <w:bookmarkEnd w:id="82"/>
      <w:r w:rsidRPr="008C76BB">
        <w:rPr>
          <w:rFonts w:ascii="Calibri" w:hAnsi="Calibri" w:cs="Calibri"/>
        </w:rPr>
        <w:t>Analyse von 6 prospektiven Phase-III-Studien zur Dauer der adjuvanten Oxaliplatin-basierten Chemotherapie bei Patienten mit Stadium-III-Colonkarzinom</w:t>
      </w:r>
    </w:p>
    <w:p w14:paraId="3705EEBA" w14:textId="77777777" w:rsidR="00643783" w:rsidRDefault="00643783" w:rsidP="00643783">
      <w:pPr>
        <w:numPr>
          <w:ilvl w:val="0"/>
          <w:numId w:val="3"/>
        </w:numPr>
        <w:spacing w:after="160" w:line="276" w:lineRule="auto"/>
        <w:ind w:left="426" w:hanging="426"/>
        <w:contextualSpacing/>
        <w:jc w:val="left"/>
        <w:rPr>
          <w:rFonts w:ascii="Calibri" w:hAnsi="Calibri" w:cs="Calibri"/>
        </w:rPr>
      </w:pPr>
      <w:r w:rsidRPr="008C76BB">
        <w:rPr>
          <w:rFonts w:ascii="Calibri" w:hAnsi="Calibri" w:cs="Calibri"/>
        </w:rPr>
        <w:t>CAPOX oder FOLFOX 3 vs. 6 Monate</w:t>
      </w:r>
    </w:p>
    <w:p w14:paraId="79A416C1" w14:textId="77777777" w:rsidR="00643783" w:rsidRDefault="00643783" w:rsidP="00643783">
      <w:pPr>
        <w:numPr>
          <w:ilvl w:val="0"/>
          <w:numId w:val="3"/>
        </w:numPr>
        <w:spacing w:after="160" w:line="276" w:lineRule="auto"/>
        <w:ind w:left="426" w:hanging="426"/>
        <w:contextualSpacing/>
        <w:jc w:val="left"/>
        <w:rPr>
          <w:rFonts w:ascii="Calibri" w:hAnsi="Calibri" w:cs="Calibri"/>
        </w:rPr>
      </w:pPr>
      <w:r>
        <w:rPr>
          <w:rFonts w:ascii="Calibri" w:hAnsi="Calibri" w:cs="Calibri"/>
        </w:rPr>
        <w:t>Primärer Endpunkt: 3-Jahres DFS</w:t>
      </w:r>
    </w:p>
    <w:p w14:paraId="2709EB5E" w14:textId="77777777" w:rsidR="00643783" w:rsidRDefault="00643783" w:rsidP="00643783">
      <w:pPr>
        <w:numPr>
          <w:ilvl w:val="0"/>
          <w:numId w:val="3"/>
        </w:numPr>
        <w:spacing w:after="160" w:line="276" w:lineRule="auto"/>
        <w:ind w:left="426" w:hanging="426"/>
        <w:contextualSpacing/>
        <w:jc w:val="left"/>
        <w:rPr>
          <w:rFonts w:ascii="Calibri" w:hAnsi="Calibri" w:cs="Calibri"/>
        </w:rPr>
      </w:pPr>
      <w:r>
        <w:rPr>
          <w:rFonts w:ascii="Calibri" w:hAnsi="Calibri" w:cs="Calibri"/>
        </w:rPr>
        <w:t>Sekundäre Endpunkte: 5-Jahres DFS und 5-Jahres OS</w:t>
      </w:r>
    </w:p>
    <w:p w14:paraId="4297355D" w14:textId="77777777" w:rsidR="00643783" w:rsidRPr="008C76BB" w:rsidRDefault="00643783" w:rsidP="00643783">
      <w:pPr>
        <w:numPr>
          <w:ilvl w:val="0"/>
          <w:numId w:val="3"/>
        </w:numPr>
        <w:spacing w:after="160" w:line="276" w:lineRule="auto"/>
        <w:ind w:left="426" w:hanging="426"/>
        <w:contextualSpacing/>
        <w:jc w:val="left"/>
        <w:rPr>
          <w:rFonts w:ascii="Calibri" w:hAnsi="Calibri" w:cs="Calibri"/>
        </w:rPr>
      </w:pPr>
      <w:r>
        <w:rPr>
          <w:rFonts w:ascii="Calibri" w:hAnsi="Calibri" w:cs="Calibri"/>
        </w:rPr>
        <w:t>Reduktion der Toxizität um das 2- bis 6-Fache bei 3-monatiger Therapie</w:t>
      </w:r>
    </w:p>
    <w:p w14:paraId="3DE6FDD0" w14:textId="77777777" w:rsidR="00643783" w:rsidRPr="008C76BB" w:rsidRDefault="00643783" w:rsidP="00643783">
      <w:pPr>
        <w:numPr>
          <w:ilvl w:val="0"/>
          <w:numId w:val="3"/>
        </w:numPr>
        <w:spacing w:after="160" w:line="276" w:lineRule="auto"/>
        <w:ind w:left="426" w:hanging="426"/>
        <w:contextualSpacing/>
        <w:jc w:val="left"/>
        <w:rPr>
          <w:rFonts w:ascii="Calibri" w:hAnsi="Calibri" w:cs="Calibri"/>
        </w:rPr>
      </w:pPr>
      <w:r w:rsidRPr="008C76BB">
        <w:rPr>
          <w:rFonts w:ascii="Calibri" w:hAnsi="Calibri" w:cs="Calibri"/>
        </w:rPr>
        <w:t>Reduktion Grad 3/4- Neuropathien um das 3-Fache</w:t>
      </w:r>
    </w:p>
    <w:p w14:paraId="61A3E3E9" w14:textId="77777777" w:rsidR="00643783" w:rsidRPr="00755D2B" w:rsidRDefault="00643783" w:rsidP="00643783">
      <w:pPr>
        <w:numPr>
          <w:ilvl w:val="0"/>
          <w:numId w:val="3"/>
        </w:numPr>
        <w:spacing w:after="160" w:line="276" w:lineRule="auto"/>
        <w:ind w:left="426" w:hanging="426"/>
        <w:contextualSpacing/>
        <w:jc w:val="left"/>
        <w:rPr>
          <w:rFonts w:ascii="Calibri" w:hAnsi="Calibri" w:cs="Calibri"/>
        </w:rPr>
      </w:pPr>
      <w:r w:rsidRPr="00755D2B">
        <w:rPr>
          <w:rFonts w:ascii="Calibri" w:hAnsi="Calibri" w:cs="Calibri"/>
        </w:rPr>
        <w:t>3-Jahres-DFS: Unterschied 0,9%; 74,6% (3 Mo) vs. 75,5% (6Mo); HR 1,07</w:t>
      </w:r>
    </w:p>
    <w:p w14:paraId="676B4931" w14:textId="77777777" w:rsidR="00643783" w:rsidRPr="004574D9" w:rsidRDefault="00643783" w:rsidP="00643783">
      <w:pPr>
        <w:numPr>
          <w:ilvl w:val="0"/>
          <w:numId w:val="3"/>
        </w:numPr>
        <w:spacing w:after="160" w:line="276" w:lineRule="auto"/>
        <w:ind w:left="426" w:hanging="426"/>
        <w:contextualSpacing/>
        <w:jc w:val="left"/>
        <w:rPr>
          <w:rFonts w:ascii="Calibri" w:hAnsi="Calibri" w:cs="Calibri"/>
        </w:rPr>
      </w:pPr>
      <w:r w:rsidRPr="008C76BB">
        <w:rPr>
          <w:rFonts w:ascii="Calibri" w:hAnsi="Calibri" w:cs="Calibri"/>
        </w:rPr>
        <w:t>Subgruppe T1-T3/N1:</w:t>
      </w:r>
      <w:r w:rsidRPr="004574D9">
        <w:rPr>
          <w:rFonts w:ascii="Calibri" w:hAnsi="Calibri" w:cs="Calibri"/>
        </w:rPr>
        <w:t xml:space="preserve"> 3-Jahres-PFS</w:t>
      </w:r>
      <w:r>
        <w:rPr>
          <w:rFonts w:ascii="Calibri" w:hAnsi="Calibri" w:cs="Calibri"/>
        </w:rPr>
        <w:t>-</w:t>
      </w:r>
      <w:r w:rsidRPr="004574D9">
        <w:rPr>
          <w:rFonts w:ascii="Calibri" w:hAnsi="Calibri" w:cs="Calibri"/>
        </w:rPr>
        <w:t>Unterschied 0,2%</w:t>
      </w:r>
    </w:p>
    <w:p w14:paraId="19E3DE0E" w14:textId="77777777" w:rsidR="00643783" w:rsidRPr="00E54AAF" w:rsidRDefault="00643783" w:rsidP="00643783">
      <w:pPr>
        <w:numPr>
          <w:ilvl w:val="0"/>
          <w:numId w:val="3"/>
        </w:numPr>
        <w:spacing w:after="160" w:line="276" w:lineRule="auto"/>
        <w:ind w:left="426" w:hanging="426"/>
        <w:contextualSpacing/>
        <w:jc w:val="left"/>
        <w:rPr>
          <w:rFonts w:ascii="Calibri" w:hAnsi="Calibri" w:cs="Calibri"/>
        </w:rPr>
      </w:pPr>
      <w:r w:rsidRPr="00E54AAF">
        <w:rPr>
          <w:rFonts w:ascii="Calibri" w:hAnsi="Calibri" w:cs="Calibri"/>
        </w:rPr>
        <w:t>Unterschied zwischen CAPOX und FOLFOX</w:t>
      </w:r>
    </w:p>
    <w:p w14:paraId="55CA7F39" w14:textId="77777777" w:rsidR="00643783" w:rsidRDefault="00643783" w:rsidP="00643783">
      <w:pPr>
        <w:numPr>
          <w:ilvl w:val="0"/>
          <w:numId w:val="3"/>
        </w:numPr>
        <w:spacing w:after="160" w:line="276" w:lineRule="auto"/>
        <w:ind w:left="426" w:hanging="426"/>
        <w:contextualSpacing/>
        <w:jc w:val="left"/>
        <w:rPr>
          <w:rFonts w:ascii="Calibri" w:hAnsi="Calibri" w:cs="Calibri"/>
        </w:rPr>
      </w:pPr>
      <w:r w:rsidRPr="00E54AAF">
        <w:rPr>
          <w:rFonts w:ascii="Calibri" w:hAnsi="Calibri" w:cs="Calibri"/>
        </w:rPr>
        <w:t>In der Hochrisikogruppe (T4 oder N2) wurde die Unterlegenheit der verkürzten FOLFOX-Gabe belegt (HR 1,2)</w:t>
      </w:r>
    </w:p>
    <w:p w14:paraId="547F9A21" w14:textId="77777777" w:rsidR="00643783" w:rsidRDefault="00643783" w:rsidP="00643783">
      <w:pPr>
        <w:spacing w:after="160" w:line="276" w:lineRule="auto"/>
        <w:contextualSpacing/>
        <w:jc w:val="left"/>
        <w:rPr>
          <w:rFonts w:ascii="Calibri" w:hAnsi="Calibri" w:cs="Calibri"/>
        </w:rPr>
      </w:pPr>
    </w:p>
    <w:p w14:paraId="3E48B775" w14:textId="77777777" w:rsidR="00643783" w:rsidRPr="00E4567C" w:rsidRDefault="00643783" w:rsidP="00643783">
      <w:pPr>
        <w:autoSpaceDE w:val="0"/>
        <w:autoSpaceDN w:val="0"/>
        <w:adjustRightInd w:val="0"/>
        <w:spacing w:line="288" w:lineRule="auto"/>
        <w:jc w:val="left"/>
        <w:rPr>
          <w:rFonts w:eastAsia="Calibri" w:cs="Arial"/>
          <w:b/>
          <w:szCs w:val="22"/>
          <w:lang w:eastAsia="en-US"/>
        </w:rPr>
      </w:pPr>
      <w:r w:rsidRPr="00E4567C">
        <w:rPr>
          <w:rFonts w:ascii="Calibri" w:eastAsia="Calibri" w:hAnsi="Calibri" w:cs="Calibri"/>
          <w:noProof/>
          <w:szCs w:val="22"/>
          <w:lang w:eastAsia="de-AT"/>
        </w:rPr>
        <mc:AlternateContent>
          <mc:Choice Requires="wps">
            <w:drawing>
              <wp:anchor distT="0" distB="0" distL="114300" distR="114300" simplePos="0" relativeHeight="251649536" behindDoc="0" locked="0" layoutInCell="1" allowOverlap="1" wp14:anchorId="470E1593" wp14:editId="025E847E">
                <wp:simplePos x="0" y="0"/>
                <wp:positionH relativeFrom="column">
                  <wp:posOffset>2003425</wp:posOffset>
                </wp:positionH>
                <wp:positionV relativeFrom="paragraph">
                  <wp:posOffset>897890</wp:posOffset>
                </wp:positionV>
                <wp:extent cx="289560" cy="167640"/>
                <wp:effectExtent l="0" t="0" r="15240" b="22860"/>
                <wp:wrapNone/>
                <wp:docPr id="2" name="Ellipse 2"/>
                <wp:cNvGraphicFramePr/>
                <a:graphic xmlns:a="http://schemas.openxmlformats.org/drawingml/2006/main">
                  <a:graphicData uri="http://schemas.microsoft.com/office/word/2010/wordprocessingShape">
                    <wps:wsp>
                      <wps:cNvSpPr/>
                      <wps:spPr>
                        <a:xfrm>
                          <a:off x="0" y="0"/>
                          <a:ext cx="28956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F90A3" id="Ellipse 2" o:spid="_x0000_s1026" style="position:absolute;margin-left:157.75pt;margin-top:70.7pt;width:22.8pt;height:1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" filled="f" strokecolor="red" strokeweight="2pt"/>
            </w:pict>
          </mc:Fallback>
        </mc:AlternateContent>
      </w:r>
      <w:r w:rsidRPr="00E4567C">
        <w:rPr>
          <w:rFonts w:ascii="Calibri" w:eastAsia="Calibri" w:hAnsi="Calibri" w:cs="Calibri"/>
          <w:noProof/>
          <w:szCs w:val="22"/>
          <w:lang w:eastAsia="de-AT"/>
        </w:rPr>
        <w:drawing>
          <wp:anchor distT="0" distB="0" distL="114300" distR="114300" simplePos="0" relativeHeight="251648512" behindDoc="0" locked="0" layoutInCell="1" allowOverlap="1" wp14:anchorId="7F0D9250" wp14:editId="46B2FE47">
            <wp:simplePos x="0" y="0"/>
            <wp:positionH relativeFrom="margin">
              <wp:align>center</wp:align>
            </wp:positionH>
            <wp:positionV relativeFrom="paragraph">
              <wp:posOffset>334010</wp:posOffset>
            </wp:positionV>
            <wp:extent cx="4410075" cy="2278380"/>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075" cy="2278380"/>
                    </a:xfrm>
                    <a:prstGeom prst="rect">
                      <a:avLst/>
                    </a:prstGeom>
                    <a:noFill/>
                  </pic:spPr>
                </pic:pic>
              </a:graphicData>
            </a:graphic>
            <wp14:sizeRelH relativeFrom="margin">
              <wp14:pctWidth>0</wp14:pctWidth>
            </wp14:sizeRelH>
            <wp14:sizeRelV relativeFrom="margin">
              <wp14:pctHeight>0</wp14:pctHeight>
            </wp14:sizeRelV>
          </wp:anchor>
        </w:drawing>
      </w:r>
      <w:r w:rsidRPr="00E4567C">
        <w:rPr>
          <w:rFonts w:eastAsia="Calibri" w:cs="Arial"/>
          <w:b/>
          <w:szCs w:val="22"/>
          <w:lang w:eastAsia="en-US"/>
        </w:rPr>
        <w:t>4.</w:t>
      </w:r>
      <w:r w:rsidR="00833383" w:rsidRPr="00E4567C">
        <w:rPr>
          <w:rFonts w:eastAsia="Calibri" w:cs="Arial"/>
          <w:b/>
          <w:szCs w:val="22"/>
          <w:lang w:eastAsia="en-US"/>
        </w:rPr>
        <w:t>1</w:t>
      </w:r>
      <w:r w:rsidRPr="00E4567C">
        <w:rPr>
          <w:rFonts w:eastAsia="Calibri" w:cs="Arial"/>
          <w:b/>
          <w:szCs w:val="22"/>
          <w:lang w:eastAsia="en-US"/>
        </w:rPr>
        <w:t>.</w:t>
      </w:r>
      <w:r w:rsidR="00833383" w:rsidRPr="00E4567C">
        <w:rPr>
          <w:rFonts w:eastAsia="Calibri" w:cs="Arial"/>
          <w:b/>
          <w:szCs w:val="22"/>
          <w:lang w:eastAsia="en-US"/>
        </w:rPr>
        <w:t>2</w:t>
      </w:r>
      <w:r w:rsidRPr="00E4567C">
        <w:rPr>
          <w:rFonts w:eastAsia="Calibri" w:cs="Arial"/>
          <w:b/>
          <w:szCs w:val="22"/>
          <w:lang w:eastAsia="en-US"/>
        </w:rPr>
        <w:tab/>
        <w:t>IDEA-Update (ASCO 2020)</w:t>
      </w:r>
      <w:r w:rsidRPr="00E4567C">
        <w:rPr>
          <w:rFonts w:eastAsia="Calibri" w:cs="Arial"/>
          <w:b/>
          <w:szCs w:val="22"/>
          <w:vertAlign w:val="superscript"/>
          <w:lang w:eastAsia="en-US"/>
        </w:rPr>
        <w:t>2)</w:t>
      </w:r>
      <w:r w:rsidRPr="00E4567C">
        <w:rPr>
          <w:rFonts w:eastAsia="Calibri" w:cs="Arial"/>
          <w:b/>
          <w:szCs w:val="22"/>
          <w:lang w:eastAsia="en-US"/>
        </w:rPr>
        <w:t>:</w:t>
      </w:r>
      <w:r w:rsidRPr="00E4567C">
        <w:rPr>
          <w:rFonts w:ascii="Calibri" w:eastAsia="Calibri" w:hAnsi="Calibri" w:cs="Calibri"/>
          <w:noProof/>
          <w:szCs w:val="22"/>
          <w:lang w:eastAsia="en-US"/>
        </w:rPr>
        <w:t xml:space="preserve"> </w:t>
      </w:r>
      <w:bookmarkEnd w:id="83"/>
    </w:p>
    <w:p w14:paraId="06B2EAAF"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5-Jahres-OS 82,4% (3 Mo) vs. 82,8% (6 Mo), HR 1,02</w:t>
      </w:r>
    </w:p>
    <w:p w14:paraId="18E1F3A0" w14:textId="77777777" w:rsidR="00643783" w:rsidRPr="00564EAE"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CAPOX: HR für 5-Jahres-OS: 0,96 (Low risk: 0,85, High risk: 1,03)</w:t>
      </w:r>
    </w:p>
    <w:p w14:paraId="2F4BEF82"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 xml:space="preserve">FOLFOX: </w:t>
      </w:r>
      <w:r w:rsidRPr="000D230A">
        <w:rPr>
          <w:rFonts w:ascii="Calibri" w:eastAsia="Calibri" w:hAnsi="Calibri" w:cs="Calibri"/>
          <w:szCs w:val="22"/>
          <w:lang w:eastAsia="en-US"/>
        </w:rPr>
        <w:t xml:space="preserve">HR für 5-Jahres-OS: </w:t>
      </w:r>
      <w:r>
        <w:rPr>
          <w:rFonts w:ascii="Calibri" w:eastAsia="Calibri" w:hAnsi="Calibri" w:cs="Calibri"/>
          <w:szCs w:val="22"/>
          <w:lang w:eastAsia="en-US"/>
        </w:rPr>
        <w:t xml:space="preserve">1,07 </w:t>
      </w:r>
      <w:r w:rsidRPr="000D230A">
        <w:rPr>
          <w:rFonts w:ascii="Calibri" w:eastAsia="Calibri" w:hAnsi="Calibri" w:cs="Calibri"/>
          <w:szCs w:val="22"/>
          <w:lang w:eastAsia="en-US"/>
        </w:rPr>
        <w:t xml:space="preserve">(Low risk: </w:t>
      </w:r>
      <w:r>
        <w:rPr>
          <w:rFonts w:ascii="Calibri" w:eastAsia="Calibri" w:hAnsi="Calibri" w:cs="Calibri"/>
          <w:szCs w:val="22"/>
          <w:lang w:eastAsia="en-US"/>
        </w:rPr>
        <w:t>1,02</w:t>
      </w:r>
      <w:r w:rsidRPr="000D230A">
        <w:rPr>
          <w:rFonts w:ascii="Calibri" w:eastAsia="Calibri" w:hAnsi="Calibri" w:cs="Calibri"/>
          <w:szCs w:val="22"/>
          <w:lang w:eastAsia="en-US"/>
        </w:rPr>
        <w:t>, High risk: 1,</w:t>
      </w:r>
      <w:r>
        <w:rPr>
          <w:rFonts w:ascii="Calibri" w:eastAsia="Calibri" w:hAnsi="Calibri" w:cs="Calibri"/>
          <w:szCs w:val="22"/>
          <w:lang w:eastAsia="en-US"/>
        </w:rPr>
        <w:t>12</w:t>
      </w:r>
      <w:r w:rsidRPr="000D230A">
        <w:rPr>
          <w:rFonts w:ascii="Calibri" w:eastAsia="Calibri" w:hAnsi="Calibri" w:cs="Calibri"/>
          <w:szCs w:val="22"/>
          <w:lang w:eastAsia="en-US"/>
        </w:rPr>
        <w:t>)</w:t>
      </w:r>
    </w:p>
    <w:p w14:paraId="0F30126A"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5-Jahres-DFS 69,1</w:t>
      </w:r>
      <w:r w:rsidRPr="000D230A">
        <w:rPr>
          <w:rFonts w:ascii="Calibri" w:eastAsia="Calibri" w:hAnsi="Calibri" w:cs="Calibri"/>
          <w:szCs w:val="22"/>
          <w:lang w:eastAsia="en-US"/>
        </w:rPr>
        <w:t xml:space="preserve">% (3 Mo) vs. </w:t>
      </w:r>
      <w:r>
        <w:rPr>
          <w:rFonts w:ascii="Calibri" w:eastAsia="Calibri" w:hAnsi="Calibri" w:cs="Calibri"/>
          <w:szCs w:val="22"/>
          <w:lang w:eastAsia="en-US"/>
        </w:rPr>
        <w:t>70,8</w:t>
      </w:r>
      <w:r w:rsidRPr="000D230A">
        <w:rPr>
          <w:rFonts w:ascii="Calibri" w:eastAsia="Calibri" w:hAnsi="Calibri" w:cs="Calibri"/>
          <w:szCs w:val="22"/>
          <w:lang w:eastAsia="en-US"/>
        </w:rPr>
        <w:t>% (6 Mo), HR 1,0</w:t>
      </w:r>
      <w:r>
        <w:rPr>
          <w:rFonts w:ascii="Calibri" w:eastAsia="Calibri" w:hAnsi="Calibri" w:cs="Calibri"/>
          <w:szCs w:val="22"/>
          <w:lang w:eastAsia="en-US"/>
        </w:rPr>
        <w:t>8</w:t>
      </w:r>
    </w:p>
    <w:p w14:paraId="423F2B39"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 xml:space="preserve">CAPOX: </w:t>
      </w:r>
      <w:r w:rsidRPr="000D230A">
        <w:rPr>
          <w:rFonts w:ascii="Calibri" w:eastAsia="Calibri" w:hAnsi="Calibri" w:cs="Calibri"/>
          <w:szCs w:val="22"/>
          <w:lang w:eastAsia="en-US"/>
        </w:rPr>
        <w:t>HR für 5-Jahres-</w:t>
      </w:r>
      <w:r>
        <w:rPr>
          <w:rFonts w:ascii="Calibri" w:eastAsia="Calibri" w:hAnsi="Calibri" w:cs="Calibri"/>
          <w:szCs w:val="22"/>
          <w:lang w:eastAsia="en-US"/>
        </w:rPr>
        <w:t>DF</w:t>
      </w:r>
      <w:r w:rsidRPr="000D230A">
        <w:rPr>
          <w:rFonts w:ascii="Calibri" w:eastAsia="Calibri" w:hAnsi="Calibri" w:cs="Calibri"/>
          <w:szCs w:val="22"/>
          <w:lang w:eastAsia="en-US"/>
        </w:rPr>
        <w:t>S: 0,</w:t>
      </w:r>
      <w:r>
        <w:rPr>
          <w:rFonts w:ascii="Calibri" w:eastAsia="Calibri" w:hAnsi="Calibri" w:cs="Calibri"/>
          <w:szCs w:val="22"/>
          <w:lang w:eastAsia="en-US"/>
        </w:rPr>
        <w:t>98</w:t>
      </w:r>
    </w:p>
    <w:p w14:paraId="0C6A04D3"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 xml:space="preserve">FOLFOX: </w:t>
      </w:r>
      <w:r w:rsidRPr="000D230A">
        <w:rPr>
          <w:rFonts w:ascii="Calibri" w:eastAsia="Calibri" w:hAnsi="Calibri" w:cs="Calibri"/>
          <w:szCs w:val="22"/>
          <w:lang w:eastAsia="en-US"/>
        </w:rPr>
        <w:t>HR für 5-Jahres-</w:t>
      </w:r>
      <w:r>
        <w:rPr>
          <w:rFonts w:ascii="Calibri" w:eastAsia="Calibri" w:hAnsi="Calibri" w:cs="Calibri"/>
          <w:szCs w:val="22"/>
          <w:lang w:eastAsia="en-US"/>
        </w:rPr>
        <w:t>DFS</w:t>
      </w:r>
      <w:r w:rsidRPr="000D230A">
        <w:rPr>
          <w:rFonts w:ascii="Calibri" w:eastAsia="Calibri" w:hAnsi="Calibri" w:cs="Calibri"/>
          <w:szCs w:val="22"/>
          <w:lang w:eastAsia="en-US"/>
        </w:rPr>
        <w:t xml:space="preserve">: </w:t>
      </w:r>
      <w:r>
        <w:rPr>
          <w:rFonts w:ascii="Calibri" w:eastAsia="Calibri" w:hAnsi="Calibri" w:cs="Calibri"/>
          <w:szCs w:val="22"/>
          <w:lang w:eastAsia="en-US"/>
        </w:rPr>
        <w:t>1,16</w:t>
      </w:r>
    </w:p>
    <w:p w14:paraId="5A47C155" w14:textId="77777777" w:rsidR="00643783" w:rsidRDefault="00643783" w:rsidP="006437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Conclusio Effektivität der Protokolle:</w:t>
      </w:r>
    </w:p>
    <w:p w14:paraId="0DD0B9F1" w14:textId="77777777" w:rsidR="00643783" w:rsidRPr="00564EAE" w:rsidRDefault="00643783" w:rsidP="00643783">
      <w:pPr>
        <w:numPr>
          <w:ilvl w:val="1"/>
          <w:numId w:val="6"/>
        </w:numPr>
        <w:autoSpaceDE w:val="0"/>
        <w:autoSpaceDN w:val="0"/>
        <w:adjustRightInd w:val="0"/>
        <w:spacing w:after="160" w:line="276" w:lineRule="auto"/>
        <w:contextualSpacing/>
        <w:jc w:val="left"/>
        <w:rPr>
          <w:rFonts w:ascii="Calibri" w:eastAsia="Calibri" w:hAnsi="Calibri" w:cs="Calibri"/>
          <w:b/>
          <w:bCs/>
          <w:color w:val="F79646" w:themeColor="accent6"/>
          <w:szCs w:val="22"/>
          <w:lang w:val="en-GB" w:eastAsia="en-US"/>
        </w:rPr>
      </w:pPr>
      <w:r w:rsidRPr="00564EAE">
        <w:rPr>
          <w:rFonts w:ascii="Calibri" w:eastAsia="Calibri" w:hAnsi="Calibri" w:cs="Calibri"/>
          <w:szCs w:val="22"/>
          <w:lang w:val="en-GB" w:eastAsia="en-US"/>
        </w:rPr>
        <w:t xml:space="preserve">CAPOX 3M bei low risk: </w:t>
      </w:r>
      <w:r w:rsidRPr="00564EAE">
        <w:rPr>
          <w:rFonts w:ascii="Calibri" w:eastAsia="Calibri" w:hAnsi="Calibri" w:cs="Calibri"/>
          <w:szCs w:val="22"/>
          <w:u w:val="single"/>
          <w:lang w:val="en-GB" w:eastAsia="en-US"/>
        </w:rPr>
        <w:t>No loss</w:t>
      </w:r>
      <w:r w:rsidRPr="00564EAE">
        <w:rPr>
          <w:rFonts w:ascii="Calibri" w:eastAsia="Calibri" w:hAnsi="Calibri" w:cs="Calibri"/>
          <w:szCs w:val="22"/>
          <w:lang w:val="en-GB" w:eastAsia="en-US"/>
        </w:rPr>
        <w:t xml:space="preserve"> </w:t>
      </w:r>
      <w:bookmarkStart w:id="84" w:name="_Hlk58313011"/>
      <w:r w:rsidRPr="00564EAE">
        <w:rPr>
          <w:rFonts w:ascii="Calibri" w:eastAsia="Calibri" w:hAnsi="Calibri" w:cs="Calibri"/>
          <w:szCs w:val="22"/>
          <w:lang w:val="en-GB" w:eastAsia="en-US"/>
        </w:rPr>
        <w:t>(∆ 5J-OS: +2,3%)</w:t>
      </w:r>
      <w:bookmarkEnd w:id="84"/>
      <w:r w:rsidRPr="00564EAE">
        <w:rPr>
          <w:rFonts w:ascii="Calibri" w:eastAsia="Calibri" w:hAnsi="Calibri" w:cs="Calibri"/>
          <w:szCs w:val="22"/>
          <w:lang w:val="en-GB" w:eastAsia="en-US"/>
        </w:rPr>
        <w:t xml:space="preserve"> </w:t>
      </w:r>
      <w:r w:rsidRPr="00643783">
        <w:rPr>
          <w:rFonts w:ascii="Calibri" w:eastAsia="Calibri" w:hAnsi="Calibri" w:cs="Calibri"/>
          <w:szCs w:val="22"/>
          <w:lang w:eastAsia="en-US"/>
        </w:rPr>
        <w:sym w:font="Wingdings" w:char="F0E0"/>
      </w:r>
      <w:r w:rsidRPr="00564EAE">
        <w:rPr>
          <w:rFonts w:ascii="Calibri" w:eastAsia="Calibri" w:hAnsi="Calibri" w:cs="Calibri"/>
          <w:szCs w:val="22"/>
          <w:lang w:val="en-GB" w:eastAsia="en-US"/>
        </w:rPr>
        <w:t xml:space="preserve"> </w:t>
      </w:r>
      <w:r w:rsidRPr="00564EAE">
        <w:rPr>
          <w:rFonts w:ascii="Calibri" w:eastAsia="Calibri" w:hAnsi="Calibri" w:cs="Calibri"/>
          <w:b/>
          <w:bCs/>
          <w:color w:val="00B050"/>
          <w:szCs w:val="22"/>
          <w:lang w:val="en-GB" w:eastAsia="en-US"/>
        </w:rPr>
        <w:t>3M OK</w:t>
      </w:r>
    </w:p>
    <w:p w14:paraId="1B7A00C9" w14:textId="77777777" w:rsidR="00643783" w:rsidRPr="00564EAE" w:rsidRDefault="00643783" w:rsidP="00643783">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 xml:space="preserve">FOLFOX 3M bei low risk: </w:t>
      </w:r>
      <w:r w:rsidRPr="00564EAE">
        <w:rPr>
          <w:rFonts w:ascii="Calibri" w:eastAsia="Calibri" w:hAnsi="Calibri" w:cs="Calibri"/>
          <w:szCs w:val="22"/>
          <w:u w:val="single"/>
          <w:lang w:val="en-GB" w:eastAsia="en-US"/>
        </w:rPr>
        <w:t>Minimal loss</w:t>
      </w:r>
      <w:r w:rsidRPr="00564EAE">
        <w:rPr>
          <w:rFonts w:ascii="Calibri" w:eastAsia="Calibri" w:hAnsi="Calibri" w:cs="Calibri"/>
          <w:szCs w:val="22"/>
          <w:lang w:val="en-GB" w:eastAsia="en-US"/>
        </w:rPr>
        <w:t xml:space="preserve"> (∆ 5J-OS: -0,3%) </w:t>
      </w:r>
      <w:r w:rsidRPr="00A440E9">
        <w:rPr>
          <w:rFonts w:ascii="Calibri" w:eastAsia="Calibri" w:hAnsi="Calibri" w:cs="Calibri"/>
          <w:szCs w:val="22"/>
          <w:lang w:eastAsia="en-US"/>
        </w:rPr>
        <w:sym w:font="Wingdings" w:char="F0E0"/>
      </w:r>
      <w:r w:rsidRPr="00564EAE">
        <w:rPr>
          <w:rFonts w:ascii="Calibri" w:eastAsia="Calibri" w:hAnsi="Calibri" w:cs="Calibri"/>
          <w:szCs w:val="22"/>
          <w:lang w:val="en-GB" w:eastAsia="en-US"/>
        </w:rPr>
        <w:t xml:space="preserve"> </w:t>
      </w:r>
      <w:r w:rsidRPr="00564EAE">
        <w:rPr>
          <w:rFonts w:ascii="Calibri" w:eastAsia="Calibri" w:hAnsi="Calibri" w:cs="Calibri"/>
          <w:b/>
          <w:bCs/>
          <w:color w:val="00B050"/>
          <w:szCs w:val="22"/>
          <w:lang w:val="en-GB" w:eastAsia="en-US"/>
        </w:rPr>
        <w:t>3M OK</w:t>
      </w:r>
    </w:p>
    <w:p w14:paraId="327CD545" w14:textId="77777777" w:rsidR="00643783" w:rsidRPr="00564EAE" w:rsidRDefault="00643783" w:rsidP="00643783">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 xml:space="preserve">CAPOX 3M bei high risk: </w:t>
      </w:r>
      <w:r w:rsidRPr="00564EAE">
        <w:rPr>
          <w:rFonts w:ascii="Calibri" w:eastAsia="Calibri" w:hAnsi="Calibri" w:cs="Calibri"/>
          <w:szCs w:val="22"/>
          <w:u w:val="single"/>
          <w:lang w:val="en-GB" w:eastAsia="en-US"/>
        </w:rPr>
        <w:t>Minimal loss</w:t>
      </w:r>
      <w:r w:rsidRPr="00564EAE">
        <w:rPr>
          <w:rFonts w:ascii="Calibri" w:eastAsia="Calibri" w:hAnsi="Calibri" w:cs="Calibri"/>
          <w:szCs w:val="22"/>
          <w:lang w:val="en-GB" w:eastAsia="en-US"/>
        </w:rPr>
        <w:t xml:space="preserve"> (∆ 5J-OS: -1,0%) </w:t>
      </w:r>
      <w:r w:rsidRPr="00A440E9">
        <w:rPr>
          <w:rFonts w:ascii="Calibri" w:eastAsia="Calibri" w:hAnsi="Calibri" w:cs="Calibri"/>
          <w:szCs w:val="22"/>
          <w:lang w:eastAsia="en-US"/>
        </w:rPr>
        <w:sym w:font="Wingdings" w:char="F0E0"/>
      </w:r>
      <w:r w:rsidRPr="00564EAE">
        <w:rPr>
          <w:rFonts w:ascii="Calibri" w:eastAsia="Calibri" w:hAnsi="Calibri" w:cs="Calibri"/>
          <w:szCs w:val="22"/>
          <w:lang w:val="en-GB" w:eastAsia="en-US"/>
        </w:rPr>
        <w:t xml:space="preserve"> </w:t>
      </w:r>
      <w:r w:rsidRPr="00564EAE">
        <w:rPr>
          <w:rFonts w:ascii="Calibri" w:eastAsia="Calibri" w:hAnsi="Calibri" w:cs="Calibri"/>
          <w:b/>
          <w:bCs/>
          <w:color w:val="00B050"/>
          <w:szCs w:val="22"/>
          <w:lang w:val="en-GB" w:eastAsia="en-US"/>
        </w:rPr>
        <w:t>3M OK</w:t>
      </w:r>
      <w:r w:rsidRPr="00564EAE">
        <w:rPr>
          <w:rFonts w:ascii="Calibri" w:eastAsia="Calibri" w:hAnsi="Calibri" w:cs="Calibri"/>
          <w:color w:val="00B050"/>
          <w:szCs w:val="22"/>
          <w:lang w:val="en-GB" w:eastAsia="en-US"/>
        </w:rPr>
        <w:t xml:space="preserve"> </w:t>
      </w:r>
    </w:p>
    <w:p w14:paraId="7A0E7F05" w14:textId="77777777" w:rsidR="00643783" w:rsidRPr="00564EAE" w:rsidRDefault="00643783" w:rsidP="00643783">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 xml:space="preserve">FOLFOX 3M bei high risk: </w:t>
      </w:r>
      <w:r w:rsidRPr="00564EAE">
        <w:rPr>
          <w:rFonts w:ascii="Calibri" w:eastAsia="Calibri" w:hAnsi="Calibri" w:cs="Calibri"/>
          <w:szCs w:val="22"/>
          <w:u w:val="single"/>
          <w:lang w:val="en-GB" w:eastAsia="en-US"/>
        </w:rPr>
        <w:t>Relevant loss</w:t>
      </w:r>
      <w:r w:rsidRPr="00564EAE">
        <w:rPr>
          <w:rFonts w:ascii="Calibri" w:eastAsia="Calibri" w:hAnsi="Calibri" w:cs="Calibri"/>
          <w:szCs w:val="22"/>
          <w:lang w:val="en-GB" w:eastAsia="en-US"/>
        </w:rPr>
        <w:t xml:space="preserve"> (∆ 5J-OS: -2,8%) </w:t>
      </w:r>
      <w:r w:rsidRPr="00A440E9">
        <w:rPr>
          <w:rFonts w:ascii="Calibri" w:eastAsia="Calibri" w:hAnsi="Calibri" w:cs="Calibri"/>
          <w:szCs w:val="22"/>
          <w:lang w:eastAsia="en-US"/>
        </w:rPr>
        <w:sym w:font="Wingdings" w:char="F0E0"/>
      </w:r>
      <w:r w:rsidRPr="00564EAE">
        <w:rPr>
          <w:rFonts w:ascii="Calibri" w:eastAsia="Calibri" w:hAnsi="Calibri" w:cs="Calibri"/>
          <w:szCs w:val="22"/>
          <w:lang w:val="en-GB" w:eastAsia="en-US"/>
        </w:rPr>
        <w:t xml:space="preserve"> </w:t>
      </w:r>
      <w:r w:rsidRPr="00564EAE">
        <w:rPr>
          <w:rFonts w:ascii="Calibri" w:eastAsia="Calibri" w:hAnsi="Calibri" w:cs="Calibri"/>
          <w:b/>
          <w:bCs/>
          <w:color w:val="FF0000"/>
          <w:szCs w:val="22"/>
          <w:lang w:val="en-GB" w:eastAsia="en-US"/>
        </w:rPr>
        <w:t>need 6M</w:t>
      </w:r>
    </w:p>
    <w:p w14:paraId="192BE38C" w14:textId="77777777" w:rsidR="00643783" w:rsidRPr="00564EAE" w:rsidRDefault="00643783" w:rsidP="00643783">
      <w:pPr>
        <w:spacing w:line="240" w:lineRule="auto"/>
        <w:jc w:val="left"/>
        <w:rPr>
          <w:lang w:val="en-GB" w:eastAsia="de-AT"/>
        </w:rPr>
      </w:pPr>
    </w:p>
    <w:p w14:paraId="43C527BC" w14:textId="77777777" w:rsidR="00643783" w:rsidRPr="00564EAE" w:rsidRDefault="00643783" w:rsidP="00643783">
      <w:pPr>
        <w:spacing w:line="240" w:lineRule="auto"/>
        <w:jc w:val="left"/>
        <w:rPr>
          <w:lang w:val="en-GB" w:eastAsia="de-AT"/>
        </w:rPr>
      </w:pPr>
    </w:p>
    <w:p w14:paraId="7D9221C6" w14:textId="77777777" w:rsidR="00643783" w:rsidRPr="00564EAE" w:rsidRDefault="00643783" w:rsidP="00643783">
      <w:pPr>
        <w:autoSpaceDE w:val="0"/>
        <w:autoSpaceDN w:val="0"/>
        <w:adjustRightInd w:val="0"/>
        <w:spacing w:after="160" w:line="288" w:lineRule="auto"/>
        <w:ind w:left="360"/>
        <w:contextualSpacing/>
        <w:jc w:val="left"/>
        <w:rPr>
          <w:rFonts w:ascii="Calibri" w:eastAsia="Calibri" w:hAnsi="Calibri" w:cs="Calibri"/>
          <w:sz w:val="18"/>
          <w:szCs w:val="18"/>
          <w:lang w:val="en-GB" w:eastAsia="en-US"/>
        </w:rPr>
      </w:pPr>
      <w:r w:rsidRPr="00564EAE">
        <w:rPr>
          <w:rFonts w:ascii="Calibri" w:eastAsia="Calibri" w:hAnsi="Calibri" w:cs="Calibri"/>
          <w:iCs/>
          <w:sz w:val="18"/>
          <w:szCs w:val="18"/>
          <w:lang w:val="en-GB" w:eastAsia="en-US"/>
        </w:rPr>
        <w:t>1)</w:t>
      </w:r>
      <w:r w:rsidRPr="00564EAE">
        <w:rPr>
          <w:rFonts w:ascii="Calibri" w:eastAsia="Calibri" w:hAnsi="Calibri" w:cs="Calibri"/>
          <w:iCs/>
          <w:sz w:val="18"/>
          <w:szCs w:val="18"/>
          <w:lang w:val="en-GB" w:eastAsia="en-US"/>
        </w:rPr>
        <w:tab/>
        <w:t>Shi Q, et al., ASCO 2017, Abstract LBA1</w:t>
      </w:r>
      <w:r w:rsidRPr="00564EAE">
        <w:rPr>
          <w:rFonts w:ascii="Calibri" w:eastAsia="Calibri" w:hAnsi="Calibri" w:cs="Calibri"/>
          <w:iCs/>
          <w:sz w:val="18"/>
          <w:szCs w:val="18"/>
          <w:lang w:val="en-GB" w:eastAsia="en-US"/>
        </w:rPr>
        <w:br/>
      </w:r>
      <w:r w:rsidRPr="00564EAE">
        <w:rPr>
          <w:rFonts w:ascii="Calibri" w:eastAsia="Calibri" w:hAnsi="Calibri" w:cs="Calibri"/>
          <w:sz w:val="18"/>
          <w:szCs w:val="18"/>
          <w:lang w:val="en-GB" w:eastAsia="en-US"/>
        </w:rPr>
        <w:t>2)</w:t>
      </w:r>
      <w:r w:rsidRPr="00564EAE">
        <w:rPr>
          <w:rFonts w:ascii="Calibri" w:eastAsia="Calibri" w:hAnsi="Calibri" w:cs="Calibri"/>
          <w:sz w:val="18"/>
          <w:szCs w:val="18"/>
          <w:lang w:val="en-GB" w:eastAsia="en-US"/>
        </w:rPr>
        <w:tab/>
        <w:t>Sobrero et al., ASCO 2020,  Abstr 4004</w:t>
      </w:r>
    </w:p>
    <w:p w14:paraId="6A2697E5" w14:textId="77777777" w:rsidR="00FF0121" w:rsidRPr="000225FC" w:rsidRDefault="00FF0121" w:rsidP="00FF0121">
      <w:pPr>
        <w:keepNext/>
        <w:spacing w:before="240" w:after="60"/>
        <w:ind w:left="705" w:hanging="705"/>
        <w:jc w:val="left"/>
        <w:outlineLvl w:val="1"/>
        <w:rPr>
          <w:rFonts w:cs="Arial"/>
          <w:b/>
          <w:bCs/>
          <w:i/>
          <w:iCs/>
          <w:sz w:val="24"/>
          <w:szCs w:val="24"/>
          <w:lang w:val="de-DE" w:eastAsia="de-AT"/>
        </w:rPr>
      </w:pPr>
      <w:bookmarkStart w:id="85" w:name="_Toc93523308"/>
      <w:bookmarkStart w:id="86" w:name="_Hlk60078766"/>
      <w:r w:rsidRPr="000225FC">
        <w:rPr>
          <w:rFonts w:cs="Arial"/>
          <w:b/>
          <w:bCs/>
          <w:i/>
          <w:iCs/>
          <w:sz w:val="24"/>
          <w:szCs w:val="24"/>
          <w:lang w:val="de-DE" w:eastAsia="de-AT"/>
        </w:rPr>
        <w:lastRenderedPageBreak/>
        <w:t>4.</w:t>
      </w:r>
      <w:r>
        <w:rPr>
          <w:rFonts w:cs="Arial"/>
          <w:b/>
          <w:bCs/>
          <w:i/>
          <w:iCs/>
          <w:sz w:val="24"/>
          <w:szCs w:val="24"/>
          <w:lang w:val="de-DE" w:eastAsia="de-AT"/>
        </w:rPr>
        <w:t>2</w:t>
      </w:r>
      <w:r w:rsidRPr="000225FC">
        <w:rPr>
          <w:rFonts w:cs="Arial"/>
          <w:b/>
          <w:bCs/>
          <w:i/>
          <w:iCs/>
          <w:sz w:val="24"/>
          <w:szCs w:val="24"/>
          <w:lang w:val="de-DE" w:eastAsia="de-AT"/>
        </w:rPr>
        <w:tab/>
        <w:t>Intensive Erstlinientherapie</w:t>
      </w:r>
      <w:bookmarkEnd w:id="85"/>
    </w:p>
    <w:p w14:paraId="659E2CD7" w14:textId="77777777" w:rsidR="00FF0121" w:rsidRPr="000225FC" w:rsidRDefault="00FF0121" w:rsidP="00FF0121">
      <w:pPr>
        <w:autoSpaceDE w:val="0"/>
        <w:autoSpaceDN w:val="0"/>
        <w:adjustRightInd w:val="0"/>
        <w:spacing w:line="288" w:lineRule="auto"/>
        <w:jc w:val="left"/>
        <w:rPr>
          <w:rFonts w:eastAsia="Calibri" w:cs="Arial"/>
          <w:b/>
          <w:szCs w:val="22"/>
          <w:lang w:eastAsia="en-US"/>
        </w:rPr>
      </w:pPr>
      <w:r w:rsidRPr="000225FC">
        <w:rPr>
          <w:rFonts w:eastAsia="Calibri" w:cs="Arial"/>
          <w:b/>
          <w:szCs w:val="22"/>
          <w:lang w:eastAsia="en-US"/>
        </w:rPr>
        <w:t>4.</w:t>
      </w:r>
      <w:r>
        <w:rPr>
          <w:rFonts w:eastAsia="Calibri" w:cs="Arial"/>
          <w:b/>
          <w:szCs w:val="22"/>
          <w:lang w:eastAsia="en-US"/>
        </w:rPr>
        <w:t>2</w:t>
      </w:r>
      <w:r w:rsidRPr="000225FC">
        <w:rPr>
          <w:rFonts w:eastAsia="Calibri" w:cs="Arial"/>
          <w:b/>
          <w:szCs w:val="22"/>
          <w:lang w:eastAsia="en-US"/>
        </w:rPr>
        <w:t>.1</w:t>
      </w:r>
      <w:r w:rsidRPr="000225FC">
        <w:rPr>
          <w:rFonts w:eastAsia="Calibri" w:cs="Arial"/>
          <w:b/>
          <w:szCs w:val="22"/>
          <w:lang w:eastAsia="en-US"/>
        </w:rPr>
        <w:tab/>
        <w:t>Tribe-2-Studie</w:t>
      </w:r>
      <w:r w:rsidRPr="000225FC">
        <w:rPr>
          <w:rFonts w:eastAsia="Calibri" w:cs="Arial"/>
          <w:b/>
          <w:szCs w:val="22"/>
          <w:vertAlign w:val="superscript"/>
          <w:lang w:eastAsia="en-US"/>
        </w:rPr>
        <w:t>1)</w:t>
      </w:r>
      <w:r w:rsidRPr="000225FC">
        <w:rPr>
          <w:rFonts w:eastAsia="Calibri" w:cs="Arial"/>
          <w:b/>
          <w:szCs w:val="22"/>
          <w:lang w:eastAsia="en-US"/>
        </w:rPr>
        <w:t>:</w:t>
      </w:r>
    </w:p>
    <w:p w14:paraId="002B2F97" w14:textId="77777777" w:rsidR="00FF0121" w:rsidRPr="000225FC" w:rsidRDefault="00FF0121" w:rsidP="00FF0121">
      <w:pPr>
        <w:numPr>
          <w:ilvl w:val="0"/>
          <w:numId w:val="3"/>
        </w:numPr>
        <w:spacing w:after="160" w:line="276" w:lineRule="auto"/>
        <w:ind w:left="426" w:hanging="426"/>
        <w:contextualSpacing/>
        <w:jc w:val="left"/>
        <w:rPr>
          <w:rFonts w:ascii="Calibri" w:hAnsi="Calibri" w:cs="Calibri"/>
        </w:rPr>
      </w:pPr>
      <w:r w:rsidRPr="000225FC">
        <w:rPr>
          <w:rFonts w:ascii="Calibri" w:hAnsi="Calibri" w:cs="Calibri"/>
        </w:rPr>
        <w:t>Phase-III-Studie bei nicht vorbehandelten Patienten mit nicht resektablem mCRC</w:t>
      </w:r>
    </w:p>
    <w:p w14:paraId="13CD7486" w14:textId="77777777" w:rsidR="00FF0121" w:rsidRPr="000225FC" w:rsidRDefault="00FF0121" w:rsidP="00FF0121">
      <w:pPr>
        <w:numPr>
          <w:ilvl w:val="0"/>
          <w:numId w:val="3"/>
        </w:numPr>
        <w:spacing w:after="160" w:line="276" w:lineRule="auto"/>
        <w:ind w:left="426" w:hanging="426"/>
        <w:contextualSpacing/>
        <w:jc w:val="left"/>
        <w:rPr>
          <w:rFonts w:ascii="Calibri" w:hAnsi="Calibri" w:cs="Calibri"/>
        </w:rPr>
      </w:pPr>
      <w:r w:rsidRPr="000225FC">
        <w:rPr>
          <w:rFonts w:ascii="Calibri" w:hAnsi="Calibri" w:cs="Calibri"/>
          <w:noProof/>
          <w:lang w:eastAsia="de-AT"/>
        </w:rPr>
        <w:drawing>
          <wp:anchor distT="0" distB="0" distL="114300" distR="114300" simplePos="0" relativeHeight="251657728" behindDoc="0" locked="0" layoutInCell="1" allowOverlap="1" wp14:anchorId="5BD1B3E5" wp14:editId="16EF4AAF">
            <wp:simplePos x="0" y="0"/>
            <wp:positionH relativeFrom="margin">
              <wp:posOffset>464185</wp:posOffset>
            </wp:positionH>
            <wp:positionV relativeFrom="paragraph">
              <wp:posOffset>711504</wp:posOffset>
            </wp:positionV>
            <wp:extent cx="5036820" cy="2035730"/>
            <wp:effectExtent l="19050" t="19050" r="11430" b="2222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6820" cy="2035730"/>
                    </a:xfrm>
                    <a:prstGeom prst="rect">
                      <a:avLst/>
                    </a:prstGeom>
                    <a:noFill/>
                    <a:ln>
                      <a:solidFill>
                        <a:sysClr val="windowText" lastClr="000000"/>
                      </a:solidFill>
                    </a:ln>
                  </pic:spPr>
                </pic:pic>
              </a:graphicData>
            </a:graphic>
          </wp:anchor>
        </w:drawing>
      </w:r>
      <w:r w:rsidRPr="000225FC">
        <w:rPr>
          <w:rFonts w:ascii="Calibri" w:hAnsi="Calibri" w:cs="Calibri"/>
        </w:rPr>
        <w:t>FOLFOXIRI + Bevacizumab in der Induktionstherapie (8 Zyklen) und in der Reinduktion nach erster Progression gegenüber einer sequentiellen Gabe von FOLFOX + Bevacizumab und FOLFIRI + Bevacizumab nach erster Progression</w:t>
      </w:r>
    </w:p>
    <w:p w14:paraId="4BFBE2CA" w14:textId="77777777" w:rsidR="00FF0121" w:rsidRPr="00564EAE" w:rsidRDefault="00FF0121" w:rsidP="00FF0121">
      <w:pPr>
        <w:spacing w:after="160" w:line="276" w:lineRule="auto"/>
        <w:contextualSpacing/>
        <w:jc w:val="both"/>
        <w:rPr>
          <w:rFonts w:ascii="Calibri" w:hAnsi="Calibri" w:cs="Calibri"/>
          <w:color w:val="FF0000"/>
          <w:sz w:val="12"/>
          <w:szCs w:val="12"/>
          <w14:textOutline w14:w="9525" w14:cap="rnd" w14:cmpd="sng" w14:algn="ctr">
            <w14:solidFill>
              <w14:srgbClr w14:val="000000"/>
            </w14:solidFill>
            <w14:prstDash w14:val="solid"/>
            <w14:bevel/>
          </w14:textOutline>
        </w:rPr>
      </w:pPr>
    </w:p>
    <w:p w14:paraId="19384ABD" w14:textId="77777777" w:rsidR="00FF0121" w:rsidRPr="00564EAE" w:rsidRDefault="00FF0121" w:rsidP="00FF0121">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Signifikanter Vorteil für upfront FOLFOXIRI/Bev:</w:t>
      </w:r>
    </w:p>
    <w:p w14:paraId="1F97FB2C" w14:textId="77777777" w:rsidR="00FF0121" w:rsidRPr="00564EAE" w:rsidRDefault="00FF0121" w:rsidP="00FF0121">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PFS2: 19.1 vs 16,4 Mo (HR 0.74; p &lt; .001) (Zeit von Randomisierung bis PD2 oder Tod)</w:t>
      </w:r>
    </w:p>
    <w:p w14:paraId="248B778A" w14:textId="77777777" w:rsidR="00FF0121" w:rsidRPr="00564EAE" w:rsidRDefault="00FF0121" w:rsidP="00FF0121">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1stPFS: 12.0 vs 9.8 Mo (HR 0.75; p &lt; .001)</w:t>
      </w:r>
    </w:p>
    <w:p w14:paraId="1575B796" w14:textId="77777777" w:rsidR="00FF0121" w:rsidRPr="00564EAE" w:rsidRDefault="00FF0121" w:rsidP="00FF0121">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2ndPFS: 6,5 vs 5,8 Mo (HR 0,76; p = 0,024)</w:t>
      </w:r>
    </w:p>
    <w:p w14:paraId="6010AFC9" w14:textId="77777777" w:rsidR="00FF0121" w:rsidRPr="000225FC" w:rsidRDefault="00FF0121" w:rsidP="00FF0121">
      <w:pPr>
        <w:numPr>
          <w:ilvl w:val="0"/>
          <w:numId w:val="3"/>
        </w:numPr>
        <w:spacing w:after="160" w:line="276" w:lineRule="auto"/>
        <w:ind w:left="426" w:hanging="426"/>
        <w:contextualSpacing/>
        <w:jc w:val="both"/>
        <w:rPr>
          <w:rFonts w:ascii="Calibri" w:hAnsi="Calibri" w:cs="Calibri"/>
          <w:lang w:val="en-US"/>
        </w:rPr>
      </w:pPr>
      <w:r w:rsidRPr="000225FC">
        <w:rPr>
          <w:rFonts w:ascii="Calibri" w:hAnsi="Calibri" w:cs="Calibri"/>
          <w:lang w:val="en-US"/>
        </w:rPr>
        <w:t xml:space="preserve">Medianes OS: 27.6 vs 22.6 Mo (HR 0.81; </w:t>
      </w:r>
      <w:r>
        <w:rPr>
          <w:rFonts w:ascii="Calibri" w:hAnsi="Calibri" w:cs="Calibri"/>
          <w:lang w:val="en-US"/>
        </w:rPr>
        <w:t>p</w:t>
      </w:r>
      <w:r w:rsidRPr="000225FC">
        <w:rPr>
          <w:rFonts w:ascii="Calibri" w:hAnsi="Calibri" w:cs="Calibri"/>
          <w:lang w:val="en-US"/>
        </w:rPr>
        <w:t xml:space="preserve"> = .033)</w:t>
      </w:r>
    </w:p>
    <w:p w14:paraId="7B3497FE" w14:textId="77777777" w:rsidR="00FF0121" w:rsidRPr="000225FC" w:rsidRDefault="00FF0121" w:rsidP="00FF0121">
      <w:pPr>
        <w:numPr>
          <w:ilvl w:val="0"/>
          <w:numId w:val="3"/>
        </w:numPr>
        <w:spacing w:after="160" w:line="276" w:lineRule="auto"/>
        <w:ind w:left="426" w:hanging="426"/>
        <w:contextualSpacing/>
        <w:jc w:val="both"/>
        <w:rPr>
          <w:rFonts w:ascii="Calibri" w:hAnsi="Calibri" w:cs="Calibri"/>
          <w:lang w:val="en-US"/>
        </w:rPr>
      </w:pPr>
      <w:r w:rsidRPr="000225FC">
        <w:rPr>
          <w:rFonts w:ascii="Calibri" w:hAnsi="Calibri" w:cs="Calibri"/>
          <w:lang w:val="en-US"/>
        </w:rPr>
        <w:t>Ansprechrate 62% vs. 50%</w:t>
      </w:r>
    </w:p>
    <w:p w14:paraId="2BB7F3A5" w14:textId="77777777" w:rsidR="00FF0121" w:rsidRPr="000225FC" w:rsidRDefault="00FF0121" w:rsidP="00FF0121">
      <w:pPr>
        <w:numPr>
          <w:ilvl w:val="0"/>
          <w:numId w:val="3"/>
        </w:numPr>
        <w:spacing w:after="160" w:line="276" w:lineRule="auto"/>
        <w:ind w:left="426" w:hanging="426"/>
        <w:contextualSpacing/>
        <w:jc w:val="both"/>
        <w:rPr>
          <w:rFonts w:ascii="Calibri" w:hAnsi="Calibri" w:cs="Calibri"/>
          <w:lang w:val="en-US"/>
        </w:rPr>
      </w:pPr>
      <w:r w:rsidRPr="000225FC">
        <w:rPr>
          <w:rFonts w:ascii="Calibri" w:hAnsi="Calibri" w:cs="Calibri"/>
          <w:lang w:val="en-US"/>
        </w:rPr>
        <w:t xml:space="preserve">Conclusio: </w:t>
      </w:r>
    </w:p>
    <w:p w14:paraId="4B0ACAE5" w14:textId="77777777" w:rsidR="00FF0121" w:rsidRPr="00564EAE" w:rsidRDefault="00FF0121" w:rsidP="00FF0121">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bookmarkStart w:id="87" w:name="_Hlk24656027"/>
      <w:r w:rsidRPr="00564EAE">
        <w:rPr>
          <w:rFonts w:ascii="Calibri" w:eastAsia="Calibri" w:hAnsi="Calibri" w:cs="Calibri"/>
          <w:szCs w:val="22"/>
          <w:lang w:eastAsia="en-US"/>
        </w:rPr>
        <w:t>kein Nachteil für aggressive Upfront-Therapie</w:t>
      </w:r>
      <w:bookmarkEnd w:id="87"/>
    </w:p>
    <w:p w14:paraId="781697BE" w14:textId="77777777" w:rsidR="00FF0121" w:rsidRDefault="00FF0121" w:rsidP="00FF0121">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564EAE">
        <w:rPr>
          <w:rFonts w:ascii="Calibri" w:eastAsia="Calibri" w:hAnsi="Calibri" w:cs="Calibri"/>
          <w:szCs w:val="22"/>
          <w:lang w:eastAsia="en-US"/>
        </w:rPr>
        <w:t xml:space="preserve">PFS2-Benefit v.a. durch den Unterschied bei PFS1 bedingt (d.h. bei 1. </w:t>
      </w:r>
      <w:r w:rsidRPr="000225FC">
        <w:rPr>
          <w:rFonts w:ascii="Calibri" w:eastAsia="Calibri" w:hAnsi="Calibri" w:cs="Calibri"/>
          <w:szCs w:val="22"/>
          <w:lang w:val="en-US" w:eastAsia="en-US"/>
        </w:rPr>
        <w:t xml:space="preserve">Progress nach Erhaltung </w:t>
      </w:r>
      <w:r>
        <w:rPr>
          <w:rFonts w:ascii="Calibri" w:eastAsia="Calibri" w:hAnsi="Calibri" w:cs="Calibri"/>
          <w:szCs w:val="22"/>
          <w:lang w:val="en-US" w:eastAsia="en-US"/>
        </w:rPr>
        <w:t>eventuell</w:t>
      </w:r>
      <w:r w:rsidRPr="000225FC">
        <w:rPr>
          <w:rFonts w:ascii="Calibri" w:eastAsia="Calibri" w:hAnsi="Calibri" w:cs="Calibri"/>
          <w:szCs w:val="22"/>
          <w:lang w:val="en-US" w:eastAsia="en-US"/>
        </w:rPr>
        <w:t xml:space="preserve"> auch CT-Duplett + Bev ausreichend)</w:t>
      </w:r>
    </w:p>
    <w:p w14:paraId="15C84B16" w14:textId="77777777" w:rsidR="00FF0121" w:rsidRDefault="00FF0121" w:rsidP="00FF0121">
      <w:pPr>
        <w:autoSpaceDE w:val="0"/>
        <w:autoSpaceDN w:val="0"/>
        <w:adjustRightInd w:val="0"/>
        <w:spacing w:after="160" w:line="276" w:lineRule="auto"/>
        <w:contextualSpacing/>
        <w:jc w:val="left"/>
        <w:rPr>
          <w:rFonts w:ascii="Calibri" w:eastAsia="Calibri" w:hAnsi="Calibri" w:cs="Calibri"/>
          <w:szCs w:val="22"/>
          <w:lang w:eastAsia="en-US"/>
        </w:rPr>
      </w:pPr>
    </w:p>
    <w:p w14:paraId="3FF55698" w14:textId="77777777" w:rsidR="00FF0121" w:rsidRPr="00564EAE" w:rsidRDefault="00FF0121" w:rsidP="00FF0121">
      <w:pPr>
        <w:autoSpaceDE w:val="0"/>
        <w:autoSpaceDN w:val="0"/>
        <w:adjustRightInd w:val="0"/>
        <w:spacing w:line="288" w:lineRule="auto"/>
        <w:ind w:left="720" w:hanging="720"/>
        <w:jc w:val="left"/>
        <w:rPr>
          <w:rFonts w:eastAsia="Calibri" w:cs="Arial"/>
          <w:b/>
          <w:szCs w:val="22"/>
          <w:lang w:val="en-GB" w:eastAsia="en-US"/>
        </w:rPr>
      </w:pPr>
      <w:r w:rsidRPr="00564EAE">
        <w:rPr>
          <w:rFonts w:eastAsia="Calibri" w:cs="Arial"/>
          <w:b/>
          <w:szCs w:val="22"/>
          <w:lang w:val="en-GB" w:eastAsia="en-US"/>
        </w:rPr>
        <w:t>4.2.2</w:t>
      </w:r>
      <w:r w:rsidRPr="00564EAE">
        <w:rPr>
          <w:rFonts w:eastAsia="Calibri" w:cs="Arial"/>
          <w:b/>
          <w:szCs w:val="22"/>
          <w:lang w:val="en-GB" w:eastAsia="en-US"/>
        </w:rPr>
        <w:tab/>
        <w:t>Individual Patient Data Meta-Analysis of FOLFOXIRI + Bevacizumab versus</w:t>
      </w:r>
      <w:r w:rsidRPr="00564EAE">
        <w:rPr>
          <w:rFonts w:eastAsia="Calibri" w:cs="Arial"/>
          <w:b/>
          <w:szCs w:val="22"/>
          <w:lang w:val="en-GB" w:eastAsia="en-US"/>
        </w:rPr>
        <w:br/>
        <w:t xml:space="preserve">Doublets + Bevacizumab as initial therapy of unresectable mCRC </w:t>
      </w:r>
      <w:r w:rsidRPr="00564EAE">
        <w:rPr>
          <w:rFonts w:eastAsia="Calibri" w:cs="Arial"/>
          <w:b/>
          <w:szCs w:val="22"/>
          <w:vertAlign w:val="superscript"/>
          <w:lang w:val="en-GB" w:eastAsia="en-US"/>
        </w:rPr>
        <w:t>2)</w:t>
      </w:r>
      <w:r w:rsidRPr="00564EAE">
        <w:rPr>
          <w:rFonts w:eastAsia="Calibri" w:cs="Arial"/>
          <w:b/>
          <w:szCs w:val="22"/>
          <w:lang w:val="en-GB" w:eastAsia="en-US"/>
        </w:rPr>
        <w:t>:</w:t>
      </w:r>
    </w:p>
    <w:p w14:paraId="4207E99F"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rPr>
        <w:t>Meta-Analyse von 5 Studien: CHARTA, OLIVIA, STEAM, TRIBE, TRIBE2</w:t>
      </w:r>
    </w:p>
    <w:p w14:paraId="449A61E3"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rPr>
        <w:t>Primärer Endpunkt war OS.</w:t>
      </w:r>
    </w:p>
    <w:p w14:paraId="71AA153B"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rPr>
        <w:t>Signifikanter OS-Vorteil für FOLFOXIRI + Bev versus Doublets + Bevacizumab:</w:t>
      </w:r>
    </w:p>
    <w:p w14:paraId="24FD7B7C" w14:textId="77777777" w:rsidR="00FF0121" w:rsidRPr="00564EAE" w:rsidRDefault="00FF0121" w:rsidP="00FF0121">
      <w:pPr>
        <w:numPr>
          <w:ilvl w:val="0"/>
          <w:numId w:val="3"/>
        </w:numPr>
        <w:spacing w:after="160" w:line="276" w:lineRule="auto"/>
        <w:ind w:left="426" w:hanging="426"/>
        <w:contextualSpacing/>
        <w:jc w:val="left"/>
        <w:rPr>
          <w:rFonts w:ascii="Calibri" w:hAnsi="Calibri" w:cs="Calibri"/>
          <w:lang w:val="en-GB"/>
        </w:rPr>
      </w:pPr>
      <w:r w:rsidRPr="00564EAE">
        <w:rPr>
          <w:rFonts w:ascii="Calibri" w:hAnsi="Calibri" w:cs="Calibri"/>
          <w:lang w:val="en-GB"/>
        </w:rPr>
        <w:t>Medianes OS 28.9 vs 24.5 Mo (HR 0.81; p &lt; .001)</w:t>
      </w:r>
    </w:p>
    <w:p w14:paraId="2B77120C"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rPr>
        <w:t>Estimated 5-Jahres-OS: 22.3% vs 10.7%</w:t>
      </w:r>
    </w:p>
    <w:p w14:paraId="11FC3393" w14:textId="77777777" w:rsidR="00FF0121" w:rsidRPr="00564EAE" w:rsidRDefault="00FF0121" w:rsidP="00FF0121">
      <w:pPr>
        <w:numPr>
          <w:ilvl w:val="0"/>
          <w:numId w:val="3"/>
        </w:numPr>
        <w:spacing w:after="160" w:line="276" w:lineRule="auto"/>
        <w:ind w:left="426" w:hanging="426"/>
        <w:contextualSpacing/>
        <w:jc w:val="left"/>
        <w:rPr>
          <w:rFonts w:ascii="Calibri" w:hAnsi="Calibri" w:cs="Calibri"/>
          <w:lang w:val="en-GB"/>
        </w:rPr>
      </w:pPr>
      <w:r w:rsidRPr="00564EAE">
        <w:rPr>
          <w:rFonts w:ascii="Calibri" w:hAnsi="Calibri" w:cs="Calibri"/>
          <w:lang w:val="en-GB"/>
        </w:rPr>
        <w:t>Medianes PFS: 12,2 vs 9,9 Mo (HR 0.74; p &lt; .001)</w:t>
      </w:r>
    </w:p>
    <w:p w14:paraId="13534062"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rPr>
        <w:t>ORR: 64.5% vs 53.6%</w:t>
      </w:r>
    </w:p>
    <w:p w14:paraId="7BD9A8FE"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u w:val="single"/>
        </w:rPr>
        <w:t>Größter OS-Vorteil</w:t>
      </w:r>
      <w:r w:rsidRPr="00E4567C">
        <w:rPr>
          <w:rFonts w:ascii="Calibri" w:hAnsi="Calibri" w:cs="Calibri"/>
        </w:rPr>
        <w:t xml:space="preserve"> für Patienten mit rechtsseitigen RAS/BRAF-WT Tumoren</w:t>
      </w:r>
    </w:p>
    <w:p w14:paraId="68351DB8" w14:textId="77777777" w:rsidR="00FF0121" w:rsidRPr="00E4567C" w:rsidRDefault="00FF0121" w:rsidP="00FF0121">
      <w:pPr>
        <w:numPr>
          <w:ilvl w:val="0"/>
          <w:numId w:val="3"/>
        </w:numPr>
        <w:spacing w:after="160" w:line="276" w:lineRule="auto"/>
        <w:ind w:left="426" w:hanging="426"/>
        <w:contextualSpacing/>
        <w:jc w:val="left"/>
        <w:rPr>
          <w:rFonts w:ascii="Calibri" w:hAnsi="Calibri" w:cs="Calibri"/>
        </w:rPr>
      </w:pPr>
      <w:r w:rsidRPr="00E4567C">
        <w:rPr>
          <w:rFonts w:ascii="Calibri" w:hAnsi="Calibri" w:cs="Calibri"/>
          <w:u w:val="single"/>
        </w:rPr>
        <w:t>Kein OS-Benefit</w:t>
      </w:r>
      <w:r w:rsidRPr="00E4567C">
        <w:rPr>
          <w:rFonts w:ascii="Calibri" w:hAnsi="Calibri" w:cs="Calibri"/>
        </w:rPr>
        <w:t xml:space="preserve"> für Patienten mit BRAF-mutierten Tumoren</w:t>
      </w:r>
    </w:p>
    <w:p w14:paraId="58C20903" w14:textId="77777777" w:rsidR="00FF0121" w:rsidRDefault="00FF0121" w:rsidP="00FF0121">
      <w:pPr>
        <w:autoSpaceDE w:val="0"/>
        <w:autoSpaceDN w:val="0"/>
        <w:adjustRightInd w:val="0"/>
        <w:spacing w:after="160" w:line="276" w:lineRule="auto"/>
        <w:contextualSpacing/>
        <w:jc w:val="left"/>
        <w:rPr>
          <w:rFonts w:ascii="Calibri" w:eastAsia="Calibri" w:hAnsi="Calibri" w:cs="Calibri"/>
          <w:szCs w:val="22"/>
          <w:lang w:eastAsia="en-US"/>
        </w:rPr>
      </w:pPr>
    </w:p>
    <w:p w14:paraId="26E0AAE2" w14:textId="77777777" w:rsidR="00FF0121" w:rsidRDefault="00FF0121" w:rsidP="00FF0121">
      <w:pPr>
        <w:autoSpaceDE w:val="0"/>
        <w:autoSpaceDN w:val="0"/>
        <w:adjustRightInd w:val="0"/>
        <w:spacing w:after="160" w:line="276" w:lineRule="auto"/>
        <w:contextualSpacing/>
        <w:jc w:val="left"/>
        <w:rPr>
          <w:rFonts w:ascii="Calibri" w:eastAsia="Calibri" w:hAnsi="Calibri" w:cs="Calibri"/>
          <w:szCs w:val="22"/>
          <w:lang w:eastAsia="en-US"/>
        </w:rPr>
      </w:pPr>
    </w:p>
    <w:p w14:paraId="14085E12" w14:textId="77777777" w:rsidR="00FF0121" w:rsidRDefault="00FF0121" w:rsidP="00FF0121">
      <w:pPr>
        <w:autoSpaceDE w:val="0"/>
        <w:autoSpaceDN w:val="0"/>
        <w:adjustRightInd w:val="0"/>
        <w:spacing w:after="160" w:line="276" w:lineRule="auto"/>
        <w:contextualSpacing/>
        <w:jc w:val="left"/>
        <w:rPr>
          <w:rFonts w:ascii="Calibri" w:eastAsia="Calibri" w:hAnsi="Calibri" w:cs="Calibri"/>
          <w:szCs w:val="22"/>
          <w:lang w:eastAsia="en-US"/>
        </w:rPr>
      </w:pPr>
    </w:p>
    <w:p w14:paraId="200D9456" w14:textId="77777777" w:rsidR="00FF0121" w:rsidRPr="00D443FF" w:rsidRDefault="00FF0121" w:rsidP="00FF0121">
      <w:pPr>
        <w:pStyle w:val="Listenabsatz"/>
        <w:numPr>
          <w:ilvl w:val="0"/>
          <w:numId w:val="43"/>
        </w:numPr>
        <w:autoSpaceDE w:val="0"/>
        <w:autoSpaceDN w:val="0"/>
        <w:adjustRightInd w:val="0"/>
        <w:spacing w:after="160" w:line="288" w:lineRule="auto"/>
        <w:jc w:val="left"/>
        <w:rPr>
          <w:rFonts w:ascii="Calibri" w:eastAsia="Calibri" w:hAnsi="Calibri" w:cs="Calibri"/>
          <w:iCs/>
          <w:sz w:val="18"/>
          <w:szCs w:val="18"/>
          <w:lang w:eastAsia="en-US"/>
        </w:rPr>
      </w:pPr>
      <w:r w:rsidRPr="00D443FF">
        <w:rPr>
          <w:rFonts w:ascii="Calibri" w:eastAsia="Calibri" w:hAnsi="Calibri" w:cs="Calibri"/>
          <w:iCs/>
          <w:sz w:val="18"/>
          <w:szCs w:val="18"/>
          <w:lang w:eastAsia="en-US"/>
        </w:rPr>
        <w:t>Cremolini., ASCO 2019, Abstr 3508</w:t>
      </w:r>
    </w:p>
    <w:bookmarkEnd w:id="86"/>
    <w:p w14:paraId="440058C5" w14:textId="77777777" w:rsidR="00FF0121" w:rsidRPr="00D443FF" w:rsidRDefault="00FF0121" w:rsidP="00FF0121">
      <w:pPr>
        <w:pStyle w:val="Listenabsatz"/>
        <w:numPr>
          <w:ilvl w:val="0"/>
          <w:numId w:val="43"/>
        </w:numPr>
        <w:autoSpaceDE w:val="0"/>
        <w:autoSpaceDN w:val="0"/>
        <w:adjustRightInd w:val="0"/>
        <w:spacing w:after="160" w:line="288" w:lineRule="auto"/>
        <w:jc w:val="left"/>
        <w:rPr>
          <w:rFonts w:ascii="Calibri" w:eastAsia="Calibri" w:hAnsi="Calibri" w:cs="Calibri"/>
          <w:iCs/>
          <w:sz w:val="18"/>
          <w:szCs w:val="18"/>
          <w:lang w:eastAsia="en-US"/>
        </w:rPr>
      </w:pPr>
      <w:r w:rsidRPr="00564EAE">
        <w:rPr>
          <w:rFonts w:ascii="Calibri" w:eastAsia="Calibri" w:hAnsi="Calibri" w:cs="Calibri"/>
          <w:iCs/>
          <w:sz w:val="18"/>
          <w:szCs w:val="18"/>
          <w:lang w:val="en-GB" w:eastAsia="en-US"/>
        </w:rPr>
        <w:t xml:space="preserve">Cremolini et al, J Clin Oncol . </w:t>
      </w:r>
      <w:r w:rsidRPr="00F845E1">
        <w:rPr>
          <w:rFonts w:ascii="Calibri" w:eastAsia="Calibri" w:hAnsi="Calibri" w:cs="Calibri"/>
          <w:iCs/>
          <w:sz w:val="18"/>
          <w:szCs w:val="18"/>
          <w:lang w:eastAsia="en-US"/>
        </w:rPr>
        <w:t>2020 Aug 20</w:t>
      </w:r>
    </w:p>
    <w:p w14:paraId="5C5A59E0" w14:textId="77777777" w:rsidR="008D499A" w:rsidRPr="00B163F5" w:rsidRDefault="008D499A" w:rsidP="008D499A">
      <w:pPr>
        <w:keepNext/>
        <w:spacing w:before="240" w:after="60"/>
        <w:ind w:left="705" w:hanging="705"/>
        <w:jc w:val="left"/>
        <w:outlineLvl w:val="1"/>
        <w:rPr>
          <w:rFonts w:cs="Arial"/>
          <w:b/>
          <w:bCs/>
          <w:i/>
          <w:iCs/>
          <w:sz w:val="24"/>
          <w:szCs w:val="24"/>
          <w:lang w:val="de-DE" w:eastAsia="de-AT"/>
        </w:rPr>
      </w:pPr>
      <w:bookmarkStart w:id="88" w:name="_Toc93523309"/>
      <w:bookmarkStart w:id="89" w:name="_Toc24906341"/>
      <w:r>
        <w:rPr>
          <w:rFonts w:cs="Arial"/>
          <w:b/>
          <w:bCs/>
          <w:i/>
          <w:iCs/>
          <w:sz w:val="24"/>
          <w:szCs w:val="24"/>
          <w:lang w:val="de-DE" w:eastAsia="de-AT"/>
        </w:rPr>
        <w:lastRenderedPageBreak/>
        <w:t>4.3</w:t>
      </w:r>
      <w:r w:rsidRPr="00B163F5">
        <w:rPr>
          <w:rFonts w:cs="Arial"/>
          <w:b/>
          <w:bCs/>
          <w:i/>
          <w:iCs/>
          <w:sz w:val="24"/>
          <w:szCs w:val="24"/>
          <w:lang w:val="de-DE" w:eastAsia="de-AT"/>
        </w:rPr>
        <w:tab/>
        <w:t>Immuntherapie beim metastasierten CRC</w:t>
      </w:r>
      <w:bookmarkEnd w:id="88"/>
    </w:p>
    <w:p w14:paraId="1136DE30" w14:textId="77777777" w:rsidR="008D499A" w:rsidRPr="00AF6683" w:rsidRDefault="008D499A" w:rsidP="008D499A">
      <w:pPr>
        <w:autoSpaceDE w:val="0"/>
        <w:autoSpaceDN w:val="0"/>
        <w:adjustRightInd w:val="0"/>
        <w:spacing w:line="288" w:lineRule="auto"/>
        <w:jc w:val="left"/>
        <w:rPr>
          <w:rFonts w:eastAsia="Calibri" w:cs="Arial"/>
          <w:b/>
          <w:szCs w:val="22"/>
          <w:lang w:eastAsia="en-US"/>
        </w:rPr>
      </w:pPr>
      <w:bookmarkStart w:id="90" w:name="_Hlk93176364"/>
      <w:bookmarkEnd w:id="89"/>
      <w:r>
        <w:rPr>
          <w:rFonts w:eastAsia="Calibri" w:cs="Arial"/>
          <w:b/>
          <w:szCs w:val="22"/>
          <w:lang w:eastAsia="en-US"/>
        </w:rPr>
        <w:t>4.3.1</w:t>
      </w:r>
      <w:r>
        <w:rPr>
          <w:rFonts w:eastAsia="Calibri" w:cs="Arial"/>
          <w:b/>
          <w:szCs w:val="22"/>
          <w:lang w:eastAsia="en-US"/>
        </w:rPr>
        <w:tab/>
      </w:r>
      <w:r w:rsidRPr="00AF6683">
        <w:rPr>
          <w:rFonts w:eastAsia="Calibri" w:cs="Arial"/>
          <w:b/>
          <w:szCs w:val="22"/>
          <w:lang w:eastAsia="en-US"/>
        </w:rPr>
        <w:t>Pembrolizumab – Keynote 177-Studie:</w:t>
      </w:r>
    </w:p>
    <w:p w14:paraId="00F69BED" w14:textId="77777777" w:rsidR="00DD55BD" w:rsidRPr="009247D3" w:rsidRDefault="008D499A" w:rsidP="00DD55BD">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Pembrolizumab</w:t>
      </w:r>
      <w:r w:rsidR="00DD55BD" w:rsidRPr="009247D3">
        <w:rPr>
          <w:rFonts w:ascii="Calibri" w:eastAsia="Calibri" w:hAnsi="Calibri" w:cs="Calibri"/>
          <w:szCs w:val="22"/>
          <w:lang w:eastAsia="en-US"/>
        </w:rPr>
        <w:t xml:space="preserve"> als Monotherapie</w:t>
      </w:r>
      <w:r w:rsidRPr="009247D3">
        <w:rPr>
          <w:rFonts w:ascii="Calibri" w:eastAsia="Calibri" w:hAnsi="Calibri" w:cs="Calibri"/>
          <w:szCs w:val="22"/>
          <w:lang w:eastAsia="en-US"/>
        </w:rPr>
        <w:t xml:space="preserve"> wurde 2021 von der EMA </w:t>
      </w:r>
      <w:r w:rsidR="00DD55BD" w:rsidRPr="009247D3">
        <w:rPr>
          <w:rFonts w:ascii="Calibri" w:eastAsia="Calibri" w:hAnsi="Calibri" w:cs="Calibri"/>
          <w:szCs w:val="22"/>
          <w:lang w:eastAsia="en-US"/>
        </w:rPr>
        <w:t xml:space="preserve">zur Erstlinienbehandlung des </w:t>
      </w:r>
    </w:p>
    <w:p w14:paraId="0FC88753" w14:textId="77777777" w:rsidR="008D499A" w:rsidRPr="009247D3" w:rsidRDefault="008D499A" w:rsidP="00DD55BD">
      <w:pPr>
        <w:autoSpaceDE w:val="0"/>
        <w:autoSpaceDN w:val="0"/>
        <w:adjustRightInd w:val="0"/>
        <w:spacing w:after="160" w:line="276" w:lineRule="auto"/>
        <w:ind w:left="360"/>
        <w:contextualSpacing/>
        <w:jc w:val="left"/>
        <w:rPr>
          <w:rFonts w:ascii="Calibri" w:eastAsia="Calibri" w:hAnsi="Calibri" w:cs="Calibri"/>
          <w:szCs w:val="22"/>
          <w:lang w:eastAsia="en-US"/>
        </w:rPr>
      </w:pPr>
      <w:r w:rsidRPr="009247D3">
        <w:rPr>
          <w:rFonts w:ascii="Calibri" w:eastAsia="Calibri" w:hAnsi="Calibri" w:cs="Calibri"/>
          <w:szCs w:val="22"/>
          <w:lang w:eastAsia="en-US"/>
        </w:rPr>
        <w:t xml:space="preserve">metastasiertem CRC </w:t>
      </w:r>
      <w:r w:rsidR="00DD55BD" w:rsidRPr="009247D3">
        <w:rPr>
          <w:rFonts w:ascii="Calibri" w:eastAsia="Calibri" w:hAnsi="Calibri" w:cs="Calibri"/>
          <w:szCs w:val="22"/>
          <w:lang w:eastAsia="en-US"/>
        </w:rPr>
        <w:t>mit</w:t>
      </w:r>
      <w:r w:rsidRPr="009247D3">
        <w:rPr>
          <w:rFonts w:ascii="Calibri" w:eastAsia="Calibri" w:hAnsi="Calibri" w:cs="Calibri"/>
          <w:szCs w:val="22"/>
          <w:lang w:eastAsia="en-US"/>
        </w:rPr>
        <w:t xml:space="preserve"> </w:t>
      </w:r>
      <w:r w:rsidR="00DD55BD" w:rsidRPr="009247D3">
        <w:rPr>
          <w:rFonts w:ascii="Calibri" w:eastAsia="Calibri" w:hAnsi="Calibri" w:cs="Calibri"/>
          <w:szCs w:val="22"/>
          <w:lang w:eastAsia="en-US"/>
        </w:rPr>
        <w:t>M</w:t>
      </w:r>
      <w:r w:rsidRPr="009247D3">
        <w:rPr>
          <w:rFonts w:ascii="Calibri" w:eastAsia="Calibri" w:hAnsi="Calibri" w:cs="Calibri"/>
          <w:szCs w:val="22"/>
          <w:lang w:eastAsia="en-US"/>
        </w:rPr>
        <w:t>ikrosatelliten-Instabilität (MSI-H oder dMMR) zugelassen.</w:t>
      </w:r>
    </w:p>
    <w:p w14:paraId="1AFC45C9" w14:textId="77777777" w:rsidR="008D499A"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B163F5">
        <w:rPr>
          <w:rFonts w:ascii="Calibri" w:eastAsia="Calibri" w:hAnsi="Calibri" w:cs="Calibri"/>
          <w:szCs w:val="22"/>
          <w:lang w:eastAsia="en-US"/>
        </w:rPr>
        <w:t xml:space="preserve">Die Zulassung basiert auf </w:t>
      </w:r>
      <w:r>
        <w:rPr>
          <w:rFonts w:ascii="Calibri" w:eastAsia="Calibri" w:hAnsi="Calibri" w:cs="Calibri"/>
          <w:szCs w:val="22"/>
          <w:lang w:eastAsia="en-US"/>
        </w:rPr>
        <w:t>den Daten der Keynote 177-Studie.</w:t>
      </w:r>
    </w:p>
    <w:bookmarkEnd w:id="90"/>
    <w:p w14:paraId="5B0DEBB3" w14:textId="77777777" w:rsidR="008D499A" w:rsidRPr="00177C77"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b/>
          <w:bCs/>
          <w:szCs w:val="22"/>
          <w:lang w:eastAsia="en-US"/>
        </w:rPr>
      </w:pPr>
      <w:r w:rsidRPr="00177C77">
        <w:rPr>
          <w:rFonts w:ascii="Calibri" w:eastAsia="Calibri" w:hAnsi="Calibri" w:cs="Calibri"/>
          <w:b/>
          <w:bCs/>
          <w:noProof/>
          <w:szCs w:val="22"/>
          <w:lang w:eastAsia="de-AT"/>
        </w:rPr>
        <w:drawing>
          <wp:anchor distT="0" distB="0" distL="114300" distR="114300" simplePos="0" relativeHeight="251660800" behindDoc="0" locked="0" layoutInCell="1" allowOverlap="1" wp14:anchorId="7510E407" wp14:editId="2408D32F">
            <wp:simplePos x="0" y="0"/>
            <wp:positionH relativeFrom="margin">
              <wp:posOffset>-635</wp:posOffset>
            </wp:positionH>
            <wp:positionV relativeFrom="paragraph">
              <wp:posOffset>313055</wp:posOffset>
            </wp:positionV>
            <wp:extent cx="5774055" cy="1329690"/>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4055" cy="1329690"/>
                    </a:xfrm>
                    <a:prstGeom prst="rect">
                      <a:avLst/>
                    </a:prstGeom>
                    <a:noFill/>
                  </pic:spPr>
                </pic:pic>
              </a:graphicData>
            </a:graphic>
            <wp14:sizeRelH relativeFrom="margin">
              <wp14:pctWidth>0</wp14:pctWidth>
            </wp14:sizeRelH>
            <wp14:sizeRelV relativeFrom="margin">
              <wp14:pctHeight>0</wp14:pctHeight>
            </wp14:sizeRelV>
          </wp:anchor>
        </w:drawing>
      </w:r>
      <w:r w:rsidRPr="00177C77">
        <w:rPr>
          <w:rFonts w:ascii="Calibri" w:eastAsia="Calibri" w:hAnsi="Calibri" w:cs="Calibri"/>
          <w:b/>
          <w:bCs/>
          <w:szCs w:val="22"/>
          <w:lang w:eastAsia="en-US"/>
        </w:rPr>
        <w:t xml:space="preserve">Keynote 177-Studie (ASCO </w:t>
      </w:r>
      <w:bookmarkStart w:id="91" w:name="_Hlk93177155"/>
      <w:r w:rsidRPr="00177C77">
        <w:rPr>
          <w:rFonts w:ascii="Calibri" w:eastAsia="Calibri" w:hAnsi="Calibri" w:cs="Calibri"/>
          <w:b/>
          <w:bCs/>
          <w:szCs w:val="22"/>
          <w:lang w:eastAsia="en-US"/>
        </w:rPr>
        <w:t xml:space="preserve">2020) </w:t>
      </w:r>
      <w:r w:rsidRPr="00177C77">
        <w:rPr>
          <w:rFonts w:eastAsia="Calibri" w:cs="Arial"/>
          <w:b/>
          <w:bCs/>
          <w:szCs w:val="22"/>
          <w:vertAlign w:val="superscript"/>
          <w:lang w:eastAsia="en-US"/>
        </w:rPr>
        <w:t>1)</w:t>
      </w:r>
      <w:r w:rsidRPr="00177C77">
        <w:rPr>
          <w:rFonts w:eastAsia="Calibri" w:cs="Arial"/>
          <w:b/>
          <w:bCs/>
          <w:szCs w:val="22"/>
          <w:lang w:eastAsia="en-US"/>
        </w:rPr>
        <w:t>:</w:t>
      </w:r>
      <w:bookmarkEnd w:id="91"/>
      <w:r w:rsidRPr="00177C77">
        <w:rPr>
          <w:rFonts w:ascii="Calibri" w:hAnsi="Calibri" w:cs="Calibri"/>
          <w:b/>
          <w:bCs/>
          <w:noProof/>
          <w:lang w:eastAsia="de-AT"/>
        </w:rPr>
        <w:drawing>
          <wp:anchor distT="0" distB="0" distL="114300" distR="114300" simplePos="0" relativeHeight="251661824" behindDoc="0" locked="0" layoutInCell="1" allowOverlap="1" wp14:anchorId="019A889F" wp14:editId="2077E75F">
            <wp:simplePos x="0" y="0"/>
            <wp:positionH relativeFrom="column">
              <wp:posOffset>4673600</wp:posOffset>
            </wp:positionH>
            <wp:positionV relativeFrom="paragraph">
              <wp:posOffset>1151255</wp:posOffset>
            </wp:positionV>
            <wp:extent cx="932180" cy="190500"/>
            <wp:effectExtent l="0" t="0" r="1270" b="0"/>
            <wp:wrapThrough wrapText="bothSides">
              <wp:wrapPolygon edited="0">
                <wp:start x="14567" y="0"/>
                <wp:lineTo x="0" y="6480"/>
                <wp:lineTo x="0" y="19440"/>
                <wp:lineTo x="21188" y="19440"/>
                <wp:lineTo x="21188" y="0"/>
                <wp:lineTo x="14567"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180" cy="190500"/>
                    </a:xfrm>
                    <a:prstGeom prst="rect">
                      <a:avLst/>
                    </a:prstGeom>
                    <a:noFill/>
                  </pic:spPr>
                </pic:pic>
              </a:graphicData>
            </a:graphic>
            <wp14:sizeRelH relativeFrom="margin">
              <wp14:pctWidth>0</wp14:pctWidth>
            </wp14:sizeRelH>
            <wp14:sizeRelV relativeFrom="margin">
              <wp14:pctHeight>0</wp14:pctHeight>
            </wp14:sizeRelV>
          </wp:anchor>
        </w:drawing>
      </w:r>
    </w:p>
    <w:p w14:paraId="401812A6" w14:textId="77777777" w:rsidR="008D499A" w:rsidRPr="004D039A" w:rsidRDefault="008D499A" w:rsidP="008D499A">
      <w:pPr>
        <w:autoSpaceDE w:val="0"/>
        <w:autoSpaceDN w:val="0"/>
        <w:adjustRightInd w:val="0"/>
        <w:spacing w:after="160" w:line="276" w:lineRule="auto"/>
        <w:ind w:left="360"/>
        <w:contextualSpacing/>
        <w:jc w:val="left"/>
        <w:rPr>
          <w:rFonts w:ascii="Calibri" w:eastAsia="Calibri" w:hAnsi="Calibri" w:cs="Calibri"/>
          <w:sz w:val="16"/>
          <w:szCs w:val="16"/>
          <w:lang w:eastAsia="en-US"/>
        </w:rPr>
      </w:pPr>
    </w:p>
    <w:p w14:paraId="76903993"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4D039A">
        <w:rPr>
          <w:rFonts w:ascii="Calibri" w:eastAsia="Calibri" w:hAnsi="Calibri" w:cs="Calibri"/>
          <w:szCs w:val="22"/>
          <w:lang w:eastAsia="en-US"/>
        </w:rPr>
        <w:t>Phase-III-Studie bei nicht vorbehandelten Patienten mit CRC im Stadium</w:t>
      </w:r>
      <w:r>
        <w:rPr>
          <w:rFonts w:ascii="Calibri" w:eastAsia="Calibri" w:hAnsi="Calibri" w:cs="Calibri"/>
          <w:szCs w:val="22"/>
          <w:lang w:eastAsia="en-US"/>
        </w:rPr>
        <w:t xml:space="preserve"> IV</w:t>
      </w:r>
    </w:p>
    <w:p w14:paraId="15FDC35A"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noProof/>
          <w:szCs w:val="22"/>
          <w:lang w:eastAsia="de-AT"/>
        </w:rPr>
        <w:drawing>
          <wp:anchor distT="0" distB="0" distL="114300" distR="114300" simplePos="0" relativeHeight="251664896" behindDoc="0" locked="0" layoutInCell="1" allowOverlap="1" wp14:anchorId="32F3F66A" wp14:editId="544109C0">
            <wp:simplePos x="0" y="0"/>
            <wp:positionH relativeFrom="margin">
              <wp:align>center</wp:align>
            </wp:positionH>
            <wp:positionV relativeFrom="paragraph">
              <wp:posOffset>551815</wp:posOffset>
            </wp:positionV>
            <wp:extent cx="3911600" cy="2214911"/>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1600" cy="2214911"/>
                    </a:xfrm>
                    <a:prstGeom prst="rect">
                      <a:avLst/>
                    </a:prstGeom>
                    <a:noFill/>
                  </pic:spPr>
                </pic:pic>
              </a:graphicData>
            </a:graphic>
          </wp:anchor>
        </w:drawing>
      </w:r>
      <w:r>
        <w:rPr>
          <w:rFonts w:ascii="Calibri" w:eastAsia="Calibri" w:hAnsi="Calibri" w:cs="Calibri"/>
          <w:szCs w:val="22"/>
          <w:lang w:eastAsia="en-US"/>
        </w:rPr>
        <w:t xml:space="preserve">Unter </w:t>
      </w:r>
      <w:r w:rsidRPr="004D039A">
        <w:rPr>
          <w:rFonts w:ascii="Calibri" w:eastAsia="Calibri" w:hAnsi="Calibri" w:cs="Calibri"/>
          <w:szCs w:val="22"/>
          <w:lang w:eastAsia="en-US"/>
        </w:rPr>
        <w:t>Pembrolizumab signifikante und klinisch bedeutende Verbesserung des Outcomes versus Standard-Therapie bei nicht vorbehandelten Patienten mit MSI-H mCRC</w:t>
      </w:r>
    </w:p>
    <w:p w14:paraId="433C0C6B" w14:textId="77777777" w:rsidR="008D499A" w:rsidRDefault="008D499A" w:rsidP="008D499A">
      <w:pPr>
        <w:autoSpaceDE w:val="0"/>
        <w:autoSpaceDN w:val="0"/>
        <w:adjustRightInd w:val="0"/>
        <w:spacing w:after="160" w:line="276" w:lineRule="auto"/>
        <w:ind w:left="1080"/>
        <w:contextualSpacing/>
        <w:jc w:val="left"/>
        <w:rPr>
          <w:rFonts w:ascii="Calibri" w:eastAsia="Calibri" w:hAnsi="Calibri" w:cs="Calibri"/>
          <w:szCs w:val="22"/>
          <w:lang w:eastAsia="en-US"/>
        </w:rPr>
      </w:pPr>
    </w:p>
    <w:p w14:paraId="71B52B9A" w14:textId="77777777" w:rsidR="008D499A" w:rsidRPr="00564EAE"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Median PFS: 16.5 vs 8.2 Mo (HR: 0.60, 95% CI 0.45-0.80; P = .0002)</w:t>
      </w:r>
    </w:p>
    <w:p w14:paraId="4E569EC4"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CD0EFE">
        <w:rPr>
          <w:rFonts w:ascii="Calibri" w:eastAsia="Calibri" w:hAnsi="Calibri" w:cs="Calibri"/>
          <w:szCs w:val="22"/>
          <w:lang w:eastAsia="en-US"/>
        </w:rPr>
        <w:t>ORR: 43.8% vs 33.1% (P = .0275)</w:t>
      </w:r>
    </w:p>
    <w:p w14:paraId="6C15ADBA" w14:textId="77777777" w:rsidR="008D499A" w:rsidRPr="00564EAE"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Median DoR (Duration of Response): not reached vs 10.6 mos</w:t>
      </w:r>
    </w:p>
    <w:p w14:paraId="16B6A153"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 xml:space="preserve">Deutlich bessere Verträglichkeit von </w:t>
      </w:r>
      <w:r w:rsidRPr="00CD0EFE">
        <w:rPr>
          <w:rFonts w:ascii="Calibri" w:eastAsia="Calibri" w:hAnsi="Calibri" w:cs="Calibri"/>
          <w:szCs w:val="22"/>
          <w:lang w:eastAsia="en-US"/>
        </w:rPr>
        <w:t>Pembrolizumab v</w:t>
      </w:r>
      <w:r>
        <w:rPr>
          <w:rFonts w:ascii="Calibri" w:eastAsia="Calibri" w:hAnsi="Calibri" w:cs="Calibri"/>
          <w:szCs w:val="22"/>
          <w:lang w:eastAsia="en-US"/>
        </w:rPr>
        <w:t>ersus C</w:t>
      </w:r>
      <w:r w:rsidRPr="00CD0EFE">
        <w:rPr>
          <w:rFonts w:ascii="Calibri" w:eastAsia="Calibri" w:hAnsi="Calibri" w:cs="Calibri"/>
          <w:szCs w:val="22"/>
          <w:lang w:eastAsia="en-US"/>
        </w:rPr>
        <w:t>hemotherap</w:t>
      </w:r>
      <w:r>
        <w:rPr>
          <w:rFonts w:ascii="Calibri" w:eastAsia="Calibri" w:hAnsi="Calibri" w:cs="Calibri"/>
          <w:szCs w:val="22"/>
          <w:lang w:eastAsia="en-US"/>
        </w:rPr>
        <w:t>ie</w:t>
      </w:r>
      <w:r>
        <w:rPr>
          <w:rFonts w:ascii="Calibri" w:eastAsia="Calibri" w:hAnsi="Calibri" w:cs="Calibri"/>
          <w:szCs w:val="22"/>
          <w:lang w:eastAsia="en-US"/>
        </w:rPr>
        <w:br/>
        <w:t>(</w:t>
      </w:r>
      <w:r w:rsidRPr="00CD0EFE">
        <w:rPr>
          <w:rFonts w:ascii="Calibri" w:eastAsia="Calibri" w:hAnsi="Calibri" w:cs="Calibri"/>
          <w:szCs w:val="22"/>
          <w:lang w:eastAsia="en-US"/>
        </w:rPr>
        <w:t>Grad ≥ 3 treatment-related AEs: 22% vs 66%</w:t>
      </w:r>
      <w:r>
        <w:rPr>
          <w:rFonts w:ascii="Calibri" w:eastAsia="Calibri" w:hAnsi="Calibri" w:cs="Calibri"/>
          <w:szCs w:val="22"/>
          <w:lang w:eastAsia="en-US"/>
        </w:rPr>
        <w:t>)</w:t>
      </w:r>
    </w:p>
    <w:p w14:paraId="77579E3A" w14:textId="77777777" w:rsidR="008D499A" w:rsidRPr="00D1368C"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D1368C">
        <w:rPr>
          <w:rFonts w:ascii="Calibri" w:eastAsia="Calibri" w:hAnsi="Calibri" w:cs="Calibri"/>
          <w:szCs w:val="22"/>
          <w:lang w:eastAsia="en-US"/>
        </w:rPr>
        <w:t>CAVE: unter Pembrolizumab mehr Therapieversagen als unter Chemotherapie</w:t>
      </w:r>
    </w:p>
    <w:p w14:paraId="775E164C" w14:textId="77777777" w:rsidR="008D499A" w:rsidRPr="00D1368C"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D1368C">
        <w:rPr>
          <w:rFonts w:ascii="Calibri" w:eastAsia="Calibri" w:hAnsi="Calibri" w:cs="Calibri"/>
          <w:szCs w:val="22"/>
          <w:lang w:eastAsia="en-US"/>
        </w:rPr>
        <w:t xml:space="preserve">(PD 29,4 % vs. 12,3%) </w:t>
      </w:r>
      <w:r w:rsidRPr="002C6FF2">
        <w:rPr>
          <w:rFonts w:ascii="Calibri" w:eastAsia="Calibri" w:hAnsi="Calibri" w:cs="Calibri"/>
          <w:szCs w:val="22"/>
          <w:lang w:eastAsia="en-US"/>
        </w:rPr>
        <w:sym w:font="Wingdings" w:char="F0E0"/>
      </w:r>
      <w:r w:rsidRPr="00D1368C">
        <w:rPr>
          <w:rFonts w:ascii="Calibri" w:eastAsia="Calibri" w:hAnsi="Calibri" w:cs="Calibri"/>
          <w:szCs w:val="22"/>
          <w:lang w:eastAsia="en-US"/>
        </w:rPr>
        <w:t xml:space="preserve"> kurzfristiges Restaging nach 8 – 10 Wochen empfohlen</w:t>
      </w:r>
    </w:p>
    <w:p w14:paraId="6F8A4BEE"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Update ASCO 2021:</w:t>
      </w:r>
    </w:p>
    <w:p w14:paraId="278FE013"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PFS2: 54,0 vs. 24,9 Mo (HR 0,61, 95% CI 0,55-0,83)</w:t>
      </w:r>
    </w:p>
    <w:p w14:paraId="5594010F"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Medianes OS: not reached vs. 36,7 Mo (HR 0,74), statistisch nicht signifikant</w:t>
      </w:r>
    </w:p>
    <w:p w14:paraId="29F97338"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Pembrolizumab auch in der Subgruppe mit BRAF-mutierten Tumoren wirksam</w:t>
      </w:r>
    </w:p>
    <w:p w14:paraId="61C5EBDB" w14:textId="77777777" w:rsidR="008D499A" w:rsidRDefault="008D499A" w:rsidP="008D499A">
      <w:pPr>
        <w:autoSpaceDE w:val="0"/>
        <w:autoSpaceDN w:val="0"/>
        <w:adjustRightInd w:val="0"/>
        <w:spacing w:line="288" w:lineRule="auto"/>
        <w:jc w:val="left"/>
        <w:rPr>
          <w:rFonts w:ascii="Calibri" w:eastAsia="Calibri" w:hAnsi="Calibri" w:cs="Calibri"/>
          <w:szCs w:val="22"/>
          <w:lang w:eastAsia="en-US"/>
        </w:rPr>
      </w:pPr>
    </w:p>
    <w:p w14:paraId="00F61976" w14:textId="77777777" w:rsidR="008D499A" w:rsidRPr="00564EAE" w:rsidRDefault="008D499A" w:rsidP="008D499A">
      <w:pPr>
        <w:pStyle w:val="Listenabsatz"/>
        <w:numPr>
          <w:ilvl w:val="0"/>
          <w:numId w:val="35"/>
        </w:numPr>
        <w:autoSpaceDE w:val="0"/>
        <w:autoSpaceDN w:val="0"/>
        <w:adjustRightInd w:val="0"/>
        <w:spacing w:after="160" w:line="288" w:lineRule="auto"/>
        <w:jc w:val="left"/>
        <w:rPr>
          <w:rFonts w:ascii="Calibri" w:eastAsia="Calibri" w:hAnsi="Calibri" w:cs="Calibri"/>
          <w:sz w:val="18"/>
          <w:szCs w:val="18"/>
          <w:lang w:val="en-GB" w:eastAsia="en-US"/>
        </w:rPr>
      </w:pPr>
      <w:r w:rsidRPr="00564EAE">
        <w:rPr>
          <w:rFonts w:ascii="Calibri" w:eastAsia="Calibri" w:hAnsi="Calibri" w:cs="Calibri"/>
          <w:sz w:val="18"/>
          <w:szCs w:val="18"/>
          <w:lang w:val="en-GB" w:eastAsia="en-US"/>
        </w:rPr>
        <w:t>Andre et al., ASCO 2020, Abstract LBA4</w:t>
      </w:r>
    </w:p>
    <w:p w14:paraId="7C3B82BB" w14:textId="77777777" w:rsidR="008D499A" w:rsidRDefault="008D499A" w:rsidP="008D499A">
      <w:pPr>
        <w:autoSpaceDE w:val="0"/>
        <w:autoSpaceDN w:val="0"/>
        <w:adjustRightInd w:val="0"/>
        <w:spacing w:line="288" w:lineRule="auto"/>
        <w:jc w:val="left"/>
        <w:rPr>
          <w:rFonts w:ascii="Calibri" w:eastAsia="Calibri" w:hAnsi="Calibri" w:cs="Calibri"/>
          <w:szCs w:val="22"/>
          <w:lang w:val="en-GB" w:eastAsia="en-US"/>
        </w:rPr>
      </w:pPr>
    </w:p>
    <w:p w14:paraId="121328FD" w14:textId="77777777" w:rsidR="007F743D" w:rsidRPr="00564EAE" w:rsidRDefault="007F743D" w:rsidP="008D499A">
      <w:pPr>
        <w:autoSpaceDE w:val="0"/>
        <w:autoSpaceDN w:val="0"/>
        <w:adjustRightInd w:val="0"/>
        <w:spacing w:line="288" w:lineRule="auto"/>
        <w:jc w:val="left"/>
        <w:rPr>
          <w:rFonts w:ascii="Calibri" w:eastAsia="Calibri" w:hAnsi="Calibri" w:cs="Calibri"/>
          <w:szCs w:val="22"/>
          <w:lang w:val="en-GB" w:eastAsia="en-US"/>
        </w:rPr>
      </w:pPr>
    </w:p>
    <w:p w14:paraId="041823E4" w14:textId="77777777" w:rsidR="008D499A" w:rsidRPr="00B163F5" w:rsidRDefault="008D499A" w:rsidP="008D499A">
      <w:pPr>
        <w:autoSpaceDE w:val="0"/>
        <w:autoSpaceDN w:val="0"/>
        <w:adjustRightInd w:val="0"/>
        <w:spacing w:line="288" w:lineRule="auto"/>
        <w:jc w:val="left"/>
        <w:rPr>
          <w:rFonts w:ascii="Calibri" w:eastAsia="Calibri" w:hAnsi="Calibri" w:cs="Calibri"/>
          <w:szCs w:val="22"/>
          <w:lang w:eastAsia="en-US"/>
        </w:rPr>
      </w:pPr>
      <w:r>
        <w:rPr>
          <w:rFonts w:eastAsia="Calibri" w:cs="Arial"/>
          <w:b/>
          <w:szCs w:val="22"/>
          <w:lang w:eastAsia="en-US"/>
        </w:rPr>
        <w:lastRenderedPageBreak/>
        <w:t>4.3</w:t>
      </w:r>
      <w:r w:rsidRPr="00B163F5">
        <w:rPr>
          <w:rFonts w:eastAsia="Calibri" w:cs="Arial"/>
          <w:b/>
          <w:szCs w:val="22"/>
          <w:lang w:eastAsia="en-US"/>
        </w:rPr>
        <w:t>.</w:t>
      </w:r>
      <w:r>
        <w:rPr>
          <w:rFonts w:eastAsia="Calibri" w:cs="Arial"/>
          <w:b/>
          <w:szCs w:val="22"/>
          <w:lang w:eastAsia="en-US"/>
        </w:rPr>
        <w:t>2</w:t>
      </w:r>
      <w:r w:rsidRPr="00B163F5">
        <w:rPr>
          <w:rFonts w:eastAsia="Calibri" w:cs="Arial"/>
          <w:b/>
          <w:szCs w:val="22"/>
          <w:lang w:eastAsia="en-US"/>
        </w:rPr>
        <w:tab/>
        <w:t>Nivolumab</w:t>
      </w:r>
      <w:r>
        <w:rPr>
          <w:rFonts w:eastAsia="Calibri" w:cs="Arial"/>
          <w:b/>
          <w:szCs w:val="22"/>
          <w:lang w:eastAsia="en-US"/>
        </w:rPr>
        <w:t xml:space="preserve"> – Checkmate </w:t>
      </w:r>
      <w:bookmarkStart w:id="92" w:name="_Hlk93177274"/>
      <w:r>
        <w:rPr>
          <w:rFonts w:eastAsia="Calibri" w:cs="Arial"/>
          <w:b/>
          <w:szCs w:val="22"/>
          <w:lang w:eastAsia="en-US"/>
        </w:rPr>
        <w:t>142-Studie</w:t>
      </w:r>
      <w:r w:rsidRPr="00177C77">
        <w:rPr>
          <w:rFonts w:ascii="Calibri" w:eastAsia="Calibri" w:hAnsi="Calibri" w:cs="Calibri"/>
          <w:b/>
          <w:bCs/>
          <w:szCs w:val="22"/>
          <w:lang w:eastAsia="en-US"/>
        </w:rPr>
        <w:t xml:space="preserve"> </w:t>
      </w:r>
      <w:r w:rsidRPr="00177C77">
        <w:rPr>
          <w:rFonts w:eastAsia="Calibri" w:cs="Arial"/>
          <w:b/>
          <w:bCs/>
          <w:szCs w:val="22"/>
          <w:vertAlign w:val="superscript"/>
          <w:lang w:eastAsia="en-US"/>
        </w:rPr>
        <w:t>1)</w:t>
      </w:r>
      <w:r w:rsidRPr="00177C77">
        <w:rPr>
          <w:rFonts w:eastAsia="Calibri" w:cs="Arial"/>
          <w:b/>
          <w:bCs/>
          <w:szCs w:val="22"/>
          <w:lang w:eastAsia="en-US"/>
        </w:rPr>
        <w:t>:</w:t>
      </w:r>
    </w:p>
    <w:bookmarkEnd w:id="92"/>
    <w:p w14:paraId="2D259B3A"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Nivolumab in Kombination mit Ipilimumab wurde 2021 von der EMA für die Secondline-Therapie von Patienten mit metastasiertem CRC und nachgewiesener Mikrosatelliten-Instabilität (MSI-H oder dMMR) zugelasssen.</w:t>
      </w:r>
    </w:p>
    <w:p w14:paraId="16C0B8CB" w14:textId="77777777" w:rsidR="008D499A" w:rsidRPr="00B163F5"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B163F5">
        <w:rPr>
          <w:rFonts w:ascii="Calibri" w:eastAsia="Calibri" w:hAnsi="Calibri" w:cs="Calibri"/>
          <w:szCs w:val="22"/>
          <w:lang w:eastAsia="en-US"/>
        </w:rPr>
        <w:t>Die Zulassung basiert auf Daten der Checkmate 142-Studie.</w:t>
      </w:r>
    </w:p>
    <w:p w14:paraId="7A7E0A7A" w14:textId="77777777" w:rsidR="008D499A" w:rsidRPr="00177C77"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b/>
          <w:bCs/>
          <w:szCs w:val="22"/>
          <w:lang w:eastAsia="en-US"/>
        </w:rPr>
      </w:pPr>
      <w:r w:rsidRPr="00177C77">
        <w:rPr>
          <w:rFonts w:ascii="Calibri" w:eastAsia="Calibri" w:hAnsi="Calibri" w:cs="Calibri"/>
          <w:b/>
          <w:bCs/>
          <w:szCs w:val="22"/>
          <w:lang w:eastAsia="en-US"/>
        </w:rPr>
        <w:t xml:space="preserve">Checkmate 142-Studie: </w:t>
      </w:r>
    </w:p>
    <w:p w14:paraId="5064D624"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Phase-II-Sudie</w:t>
      </w:r>
      <w:r w:rsidRPr="00B163F5">
        <w:rPr>
          <w:rFonts w:ascii="Calibri" w:eastAsia="Calibri" w:hAnsi="Calibri" w:cs="Calibri"/>
          <w:szCs w:val="22"/>
          <w:lang w:eastAsia="en-US"/>
        </w:rPr>
        <w:t xml:space="preserve"> </w:t>
      </w:r>
      <w:r>
        <w:rPr>
          <w:rFonts w:ascii="Calibri" w:eastAsia="Calibri" w:hAnsi="Calibri" w:cs="Calibri"/>
          <w:szCs w:val="22"/>
          <w:lang w:eastAsia="en-US"/>
        </w:rPr>
        <w:t>bei</w:t>
      </w:r>
      <w:r w:rsidRPr="00B163F5">
        <w:rPr>
          <w:rFonts w:ascii="Calibri" w:eastAsia="Calibri" w:hAnsi="Calibri" w:cs="Calibri"/>
          <w:szCs w:val="22"/>
          <w:lang w:eastAsia="en-US"/>
        </w:rPr>
        <w:t xml:space="preserve"> Patienten mit MSI-H metastasiertem CRC</w:t>
      </w:r>
    </w:p>
    <w:p w14:paraId="47780B9A" w14:textId="77777777" w:rsidR="008D499A"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Pr>
          <w:rFonts w:ascii="Calibri" w:eastAsia="Calibri" w:hAnsi="Calibri" w:cs="Calibri"/>
          <w:szCs w:val="22"/>
          <w:lang w:eastAsia="en-US"/>
        </w:rPr>
        <w:t>Mehrere Kohorten:</w:t>
      </w:r>
    </w:p>
    <w:p w14:paraId="6361FBB1" w14:textId="77777777" w:rsidR="008D499A" w:rsidRPr="00564EAE"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 1 Vortherapie: Nivo3 Q2W:  ORR 31 %, DCR (disease control rate) 69%</w:t>
      </w:r>
    </w:p>
    <w:p w14:paraId="4101B2F5" w14:textId="77777777" w:rsidR="008D499A" w:rsidRPr="000225FC"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 1 Vortherapie: Nivo3 + Ipi1 Q3W (4 Zyklen, dann Nivo3 Q2W bis Progress):</w:t>
      </w:r>
    </w:p>
    <w:p w14:paraId="793B2BEE" w14:textId="77777777" w:rsidR="008D499A" w:rsidRPr="000225FC" w:rsidRDefault="008D499A" w:rsidP="008D499A">
      <w:pPr>
        <w:autoSpaceDE w:val="0"/>
        <w:autoSpaceDN w:val="0"/>
        <w:adjustRightInd w:val="0"/>
        <w:spacing w:after="160" w:line="276" w:lineRule="auto"/>
        <w:ind w:left="1800"/>
        <w:contextualSpacing/>
        <w:jc w:val="left"/>
        <w:rPr>
          <w:rFonts w:ascii="Calibri" w:eastAsia="Calibri" w:hAnsi="Calibri" w:cs="Calibri"/>
          <w:szCs w:val="22"/>
          <w:lang w:eastAsia="en-US"/>
        </w:rPr>
      </w:pPr>
      <w:r w:rsidRPr="000225FC">
        <w:rPr>
          <w:rFonts w:ascii="Calibri" w:eastAsia="Calibri" w:hAnsi="Calibri" w:cs="Calibri"/>
          <w:szCs w:val="22"/>
          <w:lang w:eastAsia="en-US"/>
        </w:rPr>
        <w:t>ORR 58%, OS und PFS noch nicht erreicht</w:t>
      </w:r>
    </w:p>
    <w:p w14:paraId="6E113BE0" w14:textId="77777777" w:rsidR="008D499A" w:rsidRPr="000225FC"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0225FC">
        <w:rPr>
          <w:rFonts w:ascii="Calibri" w:eastAsia="Calibri" w:hAnsi="Calibri" w:cs="Calibri"/>
          <w:szCs w:val="22"/>
          <w:lang w:eastAsia="en-US"/>
        </w:rPr>
        <w:t>Erstlinie: Nivo3 Q2W + Ipi1 Q6W bis Progress:</w:t>
      </w:r>
    </w:p>
    <w:p w14:paraId="2632E84D" w14:textId="77777777" w:rsidR="008D499A" w:rsidRDefault="008D499A" w:rsidP="008D499A">
      <w:pPr>
        <w:autoSpaceDE w:val="0"/>
        <w:autoSpaceDN w:val="0"/>
        <w:adjustRightInd w:val="0"/>
        <w:spacing w:after="160" w:line="276" w:lineRule="auto"/>
        <w:ind w:left="1800"/>
        <w:contextualSpacing/>
        <w:jc w:val="left"/>
        <w:rPr>
          <w:rFonts w:ascii="Calibri" w:eastAsia="Calibri" w:hAnsi="Calibri" w:cs="Calibri"/>
          <w:szCs w:val="22"/>
          <w:lang w:eastAsia="en-US"/>
        </w:rPr>
      </w:pPr>
      <w:r w:rsidRPr="000225FC">
        <w:rPr>
          <w:rFonts w:ascii="Calibri" w:eastAsia="Calibri" w:hAnsi="Calibri" w:cs="Calibri"/>
          <w:szCs w:val="22"/>
          <w:lang w:eastAsia="en-US"/>
        </w:rPr>
        <w:t>ORR 60%, DCR 84%, OS und PFS noch nicht erreicht</w:t>
      </w:r>
    </w:p>
    <w:p w14:paraId="0A06A96B" w14:textId="77777777" w:rsidR="008D499A" w:rsidRPr="00E60839"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60839">
        <w:rPr>
          <w:rFonts w:ascii="Calibri" w:eastAsia="Calibri" w:hAnsi="Calibri" w:cs="Calibri"/>
          <w:szCs w:val="22"/>
          <w:lang w:eastAsia="en-US"/>
        </w:rPr>
        <w:t xml:space="preserve">Update ASCO 2020 für Kohorte mit Erstlinientherapie (Nivo3 Q2W + Ipi1 Q6W) </w:t>
      </w:r>
      <w:r w:rsidRPr="00E60839">
        <w:rPr>
          <w:rFonts w:eastAsia="Calibri" w:cs="Arial"/>
          <w:szCs w:val="22"/>
          <w:vertAlign w:val="superscript"/>
          <w:lang w:eastAsia="en-US"/>
        </w:rPr>
        <w:t>1)</w:t>
      </w:r>
      <w:r w:rsidRPr="00E60839">
        <w:rPr>
          <w:rFonts w:eastAsia="Calibri" w:cs="Arial"/>
          <w:szCs w:val="22"/>
          <w:lang w:eastAsia="en-US"/>
        </w:rPr>
        <w:t>:</w:t>
      </w:r>
    </w:p>
    <w:p w14:paraId="3C9E2060" w14:textId="77777777" w:rsidR="008D499A" w:rsidRPr="00E60839"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60839">
        <w:rPr>
          <w:rFonts w:ascii="Calibri" w:eastAsia="Calibri" w:hAnsi="Calibri" w:cs="Calibri"/>
          <w:szCs w:val="22"/>
          <w:lang w:eastAsia="en-US"/>
        </w:rPr>
        <w:t>Anstieg ORR auf 69%</w:t>
      </w:r>
    </w:p>
    <w:p w14:paraId="194CC6B0" w14:textId="77777777" w:rsidR="008D499A" w:rsidRPr="00E60839"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60839">
        <w:rPr>
          <w:rFonts w:ascii="Calibri" w:eastAsia="Calibri" w:hAnsi="Calibri" w:cs="Calibri"/>
          <w:szCs w:val="22"/>
          <w:lang w:eastAsia="en-US"/>
        </w:rPr>
        <w:t>Disease control rate 84%</w:t>
      </w:r>
    </w:p>
    <w:p w14:paraId="316F102D" w14:textId="77777777" w:rsidR="008D499A"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60839">
        <w:rPr>
          <w:rFonts w:ascii="Calibri" w:eastAsia="Calibri" w:hAnsi="Calibri" w:cs="Calibri"/>
          <w:szCs w:val="22"/>
          <w:lang w:eastAsia="en-US"/>
        </w:rPr>
        <w:t>Medianes PFS und OS noch nicht erreicht (24-Mo-PFS 74%´, 24-Mo-OS 79%)</w:t>
      </w:r>
    </w:p>
    <w:p w14:paraId="0CCC57B5" w14:textId="77777777" w:rsidR="008D499A" w:rsidRPr="00E60839" w:rsidRDefault="008D499A" w:rsidP="008D499A">
      <w:pPr>
        <w:autoSpaceDE w:val="0"/>
        <w:autoSpaceDN w:val="0"/>
        <w:adjustRightInd w:val="0"/>
        <w:spacing w:after="160" w:line="276" w:lineRule="auto"/>
        <w:contextualSpacing/>
        <w:jc w:val="left"/>
        <w:rPr>
          <w:rFonts w:ascii="Calibri" w:eastAsia="Calibri" w:hAnsi="Calibri" w:cs="Calibri"/>
          <w:szCs w:val="22"/>
          <w:lang w:eastAsia="en-US"/>
        </w:rPr>
      </w:pPr>
    </w:p>
    <w:p w14:paraId="164D6790" w14:textId="77777777" w:rsidR="008D499A" w:rsidRPr="009247D3" w:rsidRDefault="008D499A" w:rsidP="008D499A">
      <w:pPr>
        <w:keepNext/>
        <w:spacing w:before="240" w:after="60"/>
        <w:ind w:left="705" w:hanging="705"/>
        <w:jc w:val="left"/>
        <w:outlineLvl w:val="1"/>
        <w:rPr>
          <w:rFonts w:cs="Arial"/>
          <w:b/>
          <w:bCs/>
          <w:i/>
          <w:iCs/>
          <w:sz w:val="24"/>
          <w:szCs w:val="24"/>
          <w:lang w:val="de-DE" w:eastAsia="de-AT"/>
        </w:rPr>
      </w:pPr>
      <w:bookmarkStart w:id="93" w:name="_Toc93523310"/>
      <w:r w:rsidRPr="009247D3">
        <w:rPr>
          <w:rFonts w:cs="Arial"/>
          <w:b/>
          <w:bCs/>
          <w:i/>
          <w:iCs/>
          <w:sz w:val="24"/>
          <w:szCs w:val="24"/>
          <w:lang w:val="de-DE" w:eastAsia="de-AT"/>
        </w:rPr>
        <w:t>4.4</w:t>
      </w:r>
      <w:r w:rsidRPr="009247D3">
        <w:rPr>
          <w:rFonts w:cs="Arial"/>
          <w:b/>
          <w:bCs/>
          <w:i/>
          <w:iCs/>
          <w:sz w:val="24"/>
          <w:szCs w:val="24"/>
          <w:lang w:val="de-DE" w:eastAsia="de-AT"/>
        </w:rPr>
        <w:tab/>
        <w:t>KRAS-G12C-Mutation:</w:t>
      </w:r>
      <w:bookmarkEnd w:id="93"/>
    </w:p>
    <w:p w14:paraId="328ACA9E" w14:textId="77777777" w:rsidR="008D499A" w:rsidRPr="009247D3" w:rsidRDefault="008D499A" w:rsidP="008D499A">
      <w:pPr>
        <w:autoSpaceDE w:val="0"/>
        <w:autoSpaceDN w:val="0"/>
        <w:adjustRightInd w:val="0"/>
        <w:spacing w:line="288" w:lineRule="auto"/>
        <w:jc w:val="left"/>
        <w:rPr>
          <w:rFonts w:eastAsia="Calibri" w:cs="Arial"/>
          <w:b/>
          <w:szCs w:val="22"/>
          <w:lang w:eastAsia="en-US"/>
        </w:rPr>
      </w:pPr>
      <w:bookmarkStart w:id="94" w:name="_Hlk93176825"/>
      <w:r w:rsidRPr="009247D3">
        <w:rPr>
          <w:rFonts w:eastAsia="Calibri" w:cs="Arial"/>
          <w:b/>
          <w:szCs w:val="22"/>
          <w:lang w:eastAsia="en-US"/>
        </w:rPr>
        <w:t>4.4.1</w:t>
      </w:r>
      <w:r w:rsidRPr="009247D3">
        <w:rPr>
          <w:rFonts w:eastAsia="Calibri" w:cs="Arial"/>
          <w:b/>
          <w:szCs w:val="22"/>
          <w:lang w:eastAsia="en-US"/>
        </w:rPr>
        <w:tab/>
        <w:t>Bedeutung KRAS-G12C-Mutation beim metastasierten CRC:</w:t>
      </w:r>
    </w:p>
    <w:p w14:paraId="118BD7EF"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bookmarkStart w:id="95" w:name="_Hlk93176968"/>
      <w:bookmarkEnd w:id="94"/>
      <w:r w:rsidRPr="009247D3">
        <w:rPr>
          <w:rFonts w:ascii="Calibri" w:eastAsia="Calibri" w:hAnsi="Calibri" w:cs="Calibri"/>
          <w:szCs w:val="22"/>
          <w:lang w:eastAsia="en-US"/>
        </w:rPr>
        <w:t>Häufigkeit: 6-17% der KRASmut-CRC (3-8% aller CRC)</w:t>
      </w:r>
    </w:p>
    <w:p w14:paraId="3CE798B5"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Scheint beim metastasierten CRC ein schlechter prognostischer Faktor zu sein.</w:t>
      </w:r>
    </w:p>
    <w:bookmarkEnd w:id="95"/>
    <w:p w14:paraId="1BDA2A07"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Seltener Peritonealkarzinose, häufiger Lungenmetastasen.</w:t>
      </w:r>
    </w:p>
    <w:p w14:paraId="1B8B12F4"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Kein prognostischer Einfluss bei nicht metastasiertem CRC.</w:t>
      </w:r>
    </w:p>
    <w:p w14:paraId="4162EE43" w14:textId="77777777" w:rsidR="008D499A" w:rsidRPr="009247D3" w:rsidRDefault="008D499A" w:rsidP="008D499A">
      <w:pPr>
        <w:autoSpaceDE w:val="0"/>
        <w:autoSpaceDN w:val="0"/>
        <w:adjustRightInd w:val="0"/>
        <w:spacing w:line="288" w:lineRule="auto"/>
        <w:jc w:val="left"/>
        <w:rPr>
          <w:rFonts w:ascii="Calibri" w:eastAsia="Calibri" w:hAnsi="Calibri" w:cs="Calibri"/>
          <w:szCs w:val="22"/>
          <w:lang w:eastAsia="en-US"/>
        </w:rPr>
      </w:pPr>
    </w:p>
    <w:p w14:paraId="0B5B4F18" w14:textId="77777777" w:rsidR="008D499A" w:rsidRPr="009247D3" w:rsidRDefault="008D499A" w:rsidP="008D499A">
      <w:pPr>
        <w:autoSpaceDE w:val="0"/>
        <w:autoSpaceDN w:val="0"/>
        <w:adjustRightInd w:val="0"/>
        <w:spacing w:line="288" w:lineRule="auto"/>
        <w:jc w:val="left"/>
        <w:rPr>
          <w:rFonts w:ascii="Calibri" w:eastAsia="Calibri" w:hAnsi="Calibri" w:cs="Calibri"/>
          <w:szCs w:val="22"/>
          <w:lang w:eastAsia="en-US"/>
        </w:rPr>
      </w:pPr>
      <w:r w:rsidRPr="009247D3">
        <w:rPr>
          <w:rFonts w:eastAsia="Calibri" w:cs="Arial"/>
          <w:b/>
          <w:szCs w:val="22"/>
          <w:lang w:eastAsia="en-US"/>
        </w:rPr>
        <w:t>4.4.</w:t>
      </w:r>
      <w:r w:rsidR="007F743D">
        <w:rPr>
          <w:rFonts w:eastAsia="Calibri" w:cs="Arial"/>
          <w:b/>
          <w:szCs w:val="22"/>
          <w:lang w:eastAsia="en-US"/>
        </w:rPr>
        <w:t>2</w:t>
      </w:r>
      <w:r w:rsidRPr="009247D3">
        <w:rPr>
          <w:rFonts w:eastAsia="Calibri" w:cs="Arial"/>
          <w:b/>
          <w:szCs w:val="22"/>
          <w:lang w:eastAsia="en-US"/>
        </w:rPr>
        <w:tab/>
        <w:t>Adagrasib – Krystal-1-Studie (ESMO 2021)</w:t>
      </w:r>
      <w:r w:rsidRPr="009247D3">
        <w:rPr>
          <w:rFonts w:ascii="Calibri" w:eastAsia="Calibri" w:hAnsi="Calibri" w:cs="Calibri"/>
          <w:b/>
          <w:bCs/>
          <w:szCs w:val="22"/>
          <w:lang w:eastAsia="en-US"/>
        </w:rPr>
        <w:t xml:space="preserve"> </w:t>
      </w:r>
      <w:r w:rsidRPr="009247D3">
        <w:rPr>
          <w:rFonts w:eastAsia="Calibri" w:cs="Arial"/>
          <w:b/>
          <w:bCs/>
          <w:szCs w:val="22"/>
          <w:vertAlign w:val="superscript"/>
          <w:lang w:eastAsia="en-US"/>
        </w:rPr>
        <w:t>2)</w:t>
      </w:r>
      <w:r w:rsidRPr="009247D3">
        <w:rPr>
          <w:rFonts w:eastAsia="Calibri" w:cs="Arial"/>
          <w:b/>
          <w:bCs/>
          <w:szCs w:val="22"/>
          <w:lang w:eastAsia="en-US"/>
        </w:rPr>
        <w:t>:</w:t>
      </w:r>
    </w:p>
    <w:p w14:paraId="48F5FB86"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Phase 1/2-Multi-Kohorten-Studie zur Wirksamkeit von Adagrasib bei Pat. mit KRAS G12C-mutieren fortgeschrittenen soliden Tumoren nach Standard-Therapie</w:t>
      </w:r>
    </w:p>
    <w:p w14:paraId="1FBF192D"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Adagrasib ist ein KRAS G12C-Inhibitor, der irreversibel und selektiv an KRAS G12C bindet</w:t>
      </w:r>
    </w:p>
    <w:p w14:paraId="0135907E"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CRC-Kohorte: 78 Pat. mit durchschnittlich 3 Vortherapien</w:t>
      </w:r>
    </w:p>
    <w:p w14:paraId="7EF4EDA3" w14:textId="77777777" w:rsidR="008D499A" w:rsidRPr="009247D3" w:rsidRDefault="008D499A" w:rsidP="008D499A">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Vorläufige Daten zu Monotherapie und Cetuximab-Kombi:</w:t>
      </w:r>
    </w:p>
    <w:p w14:paraId="154D8B71"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 xml:space="preserve">Adagrasib-Monotherapie: </w:t>
      </w:r>
    </w:p>
    <w:p w14:paraId="5AEB2B6A" w14:textId="77777777" w:rsidR="008D499A" w:rsidRPr="009247D3"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Response rate: 22%</w:t>
      </w:r>
    </w:p>
    <w:p w14:paraId="0AED78A6" w14:textId="77777777" w:rsidR="008D499A" w:rsidRPr="009247D3"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DCR: 87%</w:t>
      </w:r>
    </w:p>
    <w:p w14:paraId="533A2470" w14:textId="77777777" w:rsidR="008D499A" w:rsidRPr="009247D3" w:rsidRDefault="008D499A" w:rsidP="008D499A">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Adagrasib in Kombination mit Cetuximab:</w:t>
      </w:r>
    </w:p>
    <w:p w14:paraId="7894B600" w14:textId="77777777" w:rsidR="008D499A" w:rsidRPr="009247D3"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Response rate: 43%</w:t>
      </w:r>
    </w:p>
    <w:p w14:paraId="7C170B9E" w14:textId="77777777" w:rsidR="008D499A" w:rsidRPr="009247D3" w:rsidRDefault="008D499A" w:rsidP="008D499A">
      <w:pPr>
        <w:numPr>
          <w:ilvl w:val="2"/>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9247D3">
        <w:rPr>
          <w:rFonts w:ascii="Calibri" w:eastAsia="Calibri" w:hAnsi="Calibri" w:cs="Calibri"/>
          <w:szCs w:val="22"/>
          <w:lang w:eastAsia="en-US"/>
        </w:rPr>
        <w:t>DCR: 100%</w:t>
      </w:r>
    </w:p>
    <w:p w14:paraId="1B25A2B6" w14:textId="77777777" w:rsidR="008D499A" w:rsidRPr="005A5457" w:rsidRDefault="008D499A" w:rsidP="008D499A">
      <w:pPr>
        <w:autoSpaceDE w:val="0"/>
        <w:autoSpaceDN w:val="0"/>
        <w:adjustRightInd w:val="0"/>
        <w:spacing w:after="160" w:line="276" w:lineRule="auto"/>
        <w:ind w:left="1080"/>
        <w:contextualSpacing/>
        <w:jc w:val="left"/>
        <w:rPr>
          <w:rFonts w:ascii="Calibri" w:eastAsia="Calibri" w:hAnsi="Calibri" w:cs="Calibri"/>
          <w:color w:val="FF0000"/>
          <w:szCs w:val="22"/>
          <w:lang w:eastAsia="en-US"/>
        </w:rPr>
      </w:pPr>
    </w:p>
    <w:p w14:paraId="0DDFF2C4" w14:textId="77777777" w:rsidR="008D499A" w:rsidRPr="005A5457" w:rsidRDefault="008D499A" w:rsidP="008D499A">
      <w:pPr>
        <w:autoSpaceDE w:val="0"/>
        <w:autoSpaceDN w:val="0"/>
        <w:adjustRightInd w:val="0"/>
        <w:spacing w:after="160" w:line="276" w:lineRule="auto"/>
        <w:contextualSpacing/>
        <w:jc w:val="left"/>
        <w:rPr>
          <w:rFonts w:ascii="Calibri" w:eastAsia="Calibri" w:hAnsi="Calibri" w:cs="Calibri"/>
          <w:color w:val="FF0000"/>
          <w:szCs w:val="22"/>
          <w:lang w:eastAsia="en-US"/>
        </w:rPr>
      </w:pPr>
    </w:p>
    <w:p w14:paraId="63710A17" w14:textId="77777777" w:rsidR="008D499A" w:rsidRPr="005A5457" w:rsidRDefault="008D499A" w:rsidP="008D499A">
      <w:pPr>
        <w:autoSpaceDE w:val="0"/>
        <w:autoSpaceDN w:val="0"/>
        <w:adjustRightInd w:val="0"/>
        <w:spacing w:after="160" w:line="276" w:lineRule="auto"/>
        <w:contextualSpacing/>
        <w:jc w:val="left"/>
        <w:rPr>
          <w:rFonts w:ascii="Calibri" w:eastAsia="Calibri" w:hAnsi="Calibri" w:cs="Calibri"/>
          <w:color w:val="FF0000"/>
          <w:szCs w:val="22"/>
          <w:lang w:eastAsia="en-US"/>
        </w:rPr>
      </w:pPr>
    </w:p>
    <w:p w14:paraId="029CF9BD" w14:textId="77777777" w:rsidR="008D499A" w:rsidRPr="005A5457" w:rsidRDefault="008D499A" w:rsidP="008D499A">
      <w:pPr>
        <w:autoSpaceDE w:val="0"/>
        <w:autoSpaceDN w:val="0"/>
        <w:adjustRightInd w:val="0"/>
        <w:spacing w:after="160" w:line="276" w:lineRule="auto"/>
        <w:contextualSpacing/>
        <w:jc w:val="left"/>
        <w:rPr>
          <w:rFonts w:ascii="Calibri" w:eastAsia="Calibri" w:hAnsi="Calibri" w:cs="Calibri"/>
          <w:color w:val="FF0000"/>
          <w:szCs w:val="22"/>
          <w:lang w:eastAsia="en-US"/>
        </w:rPr>
      </w:pPr>
    </w:p>
    <w:p w14:paraId="5B2571EB" w14:textId="77777777" w:rsidR="008D499A" w:rsidRPr="00564EAE" w:rsidRDefault="008D499A" w:rsidP="008D499A">
      <w:pPr>
        <w:pStyle w:val="Listenabsatz"/>
        <w:numPr>
          <w:ilvl w:val="0"/>
          <w:numId w:val="45"/>
        </w:numPr>
        <w:autoSpaceDE w:val="0"/>
        <w:autoSpaceDN w:val="0"/>
        <w:adjustRightInd w:val="0"/>
        <w:spacing w:after="160" w:line="288" w:lineRule="auto"/>
        <w:jc w:val="left"/>
        <w:rPr>
          <w:rFonts w:ascii="Calibri" w:eastAsia="Calibri" w:hAnsi="Calibri" w:cs="Calibri"/>
          <w:sz w:val="18"/>
          <w:szCs w:val="18"/>
          <w:lang w:val="en-GB" w:eastAsia="en-US"/>
        </w:rPr>
      </w:pPr>
      <w:r w:rsidRPr="00564EAE">
        <w:rPr>
          <w:rFonts w:ascii="Calibri" w:eastAsia="Calibri" w:hAnsi="Calibri" w:cs="Calibri"/>
          <w:sz w:val="18"/>
          <w:szCs w:val="18"/>
          <w:lang w:val="en-GB" w:eastAsia="en-US"/>
        </w:rPr>
        <w:t>Journal of Clinical Oncology 38, no. 15_suppl (May 20, 2020) 4040-4040</w:t>
      </w:r>
    </w:p>
    <w:p w14:paraId="46902F4C" w14:textId="77777777" w:rsidR="008D499A" w:rsidRPr="00564EAE" w:rsidRDefault="008D499A" w:rsidP="008D499A">
      <w:pPr>
        <w:pStyle w:val="Listenabsatz"/>
        <w:numPr>
          <w:ilvl w:val="0"/>
          <w:numId w:val="45"/>
        </w:numPr>
        <w:autoSpaceDE w:val="0"/>
        <w:autoSpaceDN w:val="0"/>
        <w:adjustRightInd w:val="0"/>
        <w:spacing w:after="160" w:line="288" w:lineRule="auto"/>
        <w:jc w:val="left"/>
        <w:rPr>
          <w:rFonts w:ascii="Calibri" w:eastAsia="Calibri" w:hAnsi="Calibri" w:cs="Calibri"/>
          <w:sz w:val="18"/>
          <w:szCs w:val="18"/>
          <w:lang w:val="en-GB" w:eastAsia="en-US"/>
        </w:rPr>
      </w:pPr>
      <w:r w:rsidRPr="00564EAE">
        <w:rPr>
          <w:rFonts w:ascii="Calibri" w:eastAsia="Calibri" w:hAnsi="Calibri" w:cs="Calibri"/>
          <w:sz w:val="18"/>
          <w:szCs w:val="18"/>
          <w:lang w:val="en-GB" w:eastAsia="en-US"/>
        </w:rPr>
        <w:t>J. Weiss et al., ESMO 2021, Abstract LBA6</w:t>
      </w:r>
    </w:p>
    <w:p w14:paraId="247348CF" w14:textId="77777777" w:rsidR="00833383" w:rsidRPr="001A0978" w:rsidRDefault="00833383" w:rsidP="00833383">
      <w:pPr>
        <w:keepNext/>
        <w:spacing w:before="240" w:after="60"/>
        <w:ind w:left="705" w:hanging="705"/>
        <w:jc w:val="left"/>
        <w:outlineLvl w:val="1"/>
        <w:rPr>
          <w:rFonts w:cs="Arial"/>
          <w:b/>
          <w:bCs/>
          <w:i/>
          <w:iCs/>
          <w:sz w:val="24"/>
          <w:szCs w:val="24"/>
          <w:lang w:val="de-DE" w:eastAsia="de-AT"/>
        </w:rPr>
      </w:pPr>
      <w:bookmarkStart w:id="96" w:name="_Toc93523311"/>
      <w:r w:rsidRPr="001A0978">
        <w:rPr>
          <w:rFonts w:cs="Arial"/>
          <w:b/>
          <w:bCs/>
          <w:i/>
          <w:iCs/>
          <w:sz w:val="24"/>
          <w:szCs w:val="24"/>
          <w:lang w:val="de-DE" w:eastAsia="de-AT"/>
        </w:rPr>
        <w:lastRenderedPageBreak/>
        <w:t>4.</w:t>
      </w:r>
      <w:r w:rsidR="008D499A">
        <w:rPr>
          <w:rFonts w:cs="Arial"/>
          <w:b/>
          <w:bCs/>
          <w:i/>
          <w:iCs/>
          <w:sz w:val="24"/>
          <w:szCs w:val="24"/>
          <w:lang w:val="de-DE" w:eastAsia="de-AT"/>
        </w:rPr>
        <w:t>5</w:t>
      </w:r>
      <w:r w:rsidRPr="001A0978">
        <w:rPr>
          <w:rFonts w:cs="Arial"/>
          <w:b/>
          <w:bCs/>
          <w:i/>
          <w:iCs/>
          <w:sz w:val="24"/>
          <w:szCs w:val="24"/>
          <w:lang w:val="de-DE" w:eastAsia="de-AT"/>
        </w:rPr>
        <w:tab/>
        <w:t>BRAF-Inhibitoren beim BRAF-mutierten, metastasierten CRC</w:t>
      </w:r>
      <w:bookmarkEnd w:id="96"/>
    </w:p>
    <w:p w14:paraId="75BCEAA3" w14:textId="77777777" w:rsidR="00833383" w:rsidRPr="001A0978" w:rsidRDefault="00833383" w:rsidP="00833383">
      <w:pPr>
        <w:autoSpaceDE w:val="0"/>
        <w:autoSpaceDN w:val="0"/>
        <w:adjustRightInd w:val="0"/>
        <w:spacing w:line="288" w:lineRule="auto"/>
        <w:jc w:val="left"/>
        <w:rPr>
          <w:rFonts w:eastAsia="Calibri" w:cs="Arial"/>
          <w:b/>
          <w:szCs w:val="22"/>
          <w:lang w:eastAsia="en-US"/>
        </w:rPr>
      </w:pPr>
      <w:r w:rsidRPr="001A0978">
        <w:rPr>
          <w:rFonts w:eastAsia="Calibri" w:cs="Arial"/>
          <w:b/>
          <w:szCs w:val="22"/>
          <w:lang w:eastAsia="en-US"/>
        </w:rPr>
        <w:t>4.</w:t>
      </w:r>
      <w:r w:rsidR="008D499A">
        <w:rPr>
          <w:rFonts w:eastAsia="Calibri" w:cs="Arial"/>
          <w:b/>
          <w:szCs w:val="22"/>
          <w:lang w:eastAsia="en-US"/>
        </w:rPr>
        <w:t>5</w:t>
      </w:r>
      <w:r w:rsidRPr="001A0978">
        <w:rPr>
          <w:rFonts w:eastAsia="Calibri" w:cs="Arial"/>
          <w:b/>
          <w:szCs w:val="22"/>
          <w:lang w:eastAsia="en-US"/>
        </w:rPr>
        <w:t>.1</w:t>
      </w:r>
      <w:r w:rsidRPr="001A0978">
        <w:rPr>
          <w:rFonts w:eastAsia="Calibri" w:cs="Arial"/>
          <w:b/>
          <w:szCs w:val="22"/>
          <w:lang w:eastAsia="en-US"/>
        </w:rPr>
        <w:tab/>
        <w:t>BEACON-Studie</w:t>
      </w:r>
      <w:r>
        <w:rPr>
          <w:rFonts w:eastAsia="Calibri" w:cs="Arial"/>
          <w:b/>
          <w:szCs w:val="22"/>
          <w:vertAlign w:val="superscript"/>
          <w:lang w:eastAsia="en-US"/>
        </w:rPr>
        <w:t>1)</w:t>
      </w:r>
      <w:r w:rsidRPr="001A0978">
        <w:rPr>
          <w:rFonts w:eastAsia="Calibri" w:cs="Arial"/>
          <w:b/>
          <w:szCs w:val="22"/>
          <w:lang w:eastAsia="en-US"/>
        </w:rPr>
        <w:t>:</w:t>
      </w:r>
    </w:p>
    <w:p w14:paraId="6B826D51" w14:textId="77777777" w:rsidR="00833383" w:rsidRPr="001A0978" w:rsidRDefault="00833383" w:rsidP="00833383">
      <w:pPr>
        <w:numPr>
          <w:ilvl w:val="0"/>
          <w:numId w:val="3"/>
        </w:numPr>
        <w:spacing w:after="160" w:line="276" w:lineRule="auto"/>
        <w:ind w:left="426" w:hanging="426"/>
        <w:contextualSpacing/>
        <w:jc w:val="left"/>
        <w:rPr>
          <w:rFonts w:ascii="Calibri" w:hAnsi="Calibri" w:cs="Calibri"/>
        </w:rPr>
      </w:pPr>
      <w:r w:rsidRPr="00564EAE">
        <w:rPr>
          <w:rFonts w:ascii="Calibri" w:hAnsi="Calibri" w:cs="Calibri"/>
        </w:rPr>
        <w:t>Dreiarmige, randomisierte Phase III-Studie bei Patienten BRAF-V600-mutiertem mCRC</w:t>
      </w:r>
    </w:p>
    <w:p w14:paraId="05A8B13E" w14:textId="77777777" w:rsidR="00833383" w:rsidRPr="001A0978" w:rsidRDefault="00833383" w:rsidP="00833383">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Progress nach 1-2 Therapielinien im metastasierten Setting</w:t>
      </w:r>
    </w:p>
    <w:p w14:paraId="33A451E5" w14:textId="77777777" w:rsidR="00833383" w:rsidRPr="001A0978" w:rsidRDefault="00833383" w:rsidP="00833383">
      <w:pPr>
        <w:numPr>
          <w:ilvl w:val="0"/>
          <w:numId w:val="3"/>
        </w:numPr>
        <w:spacing w:after="160" w:line="276" w:lineRule="auto"/>
        <w:ind w:left="426" w:hanging="426"/>
        <w:contextualSpacing/>
        <w:jc w:val="both"/>
        <w:rPr>
          <w:rFonts w:ascii="Calibri" w:hAnsi="Calibri" w:cs="Calibri"/>
        </w:rPr>
      </w:pPr>
      <w:r w:rsidRPr="00564EAE">
        <w:rPr>
          <w:rFonts w:ascii="Calibri" w:hAnsi="Calibri" w:cs="Calibri"/>
        </w:rPr>
        <w:t>Evaluierung einer Triplett-Kombination mit:</w:t>
      </w:r>
    </w:p>
    <w:p w14:paraId="41E684C6" w14:textId="77777777" w:rsidR="00833383" w:rsidRPr="001A0978" w:rsidRDefault="00833383" w:rsidP="00833383">
      <w:pPr>
        <w:numPr>
          <w:ilvl w:val="0"/>
          <w:numId w:val="9"/>
        </w:numPr>
        <w:spacing w:after="160" w:line="276" w:lineRule="auto"/>
        <w:contextualSpacing/>
        <w:jc w:val="both"/>
        <w:rPr>
          <w:rFonts w:ascii="Calibri" w:hAnsi="Calibri" w:cs="Calibri"/>
        </w:rPr>
      </w:pPr>
      <w:r w:rsidRPr="001A0978">
        <w:rPr>
          <w:rFonts w:ascii="Calibri" w:hAnsi="Calibri" w:cs="Calibri"/>
        </w:rPr>
        <w:t>Encorafenib (BRAF-Inhibitor)</w:t>
      </w:r>
    </w:p>
    <w:p w14:paraId="43807DD1" w14:textId="77777777" w:rsidR="00833383" w:rsidRPr="001A0978" w:rsidRDefault="00833383" w:rsidP="00833383">
      <w:pPr>
        <w:numPr>
          <w:ilvl w:val="0"/>
          <w:numId w:val="9"/>
        </w:numPr>
        <w:spacing w:after="160" w:line="276" w:lineRule="auto"/>
        <w:contextualSpacing/>
        <w:jc w:val="both"/>
        <w:rPr>
          <w:rFonts w:ascii="Calibri" w:hAnsi="Calibri" w:cs="Calibri"/>
        </w:rPr>
      </w:pPr>
      <w:r w:rsidRPr="001A0978">
        <w:rPr>
          <w:rFonts w:ascii="Calibri" w:hAnsi="Calibri" w:cs="Calibri"/>
        </w:rPr>
        <w:t>Binimetinib (MEK-Inhibitor)</w:t>
      </w:r>
    </w:p>
    <w:p w14:paraId="33678541" w14:textId="77777777" w:rsidR="00833383" w:rsidRPr="001A0978" w:rsidRDefault="00833383" w:rsidP="00833383">
      <w:pPr>
        <w:numPr>
          <w:ilvl w:val="0"/>
          <w:numId w:val="9"/>
        </w:numPr>
        <w:spacing w:after="160" w:line="276" w:lineRule="auto"/>
        <w:contextualSpacing/>
        <w:jc w:val="both"/>
        <w:rPr>
          <w:rFonts w:ascii="Calibri" w:hAnsi="Calibri" w:cs="Calibri"/>
        </w:rPr>
      </w:pPr>
      <w:r w:rsidRPr="001A0978">
        <w:rPr>
          <w:rFonts w:ascii="Calibri" w:hAnsi="Calibri" w:cs="Calibri"/>
        </w:rPr>
        <w:t>Cetuximab</w:t>
      </w:r>
      <w:r w:rsidRPr="001A0978">
        <w:rPr>
          <w:noProof/>
          <w:lang w:eastAsia="de-AT"/>
        </w:rPr>
        <w:drawing>
          <wp:anchor distT="0" distB="0" distL="114300" distR="114300" simplePos="0" relativeHeight="251654656" behindDoc="0" locked="0" layoutInCell="1" allowOverlap="1" wp14:anchorId="5E1FE6A6" wp14:editId="08E05303">
            <wp:simplePos x="0" y="0"/>
            <wp:positionH relativeFrom="margin">
              <wp:align>center</wp:align>
            </wp:positionH>
            <wp:positionV relativeFrom="paragraph">
              <wp:posOffset>292100</wp:posOffset>
            </wp:positionV>
            <wp:extent cx="3208020" cy="2120526"/>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8020" cy="2120526"/>
                    </a:xfrm>
                    <a:prstGeom prst="rect">
                      <a:avLst/>
                    </a:prstGeom>
                    <a:noFill/>
                    <a:ln>
                      <a:noFill/>
                    </a:ln>
                  </pic:spPr>
                </pic:pic>
              </a:graphicData>
            </a:graphic>
          </wp:anchor>
        </w:drawing>
      </w:r>
    </w:p>
    <w:p w14:paraId="256FEFA6" w14:textId="77777777" w:rsidR="00833383" w:rsidRPr="001A0978" w:rsidRDefault="00833383" w:rsidP="00833383">
      <w:pPr>
        <w:autoSpaceDE w:val="0"/>
        <w:autoSpaceDN w:val="0"/>
        <w:adjustRightInd w:val="0"/>
        <w:spacing w:after="160" w:line="276" w:lineRule="auto"/>
        <w:ind w:left="360"/>
        <w:contextualSpacing/>
        <w:jc w:val="left"/>
        <w:rPr>
          <w:rFonts w:ascii="Calibri" w:eastAsia="Calibri" w:hAnsi="Calibri" w:cs="Calibri"/>
          <w:szCs w:val="22"/>
          <w:lang w:eastAsia="en-US"/>
        </w:rPr>
      </w:pPr>
    </w:p>
    <w:p w14:paraId="52496F65" w14:textId="77777777" w:rsidR="00833383" w:rsidRPr="001A0978" w:rsidRDefault="00833383" w:rsidP="008333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bookmarkStart w:id="97" w:name="_Hlk58524296"/>
      <w:r w:rsidRPr="001A0978">
        <w:rPr>
          <w:rFonts w:ascii="Calibri" w:eastAsia="Calibri" w:hAnsi="Calibri" w:cs="Calibri"/>
          <w:szCs w:val="22"/>
          <w:lang w:eastAsia="en-US"/>
        </w:rPr>
        <w:t>Ergebnis (ESMO 2019):</w:t>
      </w:r>
    </w:p>
    <w:p w14:paraId="66436974" w14:textId="77777777" w:rsidR="00833383" w:rsidRPr="001A0978" w:rsidRDefault="00833383" w:rsidP="00833383">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1A0978">
        <w:rPr>
          <w:rFonts w:ascii="Calibri" w:eastAsia="Calibri" w:hAnsi="Calibri" w:cs="Calibri"/>
          <w:szCs w:val="22"/>
          <w:lang w:eastAsia="en-US"/>
        </w:rPr>
        <w:t>Deutlicher Benefit bei OS und PFS von Triplet und Doublet versus Kontrollarm:</w:t>
      </w:r>
    </w:p>
    <w:bookmarkEnd w:id="97"/>
    <w:p w14:paraId="43317955" w14:textId="77777777" w:rsidR="00833383" w:rsidRPr="00564EAE" w:rsidRDefault="00833383" w:rsidP="00833383">
      <w:pPr>
        <w:numPr>
          <w:ilvl w:val="2"/>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M</w:t>
      </w:r>
      <w:bookmarkStart w:id="98" w:name="_Hlk23621303"/>
      <w:r w:rsidRPr="00564EAE">
        <w:rPr>
          <w:rFonts w:ascii="Calibri" w:eastAsia="Calibri" w:hAnsi="Calibri" w:cs="Calibri"/>
          <w:szCs w:val="22"/>
          <w:lang w:val="en-GB" w:eastAsia="en-US"/>
        </w:rPr>
        <w:t xml:space="preserve">edianes OS (Triplet vs. Control): 9,0 vs. 5,4 Mo (HR 0,53); </w:t>
      </w:r>
      <w:bookmarkStart w:id="99" w:name="_Hlk23621194"/>
      <w:r w:rsidRPr="00564EAE">
        <w:rPr>
          <w:rFonts w:ascii="Calibri" w:eastAsia="Calibri" w:hAnsi="Calibri" w:cs="Calibri"/>
          <w:szCs w:val="22"/>
          <w:lang w:val="en-GB" w:eastAsia="en-US"/>
        </w:rPr>
        <w:t>p &lt; 0,0001</w:t>
      </w:r>
      <w:bookmarkEnd w:id="99"/>
    </w:p>
    <w:bookmarkEnd w:id="98"/>
    <w:p w14:paraId="5C0884D3" w14:textId="77777777" w:rsidR="00833383" w:rsidRPr="00564EAE" w:rsidRDefault="00833383" w:rsidP="00833383">
      <w:pPr>
        <w:numPr>
          <w:ilvl w:val="2"/>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Medianes OS (Doublet vs. Control): 8,4 vs. 5,4 Mo (HR 0,60); p &lt; 0,0001</w:t>
      </w:r>
    </w:p>
    <w:p w14:paraId="4DDC6F6A" w14:textId="77777777" w:rsidR="00833383" w:rsidRPr="00564EAE" w:rsidRDefault="00833383" w:rsidP="00833383">
      <w:pPr>
        <w:numPr>
          <w:ilvl w:val="2"/>
          <w:numId w:val="6"/>
        </w:numPr>
        <w:autoSpaceDE w:val="0"/>
        <w:autoSpaceDN w:val="0"/>
        <w:adjustRightInd w:val="0"/>
        <w:spacing w:after="160" w:line="276" w:lineRule="auto"/>
        <w:contextualSpacing/>
        <w:jc w:val="left"/>
        <w:rPr>
          <w:rFonts w:ascii="Calibri" w:hAnsi="Calibri" w:cs="Calibri"/>
          <w:lang w:val="en-GB"/>
        </w:rPr>
      </w:pPr>
      <w:r w:rsidRPr="00564EAE">
        <w:rPr>
          <w:rFonts w:ascii="Calibri" w:eastAsia="Calibri" w:hAnsi="Calibri" w:cs="Calibri"/>
          <w:szCs w:val="22"/>
          <w:lang w:val="en-GB" w:eastAsia="en-US"/>
        </w:rPr>
        <w:t xml:space="preserve">Medianes </w:t>
      </w:r>
      <w:bookmarkStart w:id="100" w:name="_Hlk23621434"/>
      <w:r w:rsidRPr="00564EAE">
        <w:rPr>
          <w:rFonts w:ascii="Calibri" w:eastAsia="Calibri" w:hAnsi="Calibri" w:cs="Calibri"/>
          <w:szCs w:val="22"/>
          <w:lang w:val="en-GB" w:eastAsia="en-US"/>
        </w:rPr>
        <w:t>PFS (Doublet vs. Control)</w:t>
      </w:r>
      <w:bookmarkEnd w:id="100"/>
      <w:r w:rsidRPr="00564EAE">
        <w:rPr>
          <w:rFonts w:ascii="Calibri" w:eastAsia="Calibri" w:hAnsi="Calibri" w:cs="Calibri"/>
          <w:szCs w:val="22"/>
          <w:lang w:val="en-GB" w:eastAsia="en-US"/>
        </w:rPr>
        <w:t>: 4,3 vs. 1,5 Mo (HR 0,38); p &lt; 0,0001</w:t>
      </w:r>
    </w:p>
    <w:p w14:paraId="1CAB0A67" w14:textId="77777777" w:rsidR="00833383" w:rsidRPr="00564EAE" w:rsidRDefault="00833383" w:rsidP="00833383">
      <w:pPr>
        <w:numPr>
          <w:ilvl w:val="2"/>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Medianes PFS (Doublet vs. Control): 4,2 vs. 1,5 Mo (HR 0,40); p &lt; 0,0001</w:t>
      </w:r>
    </w:p>
    <w:p w14:paraId="68BAE38A" w14:textId="77777777" w:rsidR="00833383" w:rsidRPr="00564EAE" w:rsidRDefault="00833383" w:rsidP="00833383">
      <w:pPr>
        <w:autoSpaceDE w:val="0"/>
        <w:autoSpaceDN w:val="0"/>
        <w:adjustRightInd w:val="0"/>
        <w:spacing w:after="160" w:line="276" w:lineRule="auto"/>
        <w:ind w:left="360"/>
        <w:contextualSpacing/>
        <w:jc w:val="left"/>
        <w:rPr>
          <w:rFonts w:ascii="Calibri" w:eastAsia="Calibri" w:hAnsi="Calibri" w:cs="Calibri"/>
          <w:sz w:val="8"/>
          <w:szCs w:val="8"/>
          <w:lang w:val="en-GB" w:eastAsia="en-US"/>
        </w:rPr>
      </w:pPr>
    </w:p>
    <w:p w14:paraId="64B801F8" w14:textId="77777777" w:rsidR="00833383" w:rsidRPr="00E4567C" w:rsidRDefault="00F97817" w:rsidP="00833383">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4567C">
        <w:rPr>
          <w:rFonts w:ascii="Calibri" w:eastAsia="Calibri" w:hAnsi="Calibri" w:cs="Calibri"/>
          <w:noProof/>
          <w:szCs w:val="22"/>
          <w:lang w:eastAsia="de-AT"/>
        </w:rPr>
        <mc:AlternateContent>
          <mc:Choice Requires="wps">
            <w:drawing>
              <wp:anchor distT="0" distB="0" distL="114300" distR="114300" simplePos="0" relativeHeight="251653632" behindDoc="0" locked="0" layoutInCell="1" allowOverlap="1" wp14:anchorId="20DD525D" wp14:editId="65AD7D12">
                <wp:simplePos x="0" y="0"/>
                <wp:positionH relativeFrom="column">
                  <wp:posOffset>3397885</wp:posOffset>
                </wp:positionH>
                <wp:positionV relativeFrom="paragraph">
                  <wp:posOffset>574040</wp:posOffset>
                </wp:positionV>
                <wp:extent cx="464820" cy="198120"/>
                <wp:effectExtent l="0" t="0" r="11430" b="11430"/>
                <wp:wrapNone/>
                <wp:docPr id="32" name="Ellipse 32"/>
                <wp:cNvGraphicFramePr/>
                <a:graphic xmlns:a="http://schemas.openxmlformats.org/drawingml/2006/main">
                  <a:graphicData uri="http://schemas.microsoft.com/office/word/2010/wordprocessingShape">
                    <wps:wsp>
                      <wps:cNvSpPr/>
                      <wps:spPr>
                        <a:xfrm>
                          <a:off x="0" y="0"/>
                          <a:ext cx="464820" cy="19812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0D91C" id="Ellipse 32" o:spid="_x0000_s1026" style="position:absolute;margin-left:267.55pt;margin-top:45.2pt;width:36.6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" filled="f" strokecolor="red" strokeweight="1.5pt">
                <v:stroke joinstyle="miter"/>
              </v:oval>
            </w:pict>
          </mc:Fallback>
        </mc:AlternateContent>
      </w:r>
      <w:r w:rsidR="00833383" w:rsidRPr="00E4567C">
        <w:rPr>
          <w:rFonts w:ascii="Calibri" w:eastAsia="Calibri" w:hAnsi="Calibri" w:cs="Calibri"/>
          <w:noProof/>
          <w:szCs w:val="22"/>
          <w:lang w:eastAsia="de-AT"/>
        </w:rPr>
        <mc:AlternateContent>
          <mc:Choice Requires="wps">
            <w:drawing>
              <wp:anchor distT="0" distB="0" distL="114300" distR="114300" simplePos="0" relativeHeight="251651584" behindDoc="0" locked="0" layoutInCell="1" allowOverlap="1" wp14:anchorId="4BA3F9B9" wp14:editId="6CB01468">
                <wp:simplePos x="0" y="0"/>
                <wp:positionH relativeFrom="column">
                  <wp:posOffset>2384425</wp:posOffset>
                </wp:positionH>
                <wp:positionV relativeFrom="paragraph">
                  <wp:posOffset>581660</wp:posOffset>
                </wp:positionV>
                <wp:extent cx="464820" cy="198120"/>
                <wp:effectExtent l="0" t="0" r="11430" b="11430"/>
                <wp:wrapNone/>
                <wp:docPr id="31" name="Ellipse 31"/>
                <wp:cNvGraphicFramePr/>
                <a:graphic xmlns:a="http://schemas.openxmlformats.org/drawingml/2006/main">
                  <a:graphicData uri="http://schemas.microsoft.com/office/word/2010/wordprocessingShape">
                    <wps:wsp>
                      <wps:cNvSpPr/>
                      <wps:spPr>
                        <a:xfrm>
                          <a:off x="0" y="0"/>
                          <a:ext cx="464820" cy="1981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AB40E" id="Ellipse 31" o:spid="_x0000_s1026" style="position:absolute;margin-left:187.75pt;margin-top:45.8pt;width:36.6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" filled="f" strokecolor="red" strokeweight="1.5pt"/>
            </w:pict>
          </mc:Fallback>
        </mc:AlternateContent>
      </w:r>
      <w:r w:rsidR="00833383" w:rsidRPr="00E4567C">
        <w:rPr>
          <w:rFonts w:ascii="Calibri" w:eastAsia="Calibri" w:hAnsi="Calibri" w:cs="Calibri"/>
          <w:noProof/>
          <w:szCs w:val="22"/>
          <w:lang w:eastAsia="de-AT"/>
        </w:rPr>
        <w:drawing>
          <wp:anchor distT="0" distB="0" distL="114300" distR="114300" simplePos="0" relativeHeight="251655680" behindDoc="1" locked="0" layoutInCell="1" allowOverlap="1" wp14:anchorId="3A0BD0B1" wp14:editId="7251FA54">
            <wp:simplePos x="0" y="0"/>
            <wp:positionH relativeFrom="margin">
              <wp:align>center</wp:align>
            </wp:positionH>
            <wp:positionV relativeFrom="paragraph">
              <wp:posOffset>234315</wp:posOffset>
            </wp:positionV>
            <wp:extent cx="4424680" cy="1341120"/>
            <wp:effectExtent l="0" t="0" r="0" b="0"/>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4680" cy="1341120"/>
                    </a:xfrm>
                    <a:prstGeom prst="rect">
                      <a:avLst/>
                    </a:prstGeom>
                    <a:noFill/>
                  </pic:spPr>
                </pic:pic>
              </a:graphicData>
            </a:graphic>
            <wp14:sizeRelH relativeFrom="margin">
              <wp14:pctWidth>0</wp14:pctWidth>
            </wp14:sizeRelH>
            <wp14:sizeRelV relativeFrom="margin">
              <wp14:pctHeight>0</wp14:pctHeight>
            </wp14:sizeRelV>
          </wp:anchor>
        </w:drawing>
      </w:r>
      <w:r w:rsidR="00833383" w:rsidRPr="00E4567C">
        <w:rPr>
          <w:rFonts w:ascii="Calibri" w:eastAsia="Calibri" w:hAnsi="Calibri" w:cs="Calibri"/>
          <w:szCs w:val="22"/>
          <w:lang w:eastAsia="en-US"/>
        </w:rPr>
        <w:t xml:space="preserve">Update ASCO 2020 </w:t>
      </w:r>
      <w:r w:rsidR="00833383" w:rsidRPr="00E4567C">
        <w:rPr>
          <w:rFonts w:eastAsia="Calibri" w:cs="Arial"/>
          <w:bCs/>
          <w:szCs w:val="22"/>
          <w:vertAlign w:val="superscript"/>
          <w:lang w:eastAsia="en-US"/>
        </w:rPr>
        <w:t>2)</w:t>
      </w:r>
      <w:r w:rsidR="00833383" w:rsidRPr="00E4567C">
        <w:rPr>
          <w:rFonts w:ascii="Calibri" w:eastAsia="Calibri" w:hAnsi="Calibri" w:cs="Calibri"/>
          <w:bCs/>
          <w:szCs w:val="22"/>
          <w:lang w:eastAsia="en-US"/>
        </w:rPr>
        <w:t>:</w:t>
      </w:r>
    </w:p>
    <w:p w14:paraId="023062F6" w14:textId="77777777" w:rsidR="00833383" w:rsidRPr="00E4567C" w:rsidRDefault="00833383" w:rsidP="00833383">
      <w:pPr>
        <w:autoSpaceDE w:val="0"/>
        <w:autoSpaceDN w:val="0"/>
        <w:adjustRightInd w:val="0"/>
        <w:spacing w:after="160" w:line="276" w:lineRule="auto"/>
        <w:ind w:left="360"/>
        <w:contextualSpacing/>
        <w:jc w:val="left"/>
        <w:rPr>
          <w:rFonts w:ascii="Calibri" w:eastAsia="Calibri" w:hAnsi="Calibri" w:cs="Calibri"/>
          <w:sz w:val="8"/>
          <w:szCs w:val="8"/>
          <w:lang w:eastAsia="en-US"/>
        </w:rPr>
      </w:pPr>
    </w:p>
    <w:p w14:paraId="15511F02" w14:textId="77777777" w:rsidR="00833383" w:rsidRPr="00E4567C" w:rsidRDefault="00833383" w:rsidP="00833383">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4567C">
        <w:rPr>
          <w:rFonts w:ascii="Calibri" w:eastAsia="Calibri" w:hAnsi="Calibri" w:cs="Calibri"/>
          <w:szCs w:val="22"/>
          <w:lang w:eastAsia="en-US"/>
        </w:rPr>
        <w:t>ORR höher bei Triplet vs. Doublet</w:t>
      </w:r>
    </w:p>
    <w:p w14:paraId="641F4693" w14:textId="77777777" w:rsidR="00833383" w:rsidRPr="00E4567C" w:rsidRDefault="00833383" w:rsidP="00833383">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4567C">
        <w:rPr>
          <w:rFonts w:ascii="Calibri" w:eastAsia="Calibri" w:hAnsi="Calibri" w:cs="Calibri"/>
          <w:b/>
          <w:bCs/>
          <w:szCs w:val="22"/>
          <w:lang w:eastAsia="en-US"/>
        </w:rPr>
        <w:t>kein OS-Unterschied</w:t>
      </w:r>
      <w:r w:rsidRPr="00E4567C">
        <w:rPr>
          <w:rFonts w:ascii="Calibri" w:eastAsia="Calibri" w:hAnsi="Calibri" w:cs="Calibri"/>
          <w:szCs w:val="22"/>
          <w:lang w:eastAsia="en-US"/>
        </w:rPr>
        <w:t xml:space="preserve"> zwischen Triplet und Doublet</w:t>
      </w:r>
    </w:p>
    <w:p w14:paraId="1EE364C0" w14:textId="77777777" w:rsidR="00833383" w:rsidRPr="00E4567C" w:rsidRDefault="00833383" w:rsidP="00833383">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E4567C">
        <w:rPr>
          <w:rFonts w:ascii="Calibri" w:eastAsia="Calibri" w:hAnsi="Calibri" w:cs="Calibri"/>
          <w:szCs w:val="22"/>
          <w:lang w:eastAsia="en-US"/>
        </w:rPr>
        <w:t>kein Qol-Unterschied zwischen Triplet und Doublet</w:t>
      </w:r>
    </w:p>
    <w:p w14:paraId="149CCA15" w14:textId="77777777" w:rsidR="00833383" w:rsidRPr="00564EAE" w:rsidRDefault="00833383" w:rsidP="00833383">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am 30.04.2020 EMA-Zulassung für Encorafinib „in combination with cetuximab, for the treatment of adult patients with metastatic colorectal cancer with a BRAF V600E mutation, who have received prior systemic therapy“</w:t>
      </w:r>
    </w:p>
    <w:p w14:paraId="5E01412C" w14:textId="77777777" w:rsidR="00833383" w:rsidRPr="00564EAE" w:rsidRDefault="00833383" w:rsidP="00833383">
      <w:pPr>
        <w:spacing w:line="240" w:lineRule="auto"/>
        <w:jc w:val="left"/>
        <w:rPr>
          <w:lang w:val="en-GB" w:eastAsia="de-AT"/>
        </w:rPr>
      </w:pPr>
    </w:p>
    <w:p w14:paraId="712E2201" w14:textId="77777777" w:rsidR="00A41D96" w:rsidRDefault="00833383" w:rsidP="00A41D96">
      <w:pPr>
        <w:pStyle w:val="Listenabsatz"/>
        <w:numPr>
          <w:ilvl w:val="0"/>
          <w:numId w:val="42"/>
        </w:numPr>
        <w:autoSpaceDE w:val="0"/>
        <w:autoSpaceDN w:val="0"/>
        <w:adjustRightInd w:val="0"/>
        <w:spacing w:after="160" w:line="288" w:lineRule="auto"/>
        <w:jc w:val="left"/>
        <w:rPr>
          <w:rFonts w:ascii="Calibri" w:eastAsia="Calibri" w:hAnsi="Calibri" w:cs="Calibri"/>
          <w:iCs/>
          <w:sz w:val="18"/>
          <w:szCs w:val="18"/>
          <w:lang w:eastAsia="en-US"/>
        </w:rPr>
      </w:pPr>
      <w:r w:rsidRPr="00564EAE">
        <w:rPr>
          <w:rFonts w:ascii="Calibri" w:eastAsia="Calibri" w:hAnsi="Calibri" w:cs="Calibri"/>
          <w:iCs/>
          <w:sz w:val="18"/>
          <w:szCs w:val="18"/>
          <w:lang w:val="en-GB" w:eastAsia="en-US"/>
        </w:rPr>
        <w:t xml:space="preserve">Van Cutsem et al, J Clin Oncol. </w:t>
      </w:r>
      <w:r w:rsidRPr="00A41D96">
        <w:rPr>
          <w:rFonts w:ascii="Calibri" w:eastAsia="Calibri" w:hAnsi="Calibri" w:cs="Calibri"/>
          <w:iCs/>
          <w:sz w:val="18"/>
          <w:szCs w:val="18"/>
          <w:lang w:eastAsia="en-US"/>
        </w:rPr>
        <w:t>2019 Jun 10;37(17):1460-1469</w:t>
      </w:r>
    </w:p>
    <w:p w14:paraId="11DB6538" w14:textId="77777777" w:rsidR="00833383" w:rsidRPr="00564EAE" w:rsidRDefault="00833383" w:rsidP="00A41D96">
      <w:pPr>
        <w:pStyle w:val="Listenabsatz"/>
        <w:numPr>
          <w:ilvl w:val="0"/>
          <w:numId w:val="42"/>
        </w:numPr>
        <w:autoSpaceDE w:val="0"/>
        <w:autoSpaceDN w:val="0"/>
        <w:adjustRightInd w:val="0"/>
        <w:spacing w:after="160" w:line="288" w:lineRule="auto"/>
        <w:jc w:val="left"/>
        <w:rPr>
          <w:rFonts w:ascii="Calibri" w:eastAsia="Calibri" w:hAnsi="Calibri" w:cs="Calibri"/>
          <w:iCs/>
          <w:sz w:val="18"/>
          <w:szCs w:val="18"/>
          <w:lang w:val="en-GB" w:eastAsia="en-US"/>
        </w:rPr>
      </w:pPr>
      <w:r w:rsidRPr="00564EAE">
        <w:rPr>
          <w:rFonts w:ascii="Calibri" w:eastAsia="Calibri" w:hAnsi="Calibri" w:cs="Calibri"/>
          <w:sz w:val="18"/>
          <w:szCs w:val="18"/>
          <w:lang w:val="en-GB" w:eastAsia="en-US"/>
        </w:rPr>
        <w:t>Scott Kopetz, 2020 ASCO Virtual Scientific Program; Abstract: 4001</w:t>
      </w:r>
    </w:p>
    <w:p w14:paraId="28C6DBB4" w14:textId="77777777" w:rsidR="00B55945" w:rsidRPr="002F7CB3" w:rsidRDefault="00B55945" w:rsidP="00B55945">
      <w:pPr>
        <w:pStyle w:val="berschrift2"/>
        <w:rPr>
          <w:rFonts w:eastAsiaTheme="minorHAnsi"/>
          <w:lang w:eastAsia="en-US"/>
        </w:rPr>
      </w:pPr>
      <w:bookmarkStart w:id="101" w:name="_Toc24906343"/>
      <w:bookmarkStart w:id="102" w:name="_Toc93523312"/>
      <w:r>
        <w:rPr>
          <w:rFonts w:eastAsiaTheme="minorHAnsi"/>
          <w:noProof/>
          <w:lang w:eastAsia="de-AT"/>
        </w:rPr>
        <w:lastRenderedPageBreak/>
        <w:t>4.6</w:t>
      </w:r>
      <w:r>
        <w:rPr>
          <w:rFonts w:eastAsiaTheme="minorHAnsi"/>
          <w:noProof/>
          <w:lang w:eastAsia="de-AT"/>
        </w:rPr>
        <w:tab/>
        <w:t>Lokalisation des Primärtumors beim metastasierten CRC</w:t>
      </w:r>
      <w:bookmarkEnd w:id="101"/>
      <w:bookmarkEnd w:id="102"/>
    </w:p>
    <w:p w14:paraId="6FE7515E" w14:textId="77777777" w:rsidR="00B55945" w:rsidRPr="00094D41" w:rsidRDefault="00B55945" w:rsidP="00B55945">
      <w:pPr>
        <w:spacing w:line="276" w:lineRule="auto"/>
        <w:jc w:val="both"/>
        <w:rPr>
          <w:rFonts w:asciiTheme="minorHAnsi" w:hAnsiTheme="minorHAnsi" w:cstheme="minorHAnsi"/>
          <w:b/>
          <w:szCs w:val="22"/>
        </w:rPr>
      </w:pPr>
      <w:r>
        <w:rPr>
          <w:rFonts w:asciiTheme="minorHAnsi" w:hAnsiTheme="minorHAnsi" w:cstheme="minorHAnsi"/>
          <w:b/>
          <w:szCs w:val="22"/>
        </w:rPr>
        <w:t>Ist die Seitenlokalisation</w:t>
      </w:r>
      <w:r w:rsidRPr="00094D41">
        <w:rPr>
          <w:rFonts w:asciiTheme="minorHAnsi" w:hAnsiTheme="minorHAnsi" w:cstheme="minorHAnsi"/>
          <w:b/>
          <w:szCs w:val="22"/>
        </w:rPr>
        <w:t xml:space="preserve"> </w:t>
      </w:r>
      <w:r>
        <w:rPr>
          <w:rFonts w:asciiTheme="minorHAnsi" w:hAnsiTheme="minorHAnsi" w:cstheme="minorHAnsi"/>
          <w:b/>
          <w:szCs w:val="22"/>
        </w:rPr>
        <w:t>prädiktiv für das Ansprechen auf eine Anti-EGFR-Therapie</w:t>
      </w:r>
      <w:r w:rsidRPr="00094D41">
        <w:rPr>
          <w:rFonts w:asciiTheme="minorHAnsi" w:hAnsiTheme="minorHAnsi" w:cstheme="minorHAnsi"/>
          <w:b/>
          <w:szCs w:val="22"/>
        </w:rPr>
        <w:t>?</w:t>
      </w:r>
    </w:p>
    <w:p w14:paraId="18298035" w14:textId="77777777" w:rsidR="00B55945" w:rsidRDefault="00B55945" w:rsidP="00B55945">
      <w:pPr>
        <w:spacing w:line="276" w:lineRule="auto"/>
        <w:jc w:val="both"/>
        <w:rPr>
          <w:rFonts w:asciiTheme="minorHAnsi" w:hAnsiTheme="minorHAnsi" w:cstheme="minorHAnsi"/>
          <w:szCs w:val="22"/>
        </w:rPr>
      </w:pPr>
      <w:r>
        <w:rPr>
          <w:rFonts w:asciiTheme="minorHAnsi" w:hAnsiTheme="minorHAnsi" w:cstheme="minorHAnsi"/>
          <w:szCs w:val="22"/>
        </w:rPr>
        <w:t>Eine retrospektive Subgruppenanalyse der FIRE 3 -Studie hat gezeigt, dass der Überlebensvorteil im Cetuximab-Arm ausschließlich durch den Vorteil bei den linksseitigen Tumoren zustande kam. Bei den rechtsseitigen Tumoren war Bevazizumab überlegen (allerdings ohne statistische Signifikanz aufgrund der sehr kleinen Patientenzahlen).</w:t>
      </w:r>
    </w:p>
    <w:p w14:paraId="0B282AE1" w14:textId="77777777" w:rsidR="00B55945" w:rsidRDefault="00B55945" w:rsidP="00B55945">
      <w:pPr>
        <w:spacing w:line="276" w:lineRule="auto"/>
        <w:jc w:val="both"/>
        <w:rPr>
          <w:rFonts w:asciiTheme="minorHAnsi" w:hAnsiTheme="minorHAnsi" w:cstheme="minorHAnsi"/>
          <w:szCs w:val="22"/>
        </w:rPr>
      </w:pPr>
      <w:r>
        <w:rPr>
          <w:rFonts w:asciiTheme="minorHAnsi" w:hAnsiTheme="minorHAnsi" w:cstheme="minorHAnsi"/>
          <w:szCs w:val="22"/>
        </w:rPr>
        <w:t>Beim ASCO Annual Meeting 2016 wurden Daten einer retrospektiven Subgruppenanalyse der Phase III-Studie CALGB 80405 präsentiert. Auch hierbei zeigte sich ein Überlebensvorteil im Cetuximab-Arm bei linksseitigen Tumoren und ein Vorteil für Bevazizumab bei den rechtsseitigen Tumoren (siehe Tabelle).</w:t>
      </w:r>
    </w:p>
    <w:p w14:paraId="1F01A101" w14:textId="77777777" w:rsidR="00B55945" w:rsidRPr="00B163F5" w:rsidRDefault="00B55945" w:rsidP="00B55945">
      <w:pPr>
        <w:spacing w:line="276" w:lineRule="auto"/>
        <w:jc w:val="both"/>
        <w:rPr>
          <w:rFonts w:asciiTheme="minorHAnsi" w:hAnsiTheme="minorHAnsi" w:cstheme="minorHAnsi"/>
          <w:szCs w:val="22"/>
        </w:rPr>
      </w:pPr>
      <w:r w:rsidRPr="00B163F5">
        <w:rPr>
          <w:rFonts w:asciiTheme="minorHAnsi" w:hAnsiTheme="minorHAnsi" w:cstheme="minorHAnsi"/>
          <w:szCs w:val="22"/>
        </w:rPr>
        <w:t>Ebenso schnitt bei den Studien mit Panitumumab (PEAK, PRIME) die Anti-EGFR-Therapie bei den rechtsseitigen Tumoren schlecht ab.</w:t>
      </w:r>
    </w:p>
    <w:p w14:paraId="1C8A5DBC" w14:textId="77777777" w:rsidR="00B55945" w:rsidRPr="00B163F5" w:rsidRDefault="00B55945" w:rsidP="00B55945">
      <w:pPr>
        <w:spacing w:line="276" w:lineRule="auto"/>
        <w:jc w:val="both"/>
        <w:rPr>
          <w:rFonts w:asciiTheme="minorHAnsi" w:hAnsiTheme="minorHAnsi" w:cstheme="minorHAnsi"/>
          <w:szCs w:val="22"/>
        </w:rPr>
      </w:pPr>
      <w:r w:rsidRPr="00B163F5">
        <w:rPr>
          <w:rFonts w:asciiTheme="minorHAnsi" w:hAnsiTheme="minorHAnsi" w:cstheme="minorHAnsi"/>
          <w:szCs w:val="22"/>
        </w:rPr>
        <w:t>Es fehlen zwar bisher prospektive Studien und die Anzahl der retrospektiv ausgewerteten Patienten mit KRAS-Wildtyp und rechtsseitigem Primärtumor ist klein, aber die  Ergebnisse sind bei allen Studien ähnlich.</w:t>
      </w:r>
    </w:p>
    <w:p w14:paraId="033ABBE2" w14:textId="77777777" w:rsidR="00B55945" w:rsidRPr="008F27E1" w:rsidRDefault="00B55945" w:rsidP="00B55945">
      <w:pPr>
        <w:spacing w:line="276" w:lineRule="auto"/>
        <w:jc w:val="both"/>
        <w:rPr>
          <w:rFonts w:asciiTheme="minorHAnsi" w:hAnsiTheme="minorHAnsi" w:cstheme="minorHAnsi"/>
          <w:sz w:val="16"/>
          <w:szCs w:val="16"/>
        </w:rPr>
      </w:pPr>
    </w:p>
    <w:tbl>
      <w:tblPr>
        <w:tblStyle w:val="Gitternetztabelle2Akz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875"/>
        <w:gridCol w:w="3748"/>
      </w:tblGrid>
      <w:tr w:rsidR="00B55945" w14:paraId="4F5AB875" w14:textId="77777777" w:rsidTr="0056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3"/>
            <w:tcBorders>
              <w:top w:val="none" w:sz="0" w:space="0" w:color="auto"/>
              <w:bottom w:val="none" w:sz="0" w:space="0" w:color="auto"/>
            </w:tcBorders>
            <w:shd w:val="clear" w:color="auto" w:fill="FDE9D9" w:themeFill="accent6" w:themeFillTint="33"/>
          </w:tcPr>
          <w:p w14:paraId="7F46849F" w14:textId="77777777" w:rsidR="00B55945" w:rsidRDefault="00B55945" w:rsidP="00564EAE">
            <w:pPr>
              <w:spacing w:line="276" w:lineRule="auto"/>
              <w:rPr>
                <w:rFonts w:asciiTheme="minorHAnsi" w:hAnsiTheme="minorHAnsi" w:cstheme="minorHAnsi"/>
              </w:rPr>
            </w:pPr>
            <w:r>
              <w:rPr>
                <w:rFonts w:asciiTheme="minorHAnsi" w:hAnsiTheme="minorHAnsi" w:cstheme="minorHAnsi"/>
              </w:rPr>
              <w:t>CALGB 80405 KRAS-WT</w:t>
            </w:r>
          </w:p>
        </w:tc>
      </w:tr>
      <w:tr w:rsidR="00B55945" w14:paraId="7ABD5E93" w14:textId="77777777" w:rsidTr="00564EA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58" w:type="dxa"/>
            <w:shd w:val="clear" w:color="auto" w:fill="FFFFFF" w:themeFill="background1"/>
          </w:tcPr>
          <w:p w14:paraId="66633240" w14:textId="77777777" w:rsidR="00B55945" w:rsidRPr="00446233" w:rsidRDefault="00B55945" w:rsidP="00564EAE">
            <w:pPr>
              <w:spacing w:line="276" w:lineRule="auto"/>
              <w:rPr>
                <w:rFonts w:asciiTheme="minorHAnsi" w:hAnsiTheme="minorHAnsi" w:cstheme="minorHAnsi"/>
                <w:b w:val="0"/>
              </w:rPr>
            </w:pPr>
            <w:r w:rsidRPr="00446233">
              <w:rPr>
                <w:rFonts w:asciiTheme="minorHAnsi" w:hAnsiTheme="minorHAnsi" w:cstheme="minorHAnsi"/>
                <w:b w:val="0"/>
              </w:rPr>
              <w:t>Medianes OS</w:t>
            </w:r>
            <w:r>
              <w:rPr>
                <w:rFonts w:asciiTheme="minorHAnsi" w:hAnsiTheme="minorHAnsi" w:cstheme="minorHAnsi"/>
                <w:b w:val="0"/>
              </w:rPr>
              <w:t xml:space="preserve"> (Monate)</w:t>
            </w:r>
          </w:p>
        </w:tc>
        <w:tc>
          <w:tcPr>
            <w:tcW w:w="1879" w:type="dxa"/>
            <w:shd w:val="clear" w:color="auto" w:fill="FFFFFF" w:themeFill="background1"/>
          </w:tcPr>
          <w:p w14:paraId="068BA19D" w14:textId="77777777" w:rsidR="00B55945" w:rsidRDefault="00B55945" w:rsidP="00564EA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Rechts</w:t>
            </w:r>
          </w:p>
          <w:p w14:paraId="35C3A7C7" w14:textId="77777777" w:rsidR="00B55945" w:rsidRDefault="00B55945" w:rsidP="00564EA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759" w:type="dxa"/>
            <w:shd w:val="clear" w:color="auto" w:fill="FFFFFF" w:themeFill="background1"/>
          </w:tcPr>
          <w:p w14:paraId="2E08496C" w14:textId="77777777" w:rsidR="00B55945" w:rsidRDefault="00B55945" w:rsidP="00564EA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Links</w:t>
            </w:r>
          </w:p>
          <w:p w14:paraId="0EF57CB1" w14:textId="77777777" w:rsidR="00B55945" w:rsidRDefault="00B55945" w:rsidP="00564EA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55945" w14:paraId="408A3831" w14:textId="77777777" w:rsidTr="00564EAE">
        <w:trPr>
          <w:trHeight w:val="284"/>
        </w:trPr>
        <w:tc>
          <w:tcPr>
            <w:cnfStyle w:val="001000000000" w:firstRow="0" w:lastRow="0" w:firstColumn="1" w:lastColumn="0" w:oddVBand="0" w:evenVBand="0" w:oddHBand="0" w:evenHBand="0" w:firstRowFirstColumn="0" w:firstRowLastColumn="0" w:lastRowFirstColumn="0" w:lastRowLastColumn="0"/>
            <w:tcW w:w="3758" w:type="dxa"/>
            <w:shd w:val="clear" w:color="auto" w:fill="EEECE1" w:themeFill="background2"/>
            <w:vAlign w:val="center"/>
          </w:tcPr>
          <w:p w14:paraId="4DE22A28" w14:textId="77777777" w:rsidR="00B55945" w:rsidRPr="00446233" w:rsidRDefault="00B55945" w:rsidP="00564EAE">
            <w:pPr>
              <w:spacing w:line="276" w:lineRule="auto"/>
              <w:rPr>
                <w:rFonts w:asciiTheme="minorHAnsi" w:hAnsiTheme="minorHAnsi" w:cstheme="minorHAnsi"/>
                <w:b w:val="0"/>
              </w:rPr>
            </w:pPr>
            <w:r w:rsidRPr="00446233">
              <w:rPr>
                <w:rFonts w:asciiTheme="minorHAnsi" w:hAnsiTheme="minorHAnsi" w:cstheme="minorHAnsi"/>
                <w:b w:val="0"/>
              </w:rPr>
              <w:t>Cetuximab</w:t>
            </w:r>
          </w:p>
        </w:tc>
        <w:tc>
          <w:tcPr>
            <w:tcW w:w="1879" w:type="dxa"/>
            <w:shd w:val="clear" w:color="auto" w:fill="EEECE1" w:themeFill="background2"/>
            <w:vAlign w:val="center"/>
          </w:tcPr>
          <w:p w14:paraId="78782B00" w14:textId="77777777" w:rsidR="00B55945" w:rsidRDefault="00B55945" w:rsidP="00564EA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16,7</w:t>
            </w:r>
          </w:p>
        </w:tc>
        <w:tc>
          <w:tcPr>
            <w:tcW w:w="3759" w:type="dxa"/>
            <w:shd w:val="clear" w:color="auto" w:fill="EEECE1" w:themeFill="background2"/>
            <w:vAlign w:val="center"/>
          </w:tcPr>
          <w:p w14:paraId="3516A379" w14:textId="77777777" w:rsidR="00B55945" w:rsidRDefault="00B55945" w:rsidP="00564EA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36,0</w:t>
            </w:r>
          </w:p>
        </w:tc>
      </w:tr>
      <w:tr w:rsidR="00B55945" w14:paraId="28546DD0" w14:textId="77777777" w:rsidTr="00564E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58" w:type="dxa"/>
            <w:shd w:val="clear" w:color="auto" w:fill="FFFFFF" w:themeFill="background1"/>
            <w:vAlign w:val="center"/>
          </w:tcPr>
          <w:p w14:paraId="119A8479" w14:textId="77777777" w:rsidR="00B55945" w:rsidRPr="00446233" w:rsidRDefault="00B55945" w:rsidP="00564EAE">
            <w:pPr>
              <w:spacing w:line="276" w:lineRule="auto"/>
              <w:rPr>
                <w:rFonts w:asciiTheme="minorHAnsi" w:hAnsiTheme="minorHAnsi" w:cstheme="minorHAnsi"/>
                <w:b w:val="0"/>
              </w:rPr>
            </w:pPr>
            <w:r w:rsidRPr="00446233">
              <w:rPr>
                <w:rFonts w:asciiTheme="minorHAnsi" w:hAnsiTheme="minorHAnsi" w:cstheme="minorHAnsi"/>
                <w:b w:val="0"/>
              </w:rPr>
              <w:t>Bevazizumab</w:t>
            </w:r>
          </w:p>
        </w:tc>
        <w:tc>
          <w:tcPr>
            <w:tcW w:w="1879" w:type="dxa"/>
            <w:shd w:val="clear" w:color="auto" w:fill="FFFFFF" w:themeFill="background1"/>
            <w:vAlign w:val="center"/>
          </w:tcPr>
          <w:p w14:paraId="6FD8D32C" w14:textId="77777777" w:rsidR="00B55945" w:rsidRDefault="00B55945" w:rsidP="00564EA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24,2</w:t>
            </w:r>
          </w:p>
        </w:tc>
        <w:tc>
          <w:tcPr>
            <w:tcW w:w="3759" w:type="dxa"/>
            <w:shd w:val="clear" w:color="auto" w:fill="FFFFFF" w:themeFill="background1"/>
            <w:vAlign w:val="center"/>
          </w:tcPr>
          <w:p w14:paraId="6C2A282E" w14:textId="77777777" w:rsidR="00B55945" w:rsidRDefault="00B55945" w:rsidP="00564EA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31,4</w:t>
            </w:r>
          </w:p>
        </w:tc>
      </w:tr>
    </w:tbl>
    <w:p w14:paraId="4A059D34" w14:textId="77777777" w:rsidR="00B55945" w:rsidRPr="00B163F5" w:rsidRDefault="00B55945" w:rsidP="00B55945">
      <w:pPr>
        <w:pStyle w:val="berschrift2"/>
        <w:spacing w:line="276" w:lineRule="auto"/>
        <w:rPr>
          <w:rFonts w:eastAsiaTheme="minorHAnsi"/>
          <w:noProof/>
          <w:lang w:eastAsia="de-AT"/>
        </w:rPr>
      </w:pPr>
      <w:bookmarkStart w:id="103" w:name="_Toc24906344"/>
      <w:bookmarkStart w:id="104" w:name="_Toc93523313"/>
      <w:bookmarkStart w:id="105" w:name="_Hlk59477302"/>
      <w:r>
        <w:rPr>
          <w:rFonts w:eastAsiaTheme="minorHAnsi"/>
          <w:noProof/>
          <w:lang w:eastAsia="de-AT"/>
        </w:rPr>
        <w:t>4.7</w:t>
      </w:r>
      <w:r w:rsidRPr="00B163F5">
        <w:rPr>
          <w:rFonts w:eastAsiaTheme="minorHAnsi"/>
          <w:noProof/>
          <w:lang w:eastAsia="de-AT"/>
        </w:rPr>
        <w:tab/>
        <w:t>HER2-Amplifikation beim metastasierten CRC</w:t>
      </w:r>
      <w:bookmarkEnd w:id="103"/>
      <w:bookmarkEnd w:id="104"/>
    </w:p>
    <w:p w14:paraId="546CA928" w14:textId="77777777" w:rsidR="00B55945" w:rsidRPr="00A65C7E" w:rsidRDefault="00B55945" w:rsidP="00B55945">
      <w:pPr>
        <w:pStyle w:val="Listenabsatz"/>
        <w:numPr>
          <w:ilvl w:val="0"/>
          <w:numId w:val="7"/>
        </w:numPr>
        <w:spacing w:line="276" w:lineRule="auto"/>
        <w:jc w:val="left"/>
        <w:rPr>
          <w:rFonts w:eastAsiaTheme="minorHAnsi"/>
          <w:lang w:eastAsia="de-AT"/>
        </w:rPr>
      </w:pPr>
      <w:r w:rsidRPr="00B163F5">
        <w:rPr>
          <w:rFonts w:asciiTheme="minorHAnsi" w:eastAsiaTheme="minorHAnsi" w:hAnsiTheme="minorHAnsi" w:cstheme="minorHAnsi"/>
          <w:lang w:eastAsia="de-AT"/>
        </w:rPr>
        <w:t>Eine Her2-Amplifikation wird bei ca. 5% der RAS-WT metastasierten CRC gefunden</w:t>
      </w:r>
      <w:r>
        <w:rPr>
          <w:rFonts w:asciiTheme="minorHAnsi" w:eastAsiaTheme="minorHAnsi" w:hAnsiTheme="minorHAnsi" w:cstheme="minorHAnsi"/>
          <w:lang w:eastAsia="de-AT"/>
        </w:rPr>
        <w:t xml:space="preserve"> (Heracles-Studie)</w:t>
      </w:r>
      <w:r w:rsidRPr="00B163F5">
        <w:rPr>
          <w:rFonts w:asciiTheme="minorHAnsi" w:eastAsiaTheme="minorHAnsi" w:hAnsiTheme="minorHAnsi" w:cstheme="minorHAnsi"/>
          <w:lang w:eastAsia="de-AT"/>
        </w:rPr>
        <w:t>.</w:t>
      </w:r>
    </w:p>
    <w:p w14:paraId="67A2587E" w14:textId="77777777" w:rsidR="00B55945" w:rsidRPr="00A65C7E" w:rsidRDefault="00B55945" w:rsidP="00B55945">
      <w:pPr>
        <w:pStyle w:val="Listenabsatz"/>
        <w:numPr>
          <w:ilvl w:val="0"/>
          <w:numId w:val="7"/>
        </w:numPr>
        <w:spacing w:line="276" w:lineRule="auto"/>
        <w:jc w:val="left"/>
        <w:rPr>
          <w:rFonts w:eastAsiaTheme="minorHAnsi"/>
          <w:lang w:eastAsia="de-AT"/>
        </w:rPr>
      </w:pPr>
      <w:r>
        <w:rPr>
          <w:rFonts w:asciiTheme="minorHAnsi" w:eastAsiaTheme="minorHAnsi" w:hAnsiTheme="minorHAnsi" w:cstheme="minorHAnsi"/>
          <w:lang w:eastAsia="de-AT"/>
        </w:rPr>
        <w:t>Bei Quadruple-negativen Tumoren (</w:t>
      </w:r>
      <w:r w:rsidRPr="00A65C7E">
        <w:rPr>
          <w:rFonts w:asciiTheme="minorHAnsi" w:eastAsiaTheme="minorHAnsi" w:hAnsiTheme="minorHAnsi" w:cstheme="minorHAnsi"/>
          <w:lang w:eastAsia="de-AT"/>
        </w:rPr>
        <w:t>KRAS</w:t>
      </w:r>
      <w:r>
        <w:rPr>
          <w:rFonts w:asciiTheme="minorHAnsi" w:eastAsiaTheme="minorHAnsi" w:hAnsiTheme="minorHAnsi" w:cstheme="minorHAnsi"/>
          <w:lang w:eastAsia="de-AT"/>
        </w:rPr>
        <w:t>-</w:t>
      </w:r>
      <w:r w:rsidRPr="00A65C7E">
        <w:rPr>
          <w:rFonts w:asciiTheme="minorHAnsi" w:eastAsiaTheme="minorHAnsi" w:hAnsiTheme="minorHAnsi" w:cstheme="minorHAnsi"/>
          <w:lang w:eastAsia="de-AT"/>
        </w:rPr>
        <w:t>, NRAS</w:t>
      </w:r>
      <w:r>
        <w:rPr>
          <w:rFonts w:asciiTheme="minorHAnsi" w:eastAsiaTheme="minorHAnsi" w:hAnsiTheme="minorHAnsi" w:cstheme="minorHAnsi"/>
          <w:lang w:eastAsia="de-AT"/>
        </w:rPr>
        <w:t>-</w:t>
      </w:r>
      <w:r w:rsidRPr="00A65C7E">
        <w:rPr>
          <w:rFonts w:asciiTheme="minorHAnsi" w:eastAsiaTheme="minorHAnsi" w:hAnsiTheme="minorHAnsi" w:cstheme="minorHAnsi"/>
          <w:lang w:eastAsia="de-AT"/>
        </w:rPr>
        <w:t>, BRAF</w:t>
      </w:r>
      <w:r>
        <w:rPr>
          <w:rFonts w:asciiTheme="minorHAnsi" w:eastAsiaTheme="minorHAnsi" w:hAnsiTheme="minorHAnsi" w:cstheme="minorHAnsi"/>
          <w:lang w:eastAsia="de-AT"/>
        </w:rPr>
        <w:t>-</w:t>
      </w:r>
      <w:r w:rsidRPr="00A65C7E">
        <w:rPr>
          <w:rFonts w:asciiTheme="minorHAnsi" w:eastAsiaTheme="minorHAnsi" w:hAnsiTheme="minorHAnsi" w:cstheme="minorHAnsi"/>
          <w:lang w:eastAsia="de-AT"/>
        </w:rPr>
        <w:t xml:space="preserve"> </w:t>
      </w:r>
      <w:r>
        <w:rPr>
          <w:rFonts w:asciiTheme="minorHAnsi" w:eastAsiaTheme="minorHAnsi" w:hAnsiTheme="minorHAnsi" w:cstheme="minorHAnsi"/>
          <w:lang w:eastAsia="de-AT"/>
        </w:rPr>
        <w:t xml:space="preserve">und </w:t>
      </w:r>
      <w:r w:rsidRPr="00A65C7E">
        <w:rPr>
          <w:rFonts w:asciiTheme="minorHAnsi" w:eastAsiaTheme="minorHAnsi" w:hAnsiTheme="minorHAnsi" w:cstheme="minorHAnsi"/>
          <w:lang w:eastAsia="de-AT"/>
        </w:rPr>
        <w:t>PIK3CA</w:t>
      </w:r>
      <w:r>
        <w:rPr>
          <w:rFonts w:asciiTheme="minorHAnsi" w:eastAsiaTheme="minorHAnsi" w:hAnsiTheme="minorHAnsi" w:cstheme="minorHAnsi"/>
          <w:lang w:eastAsia="de-AT"/>
        </w:rPr>
        <w:t>-</w:t>
      </w:r>
      <w:r w:rsidRPr="00A65C7E">
        <w:rPr>
          <w:rFonts w:asciiTheme="minorHAnsi" w:eastAsiaTheme="minorHAnsi" w:hAnsiTheme="minorHAnsi" w:cstheme="minorHAnsi"/>
          <w:lang w:eastAsia="de-AT"/>
        </w:rPr>
        <w:t>W</w:t>
      </w:r>
      <w:r>
        <w:rPr>
          <w:rFonts w:asciiTheme="minorHAnsi" w:eastAsiaTheme="minorHAnsi" w:hAnsiTheme="minorHAnsi" w:cstheme="minorHAnsi"/>
          <w:lang w:eastAsia="de-AT"/>
        </w:rPr>
        <w:t>ildtyp)</w:t>
      </w:r>
      <w:r w:rsidRPr="00A65C7E">
        <w:rPr>
          <w:rFonts w:asciiTheme="minorHAnsi" w:eastAsiaTheme="minorHAnsi" w:hAnsiTheme="minorHAnsi" w:cstheme="minorHAnsi"/>
          <w:lang w:eastAsia="de-AT"/>
        </w:rPr>
        <w:t xml:space="preserve"> </w:t>
      </w:r>
      <w:r>
        <w:rPr>
          <w:rFonts w:asciiTheme="minorHAnsi" w:eastAsiaTheme="minorHAnsi" w:hAnsiTheme="minorHAnsi" w:cstheme="minorHAnsi"/>
          <w:lang w:eastAsia="de-AT"/>
        </w:rPr>
        <w:t>weisen aber ca. 1/3 eine Her2-Amplifikation auf (</w:t>
      </w:r>
      <w:r w:rsidRPr="00A65C7E">
        <w:rPr>
          <w:rFonts w:asciiTheme="minorHAnsi" w:eastAsiaTheme="minorHAnsi" w:hAnsiTheme="minorHAnsi" w:cstheme="minorHAnsi"/>
          <w:lang w:eastAsia="de-AT"/>
        </w:rPr>
        <w:t>Bertotti</w:t>
      </w:r>
      <w:r>
        <w:rPr>
          <w:rFonts w:asciiTheme="minorHAnsi" w:eastAsiaTheme="minorHAnsi" w:hAnsiTheme="minorHAnsi" w:cstheme="minorHAnsi"/>
          <w:lang w:eastAsia="de-AT"/>
        </w:rPr>
        <w:t>,</w:t>
      </w:r>
      <w:r w:rsidRPr="00A65C7E">
        <w:rPr>
          <w:rFonts w:asciiTheme="minorHAnsi" w:eastAsiaTheme="minorHAnsi" w:hAnsiTheme="minorHAnsi" w:cstheme="minorHAnsi"/>
          <w:lang w:eastAsia="de-AT"/>
        </w:rPr>
        <w:t xml:space="preserve"> Cancer Discovery</w:t>
      </w:r>
      <w:r>
        <w:rPr>
          <w:rFonts w:asciiTheme="minorHAnsi" w:eastAsiaTheme="minorHAnsi" w:hAnsiTheme="minorHAnsi" w:cstheme="minorHAnsi"/>
          <w:lang w:eastAsia="de-AT"/>
        </w:rPr>
        <w:t xml:space="preserve">, </w:t>
      </w:r>
      <w:r w:rsidRPr="00A65C7E">
        <w:rPr>
          <w:rFonts w:asciiTheme="minorHAnsi" w:eastAsiaTheme="minorHAnsi" w:hAnsiTheme="minorHAnsi" w:cstheme="minorHAnsi"/>
          <w:lang w:eastAsia="de-AT"/>
        </w:rPr>
        <w:t>2011</w:t>
      </w:r>
      <w:r>
        <w:rPr>
          <w:rFonts w:asciiTheme="minorHAnsi" w:eastAsiaTheme="minorHAnsi" w:hAnsiTheme="minorHAnsi" w:cstheme="minorHAnsi"/>
          <w:lang w:eastAsia="de-AT"/>
        </w:rPr>
        <w:t>)</w:t>
      </w:r>
    </w:p>
    <w:p w14:paraId="5A29C85E" w14:textId="77777777" w:rsidR="00B55945" w:rsidRPr="00B163F5" w:rsidRDefault="00B55945" w:rsidP="00B55945">
      <w:pPr>
        <w:pStyle w:val="Listenabsatz"/>
        <w:numPr>
          <w:ilvl w:val="0"/>
          <w:numId w:val="7"/>
        </w:numPr>
        <w:spacing w:line="276" w:lineRule="auto"/>
        <w:jc w:val="left"/>
        <w:rPr>
          <w:rFonts w:eastAsiaTheme="minorHAnsi"/>
          <w:lang w:eastAsia="de-AT"/>
        </w:rPr>
      </w:pPr>
      <w:r w:rsidRPr="00B163F5">
        <w:rPr>
          <w:rFonts w:asciiTheme="minorHAnsi" w:eastAsiaTheme="minorHAnsi" w:hAnsiTheme="minorHAnsi" w:cstheme="minorHAnsi"/>
          <w:lang w:eastAsia="de-AT"/>
        </w:rPr>
        <w:t xml:space="preserve">Diese Tumoren weisen ein signifikant schlechteres PFS und OS auf und </w:t>
      </w:r>
      <w:r>
        <w:rPr>
          <w:rFonts w:asciiTheme="minorHAnsi" w:eastAsiaTheme="minorHAnsi" w:hAnsiTheme="minorHAnsi" w:cstheme="minorHAnsi"/>
          <w:lang w:eastAsia="de-AT"/>
        </w:rPr>
        <w:t xml:space="preserve">dürften </w:t>
      </w:r>
      <w:r w:rsidRPr="00B163F5">
        <w:rPr>
          <w:rFonts w:asciiTheme="minorHAnsi" w:eastAsiaTheme="minorHAnsi" w:hAnsiTheme="minorHAnsi" w:cstheme="minorHAnsi"/>
          <w:lang w:eastAsia="de-AT"/>
        </w:rPr>
        <w:t>mit einer Resistenz gegen eine Anti-EGFR-Therapie</w:t>
      </w:r>
      <w:r>
        <w:rPr>
          <w:rFonts w:asciiTheme="minorHAnsi" w:eastAsiaTheme="minorHAnsi" w:hAnsiTheme="minorHAnsi" w:cstheme="minorHAnsi"/>
          <w:lang w:eastAsia="de-AT"/>
        </w:rPr>
        <w:t xml:space="preserve"> assoziiert sein (Satori-Bianchi et al., The Oncologist, Oct. 2019).</w:t>
      </w:r>
    </w:p>
    <w:p w14:paraId="0FF89BE3" w14:textId="77777777" w:rsidR="00B55945" w:rsidRPr="00DC728F" w:rsidRDefault="00B55945" w:rsidP="00B55945">
      <w:pPr>
        <w:pStyle w:val="Listenabsatz"/>
        <w:numPr>
          <w:ilvl w:val="0"/>
          <w:numId w:val="7"/>
        </w:numPr>
        <w:spacing w:line="276" w:lineRule="auto"/>
        <w:jc w:val="left"/>
        <w:rPr>
          <w:rFonts w:eastAsiaTheme="minorHAnsi"/>
          <w:b/>
          <w:bCs/>
          <w:lang w:eastAsia="de-AT"/>
        </w:rPr>
      </w:pPr>
      <w:bookmarkStart w:id="106" w:name="_Hlk93172999"/>
      <w:r w:rsidRPr="00DC728F">
        <w:rPr>
          <w:rFonts w:asciiTheme="minorHAnsi" w:eastAsiaTheme="minorHAnsi" w:hAnsiTheme="minorHAnsi" w:cstheme="minorHAnsi"/>
          <w:b/>
          <w:bCs/>
          <w:lang w:eastAsia="de-AT"/>
        </w:rPr>
        <w:t>HERACLES-Studie</w:t>
      </w:r>
      <w:r w:rsidRPr="00DC728F">
        <w:rPr>
          <w:rFonts w:eastAsia="Calibri" w:cs="Arial"/>
          <w:b/>
          <w:bCs/>
          <w:szCs w:val="22"/>
          <w:vertAlign w:val="superscript"/>
          <w:lang w:eastAsia="en-US"/>
        </w:rPr>
        <w:t xml:space="preserve"> 1)</w:t>
      </w:r>
      <w:r w:rsidRPr="00DC728F">
        <w:rPr>
          <w:rFonts w:eastAsia="Calibri" w:cs="Arial"/>
          <w:b/>
          <w:bCs/>
          <w:szCs w:val="22"/>
          <w:lang w:eastAsia="en-US"/>
        </w:rPr>
        <w:t>:</w:t>
      </w:r>
    </w:p>
    <w:p w14:paraId="4F810FDB" w14:textId="77777777" w:rsidR="00B55945" w:rsidRDefault="00B55945" w:rsidP="00B55945">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014E32">
        <w:rPr>
          <w:rFonts w:asciiTheme="minorHAnsi" w:eastAsiaTheme="minorHAnsi" w:hAnsiTheme="minorHAnsi" w:cstheme="minorHAnsi"/>
          <w:lang w:eastAsia="de-AT"/>
        </w:rPr>
        <w:t xml:space="preserve">Italienische Phase II-Studie </w:t>
      </w:r>
      <w:r>
        <w:rPr>
          <w:rFonts w:asciiTheme="minorHAnsi" w:eastAsiaTheme="minorHAnsi" w:hAnsiTheme="minorHAnsi" w:cstheme="minorHAnsi"/>
          <w:lang w:eastAsia="de-AT"/>
        </w:rPr>
        <w:t>zur Wirksamkeit von Trastuzumab + Lapatinib</w:t>
      </w:r>
      <w:r w:rsidRPr="00014E32">
        <w:rPr>
          <w:rFonts w:asciiTheme="minorHAnsi" w:eastAsiaTheme="minorHAnsi" w:hAnsiTheme="minorHAnsi" w:cstheme="minorHAnsi"/>
          <w:lang w:eastAsia="de-AT"/>
        </w:rPr>
        <w:t>mit</w:t>
      </w:r>
      <w:r>
        <w:rPr>
          <w:rFonts w:asciiTheme="minorHAnsi" w:eastAsiaTheme="minorHAnsi" w:hAnsiTheme="minorHAnsi" w:cstheme="minorHAnsi"/>
          <w:lang w:eastAsia="de-AT"/>
        </w:rPr>
        <w:t xml:space="preserve"> bei</w:t>
      </w:r>
      <w:r w:rsidRPr="00014E32">
        <w:rPr>
          <w:rFonts w:asciiTheme="minorHAnsi" w:eastAsiaTheme="minorHAnsi" w:hAnsiTheme="minorHAnsi" w:cstheme="minorHAnsi"/>
          <w:lang w:eastAsia="de-AT"/>
        </w:rPr>
        <w:t xml:space="preserve"> 33 schwer vorbehandelte</w:t>
      </w:r>
      <w:r>
        <w:rPr>
          <w:rFonts w:asciiTheme="minorHAnsi" w:eastAsiaTheme="minorHAnsi" w:hAnsiTheme="minorHAnsi" w:cstheme="minorHAnsi"/>
          <w:lang w:eastAsia="de-AT"/>
        </w:rPr>
        <w:t>n</w:t>
      </w:r>
      <w:r w:rsidRPr="00014E32">
        <w:rPr>
          <w:rFonts w:asciiTheme="minorHAnsi" w:eastAsiaTheme="minorHAnsi" w:hAnsiTheme="minorHAnsi" w:cstheme="minorHAnsi"/>
          <w:lang w:eastAsia="de-AT"/>
        </w:rPr>
        <w:t xml:space="preserve"> </w:t>
      </w:r>
      <w:r>
        <w:rPr>
          <w:rFonts w:asciiTheme="minorHAnsi" w:eastAsiaTheme="minorHAnsi" w:hAnsiTheme="minorHAnsi" w:cstheme="minorHAnsi"/>
          <w:lang w:eastAsia="de-AT"/>
        </w:rPr>
        <w:t xml:space="preserve">Patienten mit Her2-pos. </w:t>
      </w:r>
      <w:r w:rsidRPr="00014E32">
        <w:rPr>
          <w:rFonts w:asciiTheme="minorHAnsi" w:eastAsiaTheme="minorHAnsi" w:hAnsiTheme="minorHAnsi" w:cstheme="minorHAnsi"/>
          <w:lang w:eastAsia="de-AT"/>
        </w:rPr>
        <w:t>metastasierte</w:t>
      </w:r>
      <w:r>
        <w:rPr>
          <w:rFonts w:asciiTheme="minorHAnsi" w:eastAsiaTheme="minorHAnsi" w:hAnsiTheme="minorHAnsi" w:cstheme="minorHAnsi"/>
          <w:lang w:eastAsia="de-AT"/>
        </w:rPr>
        <w:t>m</w:t>
      </w:r>
      <w:r w:rsidRPr="00014E32">
        <w:rPr>
          <w:rFonts w:asciiTheme="minorHAnsi" w:eastAsiaTheme="minorHAnsi" w:hAnsiTheme="minorHAnsi" w:cstheme="minorHAnsi"/>
          <w:lang w:eastAsia="de-AT"/>
        </w:rPr>
        <w:t xml:space="preserve"> CRC</w:t>
      </w:r>
    </w:p>
    <w:p w14:paraId="254A2DD6" w14:textId="77777777" w:rsidR="00B55945" w:rsidRPr="00014E32" w:rsidRDefault="00B55945" w:rsidP="00B55945">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014E32">
        <w:rPr>
          <w:rFonts w:asciiTheme="minorHAnsi" w:eastAsiaTheme="minorHAnsi" w:hAnsiTheme="minorHAnsi" w:cstheme="minorHAnsi"/>
          <w:lang w:eastAsia="de-AT"/>
        </w:rPr>
        <w:t>ORR 3</w:t>
      </w:r>
      <w:r>
        <w:rPr>
          <w:rFonts w:asciiTheme="minorHAnsi" w:eastAsiaTheme="minorHAnsi" w:hAnsiTheme="minorHAnsi" w:cstheme="minorHAnsi"/>
          <w:lang w:eastAsia="de-AT"/>
        </w:rPr>
        <w:t>1</w:t>
      </w:r>
      <w:r w:rsidRPr="00014E32">
        <w:rPr>
          <w:rFonts w:asciiTheme="minorHAnsi" w:eastAsiaTheme="minorHAnsi" w:hAnsiTheme="minorHAnsi" w:cstheme="minorHAnsi"/>
          <w:lang w:eastAsia="de-AT"/>
        </w:rPr>
        <w:t>%</w:t>
      </w:r>
      <w:r>
        <w:rPr>
          <w:rFonts w:asciiTheme="minorHAnsi" w:eastAsiaTheme="minorHAnsi" w:hAnsiTheme="minorHAnsi" w:cstheme="minorHAnsi"/>
          <w:lang w:eastAsia="de-AT"/>
        </w:rPr>
        <w:t xml:space="preserve">, </w:t>
      </w:r>
      <w:r w:rsidRPr="00014E32">
        <w:rPr>
          <w:rFonts w:asciiTheme="minorHAnsi" w:eastAsiaTheme="minorHAnsi" w:hAnsiTheme="minorHAnsi" w:cstheme="minorHAnsi"/>
          <w:lang w:eastAsia="de-AT"/>
        </w:rPr>
        <w:t xml:space="preserve">Disease control rate </w:t>
      </w:r>
      <w:r>
        <w:rPr>
          <w:rFonts w:asciiTheme="minorHAnsi" w:eastAsiaTheme="minorHAnsi" w:hAnsiTheme="minorHAnsi" w:cstheme="minorHAnsi"/>
          <w:lang w:eastAsia="de-AT"/>
        </w:rPr>
        <w:t xml:space="preserve">61 </w:t>
      </w:r>
      <w:r w:rsidRPr="00014E32">
        <w:rPr>
          <w:rFonts w:asciiTheme="minorHAnsi" w:eastAsiaTheme="minorHAnsi" w:hAnsiTheme="minorHAnsi" w:cstheme="minorHAnsi"/>
          <w:lang w:eastAsia="de-AT"/>
        </w:rPr>
        <w:t>%</w:t>
      </w:r>
    </w:p>
    <w:p w14:paraId="29CD2616" w14:textId="77777777" w:rsidR="00B55945" w:rsidRPr="00B55945" w:rsidRDefault="00B55945" w:rsidP="00B55945">
      <w:pPr>
        <w:numPr>
          <w:ilvl w:val="0"/>
          <w:numId w:val="7"/>
        </w:numPr>
        <w:spacing w:line="276" w:lineRule="auto"/>
        <w:jc w:val="left"/>
        <w:rPr>
          <w:rFonts w:asciiTheme="minorHAnsi" w:eastAsiaTheme="minorHAnsi" w:hAnsiTheme="minorHAnsi" w:cstheme="minorHAnsi"/>
          <w:b/>
          <w:bCs/>
          <w:lang w:eastAsia="de-AT"/>
        </w:rPr>
      </w:pPr>
      <w:bookmarkStart w:id="107" w:name="_Hlk93173010"/>
      <w:bookmarkEnd w:id="106"/>
      <w:r w:rsidRPr="00B55945">
        <w:rPr>
          <w:rFonts w:asciiTheme="minorHAnsi" w:eastAsiaTheme="minorHAnsi" w:hAnsiTheme="minorHAnsi" w:cstheme="minorHAnsi"/>
          <w:b/>
          <w:bCs/>
          <w:lang w:eastAsia="de-AT"/>
        </w:rPr>
        <w:t xml:space="preserve">MyPathway-Studie </w:t>
      </w:r>
      <w:bookmarkStart w:id="108" w:name="_Hlk93519929"/>
      <w:r w:rsidRPr="00B55945">
        <w:rPr>
          <w:rFonts w:eastAsia="Calibri" w:cs="Arial"/>
          <w:b/>
          <w:bCs/>
          <w:szCs w:val="22"/>
          <w:vertAlign w:val="superscript"/>
          <w:lang w:eastAsia="en-US"/>
        </w:rPr>
        <w:t>2)</w:t>
      </w:r>
      <w:r w:rsidRPr="00B55945">
        <w:rPr>
          <w:rFonts w:eastAsia="Calibri" w:cs="Arial"/>
          <w:b/>
          <w:bCs/>
          <w:szCs w:val="22"/>
          <w:lang w:eastAsia="en-US"/>
        </w:rPr>
        <w:t>:</w:t>
      </w:r>
      <w:bookmarkEnd w:id="108"/>
    </w:p>
    <w:p w14:paraId="3E3AEE70"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Phase IIa-multiple-basket-Studie, davon 57 therapierefraktäre Patienten mit mCRC mit Her2-Amplifikation, diese Patienten erhielten Trastuzumab + Pertuzumab</w:t>
      </w:r>
    </w:p>
    <w:p w14:paraId="75DA0D5C"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ORR 32%</w:t>
      </w:r>
    </w:p>
    <w:bookmarkEnd w:id="107"/>
    <w:p w14:paraId="493F77FC" w14:textId="77777777" w:rsidR="00B55945" w:rsidRPr="00564EAE" w:rsidRDefault="00B55945" w:rsidP="00B55945">
      <w:pPr>
        <w:numPr>
          <w:ilvl w:val="0"/>
          <w:numId w:val="7"/>
        </w:numPr>
        <w:spacing w:line="276" w:lineRule="auto"/>
        <w:jc w:val="left"/>
        <w:rPr>
          <w:rFonts w:asciiTheme="minorHAnsi" w:eastAsiaTheme="minorHAnsi" w:hAnsiTheme="minorHAnsi" w:cstheme="minorHAnsi"/>
          <w:b/>
          <w:bCs/>
          <w:lang w:val="en-GB" w:eastAsia="de-AT"/>
        </w:rPr>
      </w:pPr>
      <w:r w:rsidRPr="00564EAE">
        <w:rPr>
          <w:rFonts w:asciiTheme="minorHAnsi" w:eastAsiaTheme="minorHAnsi" w:hAnsiTheme="minorHAnsi" w:cstheme="minorHAnsi"/>
          <w:b/>
          <w:bCs/>
          <w:lang w:val="en-GB" w:eastAsia="de-AT"/>
        </w:rPr>
        <w:t xml:space="preserve">DESTINY-CRC01-Studie (Final results, ASCO 2021) </w:t>
      </w:r>
      <w:r w:rsidRPr="00564EAE">
        <w:rPr>
          <w:rFonts w:eastAsia="Calibri" w:cs="Arial"/>
          <w:b/>
          <w:bCs/>
          <w:szCs w:val="22"/>
          <w:vertAlign w:val="superscript"/>
          <w:lang w:val="en-GB" w:eastAsia="en-US"/>
        </w:rPr>
        <w:t>3)</w:t>
      </w:r>
      <w:r w:rsidRPr="00564EAE">
        <w:rPr>
          <w:rFonts w:eastAsia="Calibri" w:cs="Arial"/>
          <w:b/>
          <w:bCs/>
          <w:szCs w:val="22"/>
          <w:lang w:val="en-GB" w:eastAsia="en-US"/>
        </w:rPr>
        <w:t>:</w:t>
      </w:r>
    </w:p>
    <w:p w14:paraId="22EAD83D"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Phase II-Studie mit 78 Patienten mit Her2-pos., RAS-Wildtyp unresektablem oder metastasiertem CRC nach mindestens 2 Vortherapien.</w:t>
      </w:r>
    </w:p>
    <w:p w14:paraId="26765FE6"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Die Patienten erhielten T-DXd (Trastuzumab-Deruxtecan) 6.4 mg/kg q3w.</w:t>
      </w:r>
    </w:p>
    <w:p w14:paraId="2649B5D3"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3 Kohorten: A: HER2 IHC 3+ oder IHC 2+/ISH+; B: IHC 2+/ISH−; C: IHC 1+</w:t>
      </w:r>
    </w:p>
    <w:p w14:paraId="74D12D20" w14:textId="77777777" w:rsidR="00B55945" w:rsidRPr="00564EAE" w:rsidRDefault="00B55945" w:rsidP="00B55945">
      <w:pPr>
        <w:numPr>
          <w:ilvl w:val="1"/>
          <w:numId w:val="6"/>
        </w:numPr>
        <w:spacing w:line="276" w:lineRule="auto"/>
        <w:jc w:val="left"/>
        <w:rPr>
          <w:rFonts w:asciiTheme="minorHAnsi" w:eastAsiaTheme="minorHAnsi" w:hAnsiTheme="minorHAnsi" w:cstheme="minorHAnsi"/>
          <w:lang w:val="en-GB" w:eastAsia="de-AT"/>
        </w:rPr>
      </w:pPr>
      <w:r w:rsidRPr="00564EAE">
        <w:rPr>
          <w:rFonts w:asciiTheme="minorHAnsi" w:eastAsiaTheme="minorHAnsi" w:hAnsiTheme="minorHAnsi" w:cstheme="minorHAnsi"/>
          <w:lang w:val="en-GB" w:eastAsia="de-AT"/>
        </w:rPr>
        <w:t>Kohorte A: ORR 45.3%, DCR 83.0%, medianes PFS 6.9 Mo, medianes OS 15,5 Mo</w:t>
      </w:r>
    </w:p>
    <w:p w14:paraId="17BD1DC9" w14:textId="77777777" w:rsidR="00B55945" w:rsidRPr="00B55945" w:rsidRDefault="00B55945" w:rsidP="00B55945">
      <w:pPr>
        <w:numPr>
          <w:ilvl w:val="1"/>
          <w:numId w:val="6"/>
        </w:numPr>
        <w:spacing w:line="276" w:lineRule="auto"/>
        <w:jc w:val="left"/>
        <w:rPr>
          <w:rFonts w:asciiTheme="minorHAnsi" w:eastAsiaTheme="minorHAnsi" w:hAnsiTheme="minorHAnsi" w:cstheme="minorHAnsi"/>
          <w:lang w:eastAsia="de-AT"/>
        </w:rPr>
      </w:pPr>
      <w:r w:rsidRPr="00B55945">
        <w:rPr>
          <w:rFonts w:asciiTheme="minorHAnsi" w:eastAsiaTheme="minorHAnsi" w:hAnsiTheme="minorHAnsi" w:cstheme="minorHAnsi"/>
          <w:lang w:eastAsia="de-AT"/>
        </w:rPr>
        <w:t>Kein Ansprechen in Kohorte B oder C</w:t>
      </w:r>
    </w:p>
    <w:p w14:paraId="4D2C76EB" w14:textId="77777777" w:rsidR="00B55945" w:rsidRPr="00B55945" w:rsidRDefault="00B55945" w:rsidP="00B55945">
      <w:pPr>
        <w:spacing w:line="276" w:lineRule="auto"/>
        <w:jc w:val="left"/>
        <w:rPr>
          <w:rFonts w:asciiTheme="minorHAnsi" w:eastAsiaTheme="minorHAnsi" w:hAnsiTheme="minorHAnsi" w:cstheme="minorHAnsi"/>
          <w:lang w:eastAsia="de-AT"/>
        </w:rPr>
      </w:pPr>
    </w:p>
    <w:p w14:paraId="3DDAF97A" w14:textId="77777777" w:rsidR="00B55945" w:rsidRPr="00564EAE" w:rsidRDefault="00B55945" w:rsidP="00B55945">
      <w:pPr>
        <w:pStyle w:val="Listenabsatz"/>
        <w:numPr>
          <w:ilvl w:val="0"/>
          <w:numId w:val="46"/>
        </w:numPr>
        <w:autoSpaceDE w:val="0"/>
        <w:autoSpaceDN w:val="0"/>
        <w:adjustRightInd w:val="0"/>
        <w:spacing w:after="160" w:line="288" w:lineRule="auto"/>
        <w:jc w:val="left"/>
        <w:rPr>
          <w:rFonts w:ascii="Calibri" w:eastAsia="Calibri" w:hAnsi="Calibri" w:cs="Calibri"/>
          <w:sz w:val="18"/>
          <w:szCs w:val="18"/>
          <w:lang w:val="en-GB" w:eastAsia="en-US"/>
        </w:rPr>
      </w:pPr>
      <w:r w:rsidRPr="00564EAE">
        <w:rPr>
          <w:rFonts w:ascii="Calibri" w:eastAsia="Calibri" w:hAnsi="Calibri" w:cs="Calibri"/>
          <w:sz w:val="18"/>
          <w:szCs w:val="18"/>
          <w:lang w:val="en-GB" w:eastAsia="en-US"/>
        </w:rPr>
        <w:t>S. Siena et al., Annals of Oncology 27 (Supplement 4), 2016</w:t>
      </w:r>
    </w:p>
    <w:p w14:paraId="14A18A93" w14:textId="77777777" w:rsidR="00B55945" w:rsidRPr="00564EAE" w:rsidRDefault="00B55945" w:rsidP="00B55945">
      <w:pPr>
        <w:pStyle w:val="Listenabsatz"/>
        <w:numPr>
          <w:ilvl w:val="0"/>
          <w:numId w:val="46"/>
        </w:numPr>
        <w:autoSpaceDE w:val="0"/>
        <w:autoSpaceDN w:val="0"/>
        <w:adjustRightInd w:val="0"/>
        <w:spacing w:after="160" w:line="288" w:lineRule="auto"/>
        <w:jc w:val="left"/>
        <w:rPr>
          <w:rFonts w:ascii="Calibri" w:eastAsia="Calibri" w:hAnsi="Calibri" w:cs="Calibri"/>
          <w:sz w:val="18"/>
          <w:szCs w:val="18"/>
          <w:lang w:val="en-GB" w:eastAsia="en-US"/>
        </w:rPr>
      </w:pPr>
      <w:r w:rsidRPr="00564EAE">
        <w:rPr>
          <w:rFonts w:ascii="Calibri" w:eastAsia="Calibri" w:hAnsi="Calibri" w:cs="Calibri"/>
          <w:sz w:val="18"/>
          <w:szCs w:val="18"/>
          <w:lang w:val="en-GB" w:eastAsia="en-US"/>
        </w:rPr>
        <w:t xml:space="preserve">T.Yoshino et al., </w:t>
      </w:r>
      <w:bookmarkEnd w:id="105"/>
      <w:r w:rsidRPr="00564EAE">
        <w:rPr>
          <w:rFonts w:ascii="Calibri" w:eastAsia="Calibri" w:hAnsi="Calibri" w:cs="Calibri"/>
          <w:sz w:val="18"/>
          <w:szCs w:val="18"/>
          <w:lang w:val="en-GB" w:eastAsia="en-US"/>
        </w:rPr>
        <w:t>ASCO 2021, Abstract 3505</w:t>
      </w:r>
    </w:p>
    <w:p w14:paraId="144DE74C" w14:textId="77777777" w:rsidR="00B55945" w:rsidRPr="00C70398" w:rsidRDefault="00B55945" w:rsidP="00B55945">
      <w:pPr>
        <w:pStyle w:val="Listenabsatz"/>
        <w:numPr>
          <w:ilvl w:val="0"/>
          <w:numId w:val="46"/>
        </w:numPr>
        <w:autoSpaceDE w:val="0"/>
        <w:autoSpaceDN w:val="0"/>
        <w:adjustRightInd w:val="0"/>
        <w:spacing w:after="160" w:line="288" w:lineRule="auto"/>
        <w:jc w:val="left"/>
        <w:rPr>
          <w:rFonts w:ascii="Calibri" w:eastAsia="Calibri" w:hAnsi="Calibri" w:cs="Calibri"/>
          <w:sz w:val="18"/>
          <w:szCs w:val="18"/>
          <w:lang w:eastAsia="en-US"/>
        </w:rPr>
      </w:pPr>
      <w:r w:rsidRPr="00CE4789">
        <w:rPr>
          <w:rFonts w:ascii="Calibri" w:eastAsia="Calibri" w:hAnsi="Calibri" w:cs="Calibri"/>
          <w:sz w:val="18"/>
          <w:szCs w:val="18"/>
          <w:lang w:eastAsia="en-US"/>
        </w:rPr>
        <w:t>Siena</w:t>
      </w:r>
      <w:r>
        <w:rPr>
          <w:rFonts w:ascii="Calibri" w:eastAsia="Calibri" w:hAnsi="Calibri" w:cs="Calibri"/>
          <w:sz w:val="18"/>
          <w:szCs w:val="18"/>
          <w:lang w:eastAsia="en-US"/>
        </w:rPr>
        <w:t xml:space="preserve"> et al.</w:t>
      </w:r>
      <w:r w:rsidRPr="00CE4789">
        <w:rPr>
          <w:rFonts w:ascii="Calibri" w:eastAsia="Calibri" w:hAnsi="Calibri" w:cs="Calibri"/>
          <w:sz w:val="18"/>
          <w:szCs w:val="18"/>
          <w:lang w:eastAsia="en-US"/>
        </w:rPr>
        <w:t>, ASCO 2020, Abstract 4000</w:t>
      </w:r>
    </w:p>
    <w:p w14:paraId="0BAF0370" w14:textId="77777777" w:rsidR="00B163F5" w:rsidRDefault="00B163F5" w:rsidP="00B163F5">
      <w:pPr>
        <w:keepNext/>
        <w:spacing w:before="240" w:after="60"/>
        <w:ind w:left="705" w:hanging="705"/>
        <w:jc w:val="left"/>
        <w:outlineLvl w:val="1"/>
        <w:rPr>
          <w:rFonts w:cs="Arial"/>
          <w:b/>
          <w:bCs/>
          <w:i/>
          <w:iCs/>
          <w:sz w:val="24"/>
          <w:szCs w:val="24"/>
          <w:lang w:val="de-DE" w:eastAsia="de-AT"/>
        </w:rPr>
      </w:pPr>
      <w:bookmarkStart w:id="109" w:name="_Toc93523314"/>
      <w:r>
        <w:rPr>
          <w:rFonts w:cs="Arial"/>
          <w:b/>
          <w:bCs/>
          <w:i/>
          <w:iCs/>
          <w:sz w:val="24"/>
          <w:szCs w:val="24"/>
          <w:lang w:val="de-DE" w:eastAsia="de-AT"/>
        </w:rPr>
        <w:lastRenderedPageBreak/>
        <w:t>4.</w:t>
      </w:r>
      <w:r w:rsidR="008D499A">
        <w:rPr>
          <w:rFonts w:cs="Arial"/>
          <w:b/>
          <w:bCs/>
          <w:i/>
          <w:iCs/>
          <w:sz w:val="24"/>
          <w:szCs w:val="24"/>
          <w:lang w:val="de-DE" w:eastAsia="de-AT"/>
        </w:rPr>
        <w:t>8</w:t>
      </w:r>
      <w:r w:rsidR="00A41D96">
        <w:rPr>
          <w:rFonts w:cs="Arial"/>
          <w:b/>
          <w:bCs/>
          <w:i/>
          <w:iCs/>
          <w:sz w:val="24"/>
          <w:szCs w:val="24"/>
          <w:lang w:val="de-DE" w:eastAsia="de-AT"/>
        </w:rPr>
        <w:tab/>
      </w:r>
      <w:r>
        <w:rPr>
          <w:rFonts w:cs="Arial"/>
          <w:b/>
          <w:bCs/>
          <w:i/>
          <w:iCs/>
          <w:sz w:val="24"/>
          <w:szCs w:val="24"/>
          <w:lang w:val="de-DE" w:eastAsia="de-AT"/>
        </w:rPr>
        <w:t>ASS und NSAR beim CRC</w:t>
      </w:r>
      <w:bookmarkEnd w:id="109"/>
    </w:p>
    <w:p w14:paraId="54239556" w14:textId="77777777" w:rsidR="00B163F5" w:rsidRDefault="00B163F5" w:rsidP="00B163F5">
      <w:pPr>
        <w:autoSpaceDE w:val="0"/>
        <w:autoSpaceDN w:val="0"/>
        <w:adjustRightInd w:val="0"/>
        <w:spacing w:line="288" w:lineRule="auto"/>
        <w:jc w:val="left"/>
        <w:rPr>
          <w:rFonts w:eastAsia="Calibri" w:cs="Arial"/>
          <w:b/>
          <w:color w:val="000000"/>
          <w:szCs w:val="22"/>
          <w:lang w:eastAsia="en-US"/>
        </w:rPr>
      </w:pPr>
      <w:bookmarkStart w:id="110" w:name="_Hlk497073234"/>
      <w:r>
        <w:rPr>
          <w:rFonts w:eastAsia="Calibri" w:cs="Arial"/>
          <w:b/>
          <w:color w:val="000000"/>
          <w:szCs w:val="22"/>
          <w:lang w:eastAsia="en-US"/>
        </w:rPr>
        <w:t>4.</w:t>
      </w:r>
      <w:r w:rsidR="008D499A">
        <w:rPr>
          <w:rFonts w:eastAsia="Calibri" w:cs="Arial"/>
          <w:b/>
          <w:color w:val="000000"/>
          <w:szCs w:val="22"/>
          <w:lang w:eastAsia="en-US"/>
        </w:rPr>
        <w:t>8</w:t>
      </w:r>
      <w:r>
        <w:rPr>
          <w:rFonts w:eastAsia="Calibri" w:cs="Arial"/>
          <w:b/>
          <w:color w:val="000000"/>
          <w:szCs w:val="22"/>
          <w:lang w:eastAsia="en-US"/>
        </w:rPr>
        <w:t>.1</w:t>
      </w:r>
      <w:r>
        <w:rPr>
          <w:rFonts w:eastAsia="Calibri" w:cs="Arial"/>
          <w:b/>
          <w:color w:val="000000"/>
          <w:szCs w:val="22"/>
          <w:lang w:eastAsia="en-US"/>
        </w:rPr>
        <w:tab/>
        <w:t>ASS-Daten vom GDUGI 2017 (Great Debates and Updates in GI Malignancies):</w:t>
      </w:r>
    </w:p>
    <w:p w14:paraId="7424E02D"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bookmarkStart w:id="111" w:name="_Hlk23619749"/>
      <w:bookmarkStart w:id="112" w:name="_Hlk497073353"/>
      <w:bookmarkEnd w:id="110"/>
      <w:r>
        <w:rPr>
          <w:rFonts w:ascii="Calibri" w:eastAsia="Calibri" w:hAnsi="Calibri" w:cs="Calibri"/>
          <w:color w:val="000000"/>
          <w:szCs w:val="22"/>
          <w:lang w:eastAsia="en-US"/>
        </w:rPr>
        <w:t>Gepoolte Analyse von 10 Studien (Nan et al., JAMA 2015):</w:t>
      </w:r>
    </w:p>
    <w:p w14:paraId="45B919AE" w14:textId="77777777" w:rsidR="00B163F5" w:rsidRDefault="00B163F5" w:rsidP="000B1AD6">
      <w:pPr>
        <w:numPr>
          <w:ilvl w:val="1"/>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bookmarkStart w:id="113" w:name="_Hlk23619714"/>
      <w:r>
        <w:rPr>
          <w:rFonts w:ascii="Calibri" w:eastAsia="Calibri" w:hAnsi="Calibri" w:cs="Calibri"/>
          <w:color w:val="000000"/>
          <w:szCs w:val="22"/>
          <w:lang w:eastAsia="en-US"/>
        </w:rPr>
        <w:t>29%-ige Reduktion des CRC-Risikos bei regelmäßiger ASS-Einnahme</w:t>
      </w:r>
    </w:p>
    <w:bookmarkEnd w:id="111"/>
    <w:bookmarkEnd w:id="113"/>
    <w:p w14:paraId="691B0173"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Optimale Therapie</w:t>
      </w:r>
      <w:bookmarkEnd w:id="112"/>
      <w:r>
        <w:rPr>
          <w:rFonts w:ascii="Calibri" w:eastAsia="Calibri" w:hAnsi="Calibri" w:cs="Calibri"/>
          <w:color w:val="000000"/>
          <w:szCs w:val="22"/>
          <w:lang w:eastAsia="en-US"/>
        </w:rPr>
        <w:t>-Dauer: 5-10 oder mehr Jahre (z.B. bei der Women`s Health Study war ein Effekt erst nach &gt; 10 Jahren zu bemerken), positiver Effekt nur bei durchgehender Einnahme</w:t>
      </w:r>
    </w:p>
    <w:p w14:paraId="4C137F6E"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Optimale Dosis: unklar (in den verschiedenen Studien 75mg – 1200mg pro Tag)</w:t>
      </w:r>
    </w:p>
    <w:p w14:paraId="230C72F5"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Derzeit gibt es eine ausreichende Evidenz nur für Patienten zwischen 50 und 70 Jahren</w:t>
      </w:r>
      <w:r>
        <w:rPr>
          <w:rFonts w:ascii="Calibri" w:eastAsia="Calibri" w:hAnsi="Calibri" w:cs="Calibri"/>
          <w:color w:val="000000"/>
          <w:szCs w:val="22"/>
          <w:lang w:eastAsia="en-US"/>
        </w:rPr>
        <w:br/>
        <w:t>(US Preventive Services Task Force Recommendation)</w:t>
      </w:r>
    </w:p>
    <w:p w14:paraId="2FA2EC3C"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Meta-Analyse ASS Prä- versus Post-CRC-Diagnose (Li et al., Gut 2015):</w:t>
      </w:r>
    </w:p>
    <w:p w14:paraId="184D7B5D" w14:textId="77777777" w:rsidR="00B163F5" w:rsidRDefault="00B163F5" w:rsidP="000B1AD6">
      <w:pPr>
        <w:numPr>
          <w:ilvl w:val="1"/>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Postdiagnose ASS: OS-Benefit HR 0,84; CRC-spezifische Mortalität HR 0,77</w:t>
      </w:r>
    </w:p>
    <w:p w14:paraId="6F824FC9" w14:textId="77777777" w:rsidR="00B163F5" w:rsidRDefault="00B163F5" w:rsidP="000B1AD6">
      <w:pPr>
        <w:numPr>
          <w:ilvl w:val="1"/>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Prädiagnose ASS: keine ausreichende Evidenz für Verbesserung des OS</w:t>
      </w:r>
    </w:p>
    <w:p w14:paraId="753BCA47" w14:textId="77777777" w:rsidR="00B163F5" w:rsidRDefault="00B163F5" w:rsidP="00B163F5">
      <w:pPr>
        <w:autoSpaceDE w:val="0"/>
        <w:autoSpaceDN w:val="0"/>
        <w:adjustRightInd w:val="0"/>
        <w:spacing w:after="160" w:line="276" w:lineRule="auto"/>
        <w:contextualSpacing/>
        <w:jc w:val="left"/>
        <w:rPr>
          <w:rFonts w:ascii="Calibri" w:eastAsia="Calibri" w:hAnsi="Calibri" w:cs="Calibri"/>
          <w:color w:val="000000"/>
          <w:szCs w:val="22"/>
          <w:lang w:eastAsia="en-US"/>
        </w:rPr>
      </w:pPr>
    </w:p>
    <w:p w14:paraId="11CBF42A" w14:textId="77777777" w:rsidR="00B163F5" w:rsidRDefault="00B163F5" w:rsidP="00B163F5">
      <w:pPr>
        <w:autoSpaceDE w:val="0"/>
        <w:autoSpaceDN w:val="0"/>
        <w:adjustRightInd w:val="0"/>
        <w:spacing w:line="288" w:lineRule="auto"/>
        <w:jc w:val="left"/>
        <w:rPr>
          <w:rFonts w:eastAsia="Calibri" w:cs="Arial"/>
          <w:b/>
          <w:color w:val="000000"/>
          <w:szCs w:val="22"/>
          <w:lang w:eastAsia="en-US"/>
        </w:rPr>
      </w:pPr>
      <w:r>
        <w:rPr>
          <w:rFonts w:eastAsia="Calibri" w:cs="Arial"/>
          <w:b/>
          <w:color w:val="000000"/>
          <w:szCs w:val="22"/>
          <w:lang w:eastAsia="en-US"/>
        </w:rPr>
        <w:t>4.</w:t>
      </w:r>
      <w:r w:rsidR="008D499A">
        <w:rPr>
          <w:rFonts w:eastAsia="Calibri" w:cs="Arial"/>
          <w:b/>
          <w:color w:val="000000"/>
          <w:szCs w:val="22"/>
          <w:lang w:eastAsia="en-US"/>
        </w:rPr>
        <w:t>8</w:t>
      </w:r>
      <w:r>
        <w:rPr>
          <w:rFonts w:eastAsia="Calibri" w:cs="Arial"/>
          <w:b/>
          <w:color w:val="000000"/>
          <w:szCs w:val="22"/>
          <w:lang w:eastAsia="en-US"/>
        </w:rPr>
        <w:t>.2</w:t>
      </w:r>
      <w:r>
        <w:rPr>
          <w:rFonts w:eastAsia="Calibri" w:cs="Arial"/>
          <w:b/>
          <w:color w:val="000000"/>
          <w:szCs w:val="22"/>
          <w:lang w:eastAsia="en-US"/>
        </w:rPr>
        <w:tab/>
        <w:t>ASS- und NSAR-Daten von Hua X et al, JCO 2017:</w:t>
      </w:r>
    </w:p>
    <w:p w14:paraId="5862B829"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Auswertung der Daten von 2419 Patienten mit CRC</w:t>
      </w:r>
    </w:p>
    <w:p w14:paraId="5E3FF2FB"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Patienten welche regelmäßig ASS einnahmen hatten ein besseres Gesamtüberleben (HR 0,75) und CRC-spezifisches Überleben (HR 0,44)</w:t>
      </w:r>
      <w:r w:rsidR="005F7AF7">
        <w:rPr>
          <w:rFonts w:ascii="Calibri" w:eastAsia="Calibri" w:hAnsi="Calibri" w:cs="Calibri"/>
          <w:color w:val="000000"/>
          <w:szCs w:val="22"/>
          <w:lang w:eastAsia="en-US"/>
        </w:rPr>
        <w:t>.</w:t>
      </w:r>
    </w:p>
    <w:p w14:paraId="56596B36" w14:textId="77777777" w:rsidR="00B163F5"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Dies galt besonders für Pat., welche ASS erst nach der CRC-Diagnose begonnen hatten (HR 0,40)</w:t>
      </w:r>
      <w:r w:rsidR="005F7AF7">
        <w:rPr>
          <w:rFonts w:ascii="Calibri" w:eastAsia="Calibri" w:hAnsi="Calibri" w:cs="Calibri"/>
          <w:color w:val="000000"/>
          <w:szCs w:val="22"/>
          <w:lang w:eastAsia="en-US"/>
        </w:rPr>
        <w:t>.</w:t>
      </w:r>
    </w:p>
    <w:p w14:paraId="3F72E343" w14:textId="77777777" w:rsidR="00C64622" w:rsidRDefault="00B163F5" w:rsidP="000B1AD6">
      <w:pPr>
        <w:numPr>
          <w:ilvl w:val="0"/>
          <w:numId w:val="6"/>
        </w:numPr>
        <w:autoSpaceDE w:val="0"/>
        <w:autoSpaceDN w:val="0"/>
        <w:adjustRightInd w:val="0"/>
        <w:spacing w:after="160" w:line="276" w:lineRule="auto"/>
        <w:contextualSpacing/>
        <w:jc w:val="left"/>
        <w:rPr>
          <w:rFonts w:ascii="Calibri" w:eastAsia="Calibri" w:hAnsi="Calibri" w:cs="Calibri"/>
          <w:color w:val="000000"/>
          <w:szCs w:val="22"/>
          <w:lang w:eastAsia="en-US"/>
        </w:rPr>
      </w:pPr>
      <w:r>
        <w:rPr>
          <w:rFonts w:ascii="Calibri" w:eastAsia="Calibri" w:hAnsi="Calibri" w:cs="Calibri"/>
          <w:color w:val="000000"/>
          <w:szCs w:val="22"/>
          <w:lang w:eastAsia="en-US"/>
        </w:rPr>
        <w:t>Die regelmäßige Einnahme von NSAR (Ibuprofen, Naproxen) nach Diagnose verbesserte das OS nur  bei Patienten mit KRAS-Wildtyp (HR 0,6), nicht bei KRAS-mutierten Tumoren (HR 1,24)</w:t>
      </w:r>
      <w:r w:rsidR="005F7AF7">
        <w:rPr>
          <w:rFonts w:ascii="Calibri" w:eastAsia="Calibri" w:hAnsi="Calibri" w:cs="Calibri"/>
          <w:color w:val="000000"/>
          <w:szCs w:val="22"/>
          <w:lang w:eastAsia="en-US"/>
        </w:rPr>
        <w:t>.</w:t>
      </w:r>
    </w:p>
    <w:p w14:paraId="358569B7" w14:textId="77777777" w:rsidR="002F06F8" w:rsidRPr="00C64622" w:rsidRDefault="002F06F8" w:rsidP="002F06F8">
      <w:pPr>
        <w:autoSpaceDE w:val="0"/>
        <w:autoSpaceDN w:val="0"/>
        <w:adjustRightInd w:val="0"/>
        <w:spacing w:after="160" w:line="276" w:lineRule="auto"/>
        <w:ind w:left="360"/>
        <w:contextualSpacing/>
        <w:jc w:val="left"/>
        <w:rPr>
          <w:rFonts w:ascii="Calibri" w:eastAsia="Calibri" w:hAnsi="Calibri" w:cs="Calibri"/>
          <w:color w:val="000000"/>
          <w:szCs w:val="22"/>
          <w:lang w:eastAsia="en-US"/>
        </w:rPr>
      </w:pPr>
    </w:p>
    <w:p w14:paraId="5A356C4B" w14:textId="77777777" w:rsidR="00C64622" w:rsidRPr="00667A57" w:rsidRDefault="00C64622" w:rsidP="00C64622">
      <w:pPr>
        <w:keepNext/>
        <w:spacing w:before="240" w:after="60"/>
        <w:ind w:left="705" w:hanging="705"/>
        <w:jc w:val="left"/>
        <w:outlineLvl w:val="1"/>
        <w:rPr>
          <w:rFonts w:cs="Arial"/>
          <w:b/>
          <w:bCs/>
          <w:i/>
          <w:iCs/>
          <w:sz w:val="24"/>
          <w:szCs w:val="24"/>
          <w:lang w:val="de-DE" w:eastAsia="de-AT"/>
        </w:rPr>
      </w:pPr>
      <w:bookmarkStart w:id="114" w:name="_Toc93523315"/>
      <w:r w:rsidRPr="00667A57">
        <w:rPr>
          <w:rFonts w:cs="Arial"/>
          <w:b/>
          <w:bCs/>
          <w:i/>
          <w:iCs/>
          <w:sz w:val="24"/>
          <w:szCs w:val="24"/>
          <w:lang w:val="de-DE" w:eastAsia="de-AT"/>
        </w:rPr>
        <w:t>4.</w:t>
      </w:r>
      <w:r w:rsidR="008D499A">
        <w:rPr>
          <w:rFonts w:cs="Arial"/>
          <w:b/>
          <w:bCs/>
          <w:i/>
          <w:iCs/>
          <w:sz w:val="24"/>
          <w:szCs w:val="24"/>
          <w:lang w:val="de-DE" w:eastAsia="de-AT"/>
        </w:rPr>
        <w:t>9</w:t>
      </w:r>
      <w:r w:rsidRPr="00667A57">
        <w:rPr>
          <w:rFonts w:cs="Arial"/>
          <w:b/>
          <w:bCs/>
          <w:i/>
          <w:iCs/>
          <w:sz w:val="24"/>
          <w:szCs w:val="24"/>
          <w:lang w:val="de-DE" w:eastAsia="de-AT"/>
        </w:rPr>
        <w:tab/>
        <w:t>Protonenpumpenhemmer und Capecitabin</w:t>
      </w:r>
      <w:bookmarkEnd w:id="114"/>
    </w:p>
    <w:p w14:paraId="4E8858C7"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Bei mehreren retrospektiven Analysen konnte ein negativer Effekt von Protonenpumpen-Inhibitoren auf die Capecitabin-Wirksamkeit nachgewiesen werden:</w:t>
      </w:r>
    </w:p>
    <w:p w14:paraId="5FC2BAD5" w14:textId="77777777" w:rsidR="00C64622" w:rsidRPr="00667A57" w:rsidRDefault="00C64622" w:rsidP="000B1AD6">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Wong et al; ASCO 2018</w:t>
      </w:r>
    </w:p>
    <w:p w14:paraId="4C8676D6" w14:textId="77777777" w:rsidR="00C64622" w:rsidRPr="00564EAE" w:rsidRDefault="00C64622" w:rsidP="000B1AD6">
      <w:pPr>
        <w:numPr>
          <w:ilvl w:val="1"/>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564EAE">
        <w:rPr>
          <w:rFonts w:ascii="Calibri" w:eastAsia="Calibri" w:hAnsi="Calibri" w:cs="Calibri"/>
          <w:szCs w:val="22"/>
          <w:lang w:val="en-GB" w:eastAsia="en-US"/>
        </w:rPr>
        <w:t>Chu et al; JAMA Oncology June 2017 Volume 3, Number 6</w:t>
      </w:r>
    </w:p>
    <w:p w14:paraId="5D89DA70" w14:textId="77777777" w:rsidR="00C64622" w:rsidRPr="00667A57" w:rsidRDefault="00C64622" w:rsidP="000B1AD6">
      <w:pPr>
        <w:numPr>
          <w:ilvl w:val="1"/>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564EAE">
        <w:rPr>
          <w:rFonts w:ascii="Calibri" w:eastAsia="Calibri" w:hAnsi="Calibri" w:cs="Calibri"/>
          <w:szCs w:val="22"/>
          <w:lang w:val="en-GB" w:eastAsia="en-US"/>
        </w:rPr>
        <w:t xml:space="preserve">Sun et al; Clin Colorectal Cancer. </w:t>
      </w:r>
      <w:r w:rsidRPr="00667A57">
        <w:rPr>
          <w:rFonts w:ascii="Calibri" w:eastAsia="Calibri" w:hAnsi="Calibri" w:cs="Calibri"/>
          <w:szCs w:val="22"/>
          <w:lang w:eastAsia="en-US"/>
        </w:rPr>
        <w:t>2016 Sep;15(3):257-63</w:t>
      </w:r>
    </w:p>
    <w:p w14:paraId="0C8DEDB5"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PPI`s dürften die Antitumoreffektivität von Capecitabin senken (möglicherweise wird Capecitabin bei Einnahme von PPI`s schlechter resorbiert).</w:t>
      </w:r>
    </w:p>
    <w:p w14:paraId="3BE4E543" w14:textId="77777777" w:rsidR="00C64622" w:rsidRPr="00667A57" w:rsidRDefault="00C64622" w:rsidP="00C64622">
      <w:pPr>
        <w:autoSpaceDE w:val="0"/>
        <w:autoSpaceDN w:val="0"/>
        <w:adjustRightInd w:val="0"/>
        <w:spacing w:after="160" w:line="276" w:lineRule="auto"/>
        <w:contextualSpacing/>
        <w:jc w:val="left"/>
        <w:rPr>
          <w:rFonts w:ascii="Calibri" w:eastAsia="Calibri" w:hAnsi="Calibri" w:cs="Calibri"/>
          <w:szCs w:val="22"/>
          <w:lang w:eastAsia="en-US"/>
        </w:rPr>
      </w:pPr>
    </w:p>
    <w:p w14:paraId="573C1122" w14:textId="77777777" w:rsidR="00C64622" w:rsidRPr="007F743D" w:rsidRDefault="00C64622" w:rsidP="007F743D">
      <w:pPr>
        <w:autoSpaceDE w:val="0"/>
        <w:autoSpaceDN w:val="0"/>
        <w:adjustRightInd w:val="0"/>
        <w:spacing w:after="160" w:line="276" w:lineRule="auto"/>
        <w:contextualSpacing/>
        <w:jc w:val="left"/>
        <w:rPr>
          <w:rFonts w:ascii="Calibri" w:eastAsia="Calibri" w:hAnsi="Calibri" w:cs="Calibri"/>
          <w:b/>
          <w:szCs w:val="22"/>
          <w:lang w:eastAsia="en-US"/>
        </w:rPr>
      </w:pPr>
      <w:r w:rsidRPr="007F743D">
        <w:rPr>
          <w:rFonts w:ascii="Calibri" w:eastAsia="Calibri" w:hAnsi="Calibri" w:cs="Calibri"/>
          <w:b/>
          <w:szCs w:val="22"/>
          <w:lang w:eastAsia="en-US"/>
        </w:rPr>
        <w:t>Daten von Wong et al. (ASCO 2018)</w:t>
      </w:r>
    </w:p>
    <w:p w14:paraId="366A1E5E"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Retrospektive Analyse von 389 Stadium II-III CRC-Patienten welche adjuvant XELOX oder FOLFOX erhielten.</w:t>
      </w:r>
    </w:p>
    <w:p w14:paraId="201BCDE6"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 xml:space="preserve">3-Jahres RFS (Rezidiv-freies Überleben) war signifikant niedriger bei XELOX-behandelten PPI-Patienten als bei non-PPI Patienten (69.5 vs. 82.6%, P= 0.029). </w:t>
      </w:r>
    </w:p>
    <w:p w14:paraId="65B6AA8C" w14:textId="77777777" w:rsidR="00AB14B9" w:rsidRDefault="00C64622" w:rsidP="000B1AD6">
      <w:pPr>
        <w:numPr>
          <w:ilvl w:val="0"/>
          <w:numId w:val="6"/>
        </w:numPr>
        <w:autoSpaceDE w:val="0"/>
        <w:autoSpaceDN w:val="0"/>
        <w:adjustRightInd w:val="0"/>
        <w:spacing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XELOX-behandelte PPI-Patienten hatten bei dieser Analyse eine 2x so hohe Wahrscheinlichkeit für einen Rückfall oder Tod als XELOX-non-PPI-Patienten (HR 2.03, P= 0.033).</w:t>
      </w:r>
    </w:p>
    <w:p w14:paraId="2BB9AD54"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0D3B3BA5"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346BF166"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2C18A255"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48186D45"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6C24DA76" w14:textId="77777777" w:rsid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5CDDDE5F" w14:textId="77777777" w:rsidR="00AB14B9" w:rsidRPr="00AB14B9" w:rsidRDefault="00AB14B9" w:rsidP="00AB14B9">
      <w:pPr>
        <w:autoSpaceDE w:val="0"/>
        <w:autoSpaceDN w:val="0"/>
        <w:adjustRightInd w:val="0"/>
        <w:spacing w:line="276" w:lineRule="auto"/>
        <w:contextualSpacing/>
        <w:jc w:val="left"/>
        <w:rPr>
          <w:rFonts w:ascii="Calibri" w:eastAsia="Calibri" w:hAnsi="Calibri" w:cs="Calibri"/>
          <w:szCs w:val="22"/>
          <w:lang w:eastAsia="en-US"/>
        </w:rPr>
      </w:pPr>
    </w:p>
    <w:p w14:paraId="46A8C5F1" w14:textId="77777777" w:rsidR="00C64622" w:rsidRPr="00667A57" w:rsidRDefault="00C64622" w:rsidP="00C64622">
      <w:pPr>
        <w:keepNext/>
        <w:spacing w:before="240" w:after="60"/>
        <w:ind w:left="705" w:hanging="705"/>
        <w:jc w:val="left"/>
        <w:outlineLvl w:val="1"/>
        <w:rPr>
          <w:rFonts w:cs="Arial"/>
          <w:b/>
          <w:bCs/>
          <w:i/>
          <w:iCs/>
          <w:sz w:val="24"/>
          <w:szCs w:val="24"/>
          <w:lang w:val="de-DE" w:eastAsia="de-AT"/>
        </w:rPr>
      </w:pPr>
      <w:bookmarkStart w:id="115" w:name="_Toc93523316"/>
      <w:r w:rsidRPr="00667A57">
        <w:rPr>
          <w:rFonts w:cs="Arial"/>
          <w:b/>
          <w:bCs/>
          <w:i/>
          <w:iCs/>
          <w:sz w:val="24"/>
          <w:szCs w:val="24"/>
          <w:lang w:val="de-DE" w:eastAsia="de-AT"/>
        </w:rPr>
        <w:lastRenderedPageBreak/>
        <w:t>4.</w:t>
      </w:r>
      <w:r w:rsidR="008D499A">
        <w:rPr>
          <w:rFonts w:cs="Arial"/>
          <w:b/>
          <w:bCs/>
          <w:i/>
          <w:iCs/>
          <w:sz w:val="24"/>
          <w:szCs w:val="24"/>
          <w:lang w:val="de-DE" w:eastAsia="de-AT"/>
        </w:rPr>
        <w:t>10</w:t>
      </w:r>
      <w:r w:rsidRPr="00667A57">
        <w:rPr>
          <w:rFonts w:cs="Arial"/>
          <w:b/>
          <w:bCs/>
          <w:i/>
          <w:iCs/>
          <w:sz w:val="24"/>
          <w:szCs w:val="24"/>
          <w:lang w:val="de-DE" w:eastAsia="de-AT"/>
        </w:rPr>
        <w:tab/>
        <w:t>Alternative Dosierung Regorafenib beim 1. Zyklus</w:t>
      </w:r>
      <w:bookmarkEnd w:id="115"/>
    </w:p>
    <w:p w14:paraId="53BE89D0" w14:textId="77777777" w:rsidR="00C64622" w:rsidRPr="00523A0D" w:rsidRDefault="00C64622" w:rsidP="007F743D">
      <w:pPr>
        <w:autoSpaceDE w:val="0"/>
        <w:autoSpaceDN w:val="0"/>
        <w:adjustRightInd w:val="0"/>
        <w:spacing w:after="160" w:line="276" w:lineRule="auto"/>
        <w:contextualSpacing/>
        <w:jc w:val="left"/>
        <w:rPr>
          <w:rFonts w:ascii="Calibri" w:eastAsia="Calibri" w:hAnsi="Calibri" w:cs="Calibri"/>
          <w:b/>
          <w:szCs w:val="22"/>
          <w:lang w:eastAsia="en-US"/>
        </w:rPr>
      </w:pPr>
      <w:r w:rsidRPr="00523A0D">
        <w:rPr>
          <w:rFonts w:ascii="Calibri" w:eastAsia="Calibri" w:hAnsi="Calibri" w:cs="Calibri"/>
          <w:b/>
          <w:szCs w:val="22"/>
          <w:lang w:eastAsia="en-US"/>
        </w:rPr>
        <w:t xml:space="preserve">Regorafenib </w:t>
      </w:r>
      <w:r w:rsidR="007F743D" w:rsidRPr="00523A0D">
        <w:rPr>
          <w:rFonts w:ascii="Calibri" w:eastAsia="Calibri" w:hAnsi="Calibri" w:cs="Calibri"/>
          <w:b/>
          <w:szCs w:val="22"/>
          <w:lang w:eastAsia="en-US"/>
        </w:rPr>
        <w:t>Dose Optimization Study (ReDOS)</w:t>
      </w:r>
    </w:p>
    <w:p w14:paraId="4FB9D38B"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Randomisierte Phase II-Studie</w:t>
      </w:r>
    </w:p>
    <w:p w14:paraId="26F55350" w14:textId="77777777" w:rsidR="00C64622" w:rsidRPr="00564EAE"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val="en-GB" w:eastAsia="en-US"/>
        </w:rPr>
      </w:pPr>
      <w:r w:rsidRPr="00667A57">
        <w:rPr>
          <w:rFonts w:ascii="Calibri" w:eastAsia="Calibri" w:hAnsi="Calibri" w:cs="Calibri"/>
          <w:szCs w:val="22"/>
          <w:lang w:eastAsia="en-US"/>
        </w:rPr>
        <w:t>Ve</w:t>
      </w:r>
      <w:r w:rsidR="00436CB6">
        <w:rPr>
          <w:rFonts w:ascii="Calibri" w:eastAsia="Calibri" w:hAnsi="Calibri" w:cs="Calibri"/>
          <w:szCs w:val="22"/>
          <w:lang w:eastAsia="en-US"/>
        </w:rPr>
        <w:t>r</w:t>
      </w:r>
      <w:r w:rsidRPr="00667A57">
        <w:rPr>
          <w:rFonts w:ascii="Calibri" w:eastAsia="Calibri" w:hAnsi="Calibri" w:cs="Calibri"/>
          <w:szCs w:val="22"/>
          <w:lang w:eastAsia="en-US"/>
        </w:rPr>
        <w:t xml:space="preserve">gleich einer Dosis-Eskalation von Regorafenib beim 1. </w:t>
      </w:r>
      <w:r w:rsidRPr="00564EAE">
        <w:rPr>
          <w:rFonts w:ascii="Calibri" w:eastAsia="Calibri" w:hAnsi="Calibri" w:cs="Calibri"/>
          <w:szCs w:val="22"/>
          <w:lang w:val="en-GB" w:eastAsia="en-US"/>
        </w:rPr>
        <w:t>Zyklus (Arm A, Start low dose) versus Standard-Dosierung (Arm B)</w:t>
      </w:r>
    </w:p>
    <w:p w14:paraId="2C89F968"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noProof/>
          <w:lang w:eastAsia="de-AT"/>
        </w:rPr>
        <w:drawing>
          <wp:anchor distT="0" distB="0" distL="114300" distR="114300" simplePos="0" relativeHeight="251644416" behindDoc="0" locked="0" layoutInCell="1" allowOverlap="1" wp14:anchorId="4DFD5529" wp14:editId="0AB8EE6C">
            <wp:simplePos x="0" y="0"/>
            <wp:positionH relativeFrom="column">
              <wp:posOffset>1537335</wp:posOffset>
            </wp:positionH>
            <wp:positionV relativeFrom="paragraph">
              <wp:posOffset>65405</wp:posOffset>
            </wp:positionV>
            <wp:extent cx="1945005" cy="1219200"/>
            <wp:effectExtent l="0" t="0" r="0" b="0"/>
            <wp:wrapThrough wrapText="bothSides">
              <wp:wrapPolygon edited="0">
                <wp:start x="0" y="0"/>
                <wp:lineTo x="0" y="21263"/>
                <wp:lineTo x="21367" y="21263"/>
                <wp:lineTo x="21367"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500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A57">
        <w:rPr>
          <w:rFonts w:ascii="Calibri" w:eastAsia="Calibri" w:hAnsi="Calibri" w:cs="Calibri"/>
          <w:szCs w:val="22"/>
          <w:lang w:eastAsia="en-US"/>
        </w:rPr>
        <w:t>Dosis-Schema:</w:t>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r w:rsidRPr="00667A57">
        <w:rPr>
          <w:rFonts w:ascii="Calibri" w:eastAsia="Calibri" w:hAnsi="Calibri" w:cs="Calibri"/>
          <w:szCs w:val="22"/>
          <w:lang w:eastAsia="en-US"/>
        </w:rPr>
        <w:br/>
      </w:r>
    </w:p>
    <w:p w14:paraId="4431E059" w14:textId="77777777" w:rsidR="00C64622" w:rsidRPr="00667A57" w:rsidRDefault="00C64622" w:rsidP="00C64622">
      <w:p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br/>
      </w:r>
      <w:r w:rsidRPr="00667A57">
        <w:rPr>
          <w:rFonts w:ascii="Calibri" w:eastAsia="Calibri" w:hAnsi="Calibri" w:cs="Calibri"/>
          <w:szCs w:val="22"/>
          <w:lang w:eastAsia="en-US"/>
        </w:rPr>
        <w:br/>
      </w:r>
    </w:p>
    <w:p w14:paraId="4878A0CE"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Primärer Endpunkt war die Anzahl der Patienten, welche den 3. Zyklus begannen</w:t>
      </w:r>
    </w:p>
    <w:p w14:paraId="56BDDCF2"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Im Arm A begannen 43% der Patienten den 3. Zyklus, im Arm B nur 24% (P=0,281)</w:t>
      </w:r>
    </w:p>
    <w:p w14:paraId="4CD20F26"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Verbesserung des OS im Arm A (9,0 Mo) versus Arm B (5,9 Mo); allerdings nicht signifikant (P= 0,094)</w:t>
      </w:r>
    </w:p>
    <w:p w14:paraId="319BF97A" w14:textId="77777777" w:rsidR="00C64622" w:rsidRPr="00667A57" w:rsidRDefault="00C64622" w:rsidP="000B1AD6">
      <w:pPr>
        <w:numPr>
          <w:ilvl w:val="0"/>
          <w:numId w:val="6"/>
        </w:numPr>
        <w:autoSpaceDE w:val="0"/>
        <w:autoSpaceDN w:val="0"/>
        <w:adjustRightInd w:val="0"/>
        <w:spacing w:after="160" w:line="276" w:lineRule="auto"/>
        <w:contextualSpacing/>
        <w:jc w:val="left"/>
        <w:rPr>
          <w:rFonts w:ascii="Calibri" w:eastAsia="Calibri" w:hAnsi="Calibri" w:cs="Calibri"/>
          <w:szCs w:val="22"/>
          <w:lang w:eastAsia="en-US"/>
        </w:rPr>
      </w:pPr>
      <w:r w:rsidRPr="00667A57">
        <w:rPr>
          <w:rFonts w:ascii="Calibri" w:eastAsia="Calibri" w:hAnsi="Calibri" w:cs="Calibri"/>
          <w:szCs w:val="22"/>
          <w:lang w:eastAsia="en-US"/>
        </w:rPr>
        <w:t>Kein signifikanter Unterschied beim PFS</w:t>
      </w:r>
    </w:p>
    <w:p w14:paraId="47BE7A89" w14:textId="77777777" w:rsidR="006D4DAC" w:rsidRPr="00E344D4" w:rsidRDefault="006E06F9" w:rsidP="00534643">
      <w:pPr>
        <w:pStyle w:val="berschrift1"/>
      </w:pPr>
      <w:bookmarkStart w:id="116" w:name="_Toc93523317"/>
      <w:r>
        <w:lastRenderedPageBreak/>
        <w:t>5</w:t>
      </w:r>
      <w:r w:rsidR="00534643">
        <w:tab/>
      </w:r>
      <w:r w:rsidR="0049768A">
        <w:t xml:space="preserve">Verlaufskontrolle und </w:t>
      </w:r>
      <w:r w:rsidR="006D4DAC" w:rsidRPr="00E344D4">
        <w:t>Nachsorge</w:t>
      </w:r>
      <w:bookmarkEnd w:id="80"/>
      <w:bookmarkEnd w:id="81"/>
      <w:bookmarkEnd w:id="116"/>
    </w:p>
    <w:p w14:paraId="716FC2F7" w14:textId="77777777" w:rsidR="00E4520A" w:rsidRDefault="00E4520A" w:rsidP="00E4520A">
      <w:pPr>
        <w:pStyle w:val="berschrift2"/>
        <w:rPr>
          <w:noProof/>
          <w:lang w:eastAsia="de-AT"/>
        </w:rPr>
      </w:pPr>
      <w:bookmarkStart w:id="117" w:name="_Toc93523318"/>
      <w:r>
        <w:rPr>
          <w:noProof/>
          <w:lang w:eastAsia="de-AT"/>
        </w:rPr>
        <w:t>5.1</w:t>
      </w:r>
      <w:r>
        <w:rPr>
          <w:noProof/>
          <w:lang w:eastAsia="de-AT"/>
        </w:rPr>
        <w:tab/>
        <w:t>Nachsorge Colonkarzinom</w:t>
      </w:r>
      <w:bookmarkEnd w:id="117"/>
    </w:p>
    <w:p w14:paraId="67977ED4" w14:textId="77777777" w:rsidR="00E4520A" w:rsidRDefault="00D47587" w:rsidP="00493E1F">
      <w:pPr>
        <w:spacing w:line="240" w:lineRule="auto"/>
        <w:ind w:left="-284"/>
        <w:jc w:val="both"/>
        <w:rPr>
          <w:noProof/>
          <w:lang w:eastAsia="de-AT"/>
        </w:rPr>
      </w:pPr>
      <w:r w:rsidRPr="00D47587">
        <w:rPr>
          <w:noProof/>
          <w:lang w:eastAsia="de-AT"/>
        </w:rPr>
        <w:drawing>
          <wp:inline distT="0" distB="0" distL="0" distR="0" wp14:anchorId="739F679E" wp14:editId="4557160E">
            <wp:extent cx="6195060" cy="551757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2919" cy="5542391"/>
                    </a:xfrm>
                    <a:prstGeom prst="rect">
                      <a:avLst/>
                    </a:prstGeom>
                    <a:noFill/>
                    <a:ln>
                      <a:noFill/>
                    </a:ln>
                  </pic:spPr>
                </pic:pic>
              </a:graphicData>
            </a:graphic>
          </wp:inline>
        </w:drawing>
      </w:r>
    </w:p>
    <w:p w14:paraId="39E98A05" w14:textId="77777777" w:rsidR="00497107" w:rsidRPr="00D47587" w:rsidRDefault="00E4520A" w:rsidP="00497107">
      <w:pPr>
        <w:pStyle w:val="berschrift2"/>
        <w:ind w:left="0" w:firstLine="0"/>
      </w:pPr>
      <w:bookmarkStart w:id="118" w:name="_Toc93523319"/>
      <w:r w:rsidRPr="00D47587">
        <w:lastRenderedPageBreak/>
        <w:t>5.2</w:t>
      </w:r>
      <w:r w:rsidRPr="00D47587">
        <w:tab/>
        <w:t>Nachsorge Rektumkarzinom</w:t>
      </w:r>
      <w:bookmarkEnd w:id="118"/>
    </w:p>
    <w:p w14:paraId="4F60B716" w14:textId="77777777" w:rsidR="008015F8" w:rsidRDefault="008015F8" w:rsidP="004318DC">
      <w:pPr>
        <w:spacing w:line="240" w:lineRule="auto"/>
        <w:ind w:left="-284"/>
        <w:jc w:val="left"/>
      </w:pPr>
      <w:r w:rsidRPr="008015F8">
        <w:rPr>
          <w:noProof/>
          <w:lang w:eastAsia="de-AT"/>
        </w:rPr>
        <w:drawing>
          <wp:inline distT="0" distB="0" distL="0" distR="0" wp14:anchorId="38F5E217" wp14:editId="4BEF5F60">
            <wp:extent cx="5957570" cy="7699375"/>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570" cy="7699375"/>
                    </a:xfrm>
                    <a:prstGeom prst="rect">
                      <a:avLst/>
                    </a:prstGeom>
                    <a:noFill/>
                    <a:ln>
                      <a:noFill/>
                    </a:ln>
                  </pic:spPr>
                </pic:pic>
              </a:graphicData>
            </a:graphic>
          </wp:inline>
        </w:drawing>
      </w:r>
    </w:p>
    <w:p w14:paraId="4C5C9597" w14:textId="77777777" w:rsidR="00497107" w:rsidRDefault="00497107" w:rsidP="004318DC">
      <w:pPr>
        <w:spacing w:line="240" w:lineRule="auto"/>
        <w:ind w:left="-284"/>
        <w:jc w:val="left"/>
        <w:rPr>
          <w:rFonts w:cs="Arial"/>
          <w:b/>
          <w:bCs/>
          <w:i/>
          <w:iCs/>
          <w:sz w:val="24"/>
          <w:szCs w:val="24"/>
        </w:rPr>
      </w:pPr>
      <w:r>
        <w:br w:type="page"/>
      </w:r>
    </w:p>
    <w:p w14:paraId="16E3B074" w14:textId="77777777" w:rsidR="009E21CD" w:rsidRPr="00564EAE" w:rsidRDefault="009E21CD" w:rsidP="009E21CD">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rPr>
          <w:rFonts w:ascii="Calibri" w:hAnsi="Calibri" w:cs="Arial"/>
          <w:b/>
          <w:bCs/>
          <w:kern w:val="32"/>
          <w:szCs w:val="32"/>
        </w:rPr>
      </w:pPr>
      <w:bookmarkStart w:id="119" w:name="_Toc367183620"/>
      <w:bookmarkStart w:id="120" w:name="_Toc367183858"/>
      <w:bookmarkStart w:id="121" w:name="_Toc24906351"/>
      <w:bookmarkStart w:id="122" w:name="_Toc93523320"/>
      <w:bookmarkStart w:id="123" w:name="_Toc382815703"/>
      <w:bookmarkStart w:id="124" w:name="_Toc382815706"/>
      <w:r w:rsidRPr="00564EAE">
        <w:rPr>
          <w:rFonts w:ascii="Calibri" w:hAnsi="Calibri" w:cs="Arial"/>
          <w:b/>
          <w:bCs/>
          <w:kern w:val="32"/>
          <w:szCs w:val="32"/>
        </w:rPr>
        <w:lastRenderedPageBreak/>
        <w:t>6</w:t>
      </w:r>
      <w:r w:rsidRPr="00564EAE">
        <w:rPr>
          <w:rFonts w:ascii="Calibri" w:hAnsi="Calibri" w:cs="Arial"/>
          <w:b/>
          <w:bCs/>
          <w:kern w:val="32"/>
          <w:szCs w:val="32"/>
        </w:rPr>
        <w:tab/>
        <w:t>Dokumentation und Qualitätsparameter</w:t>
      </w:r>
      <w:bookmarkEnd w:id="119"/>
      <w:bookmarkEnd w:id="120"/>
      <w:bookmarkEnd w:id="121"/>
      <w:bookmarkEnd w:id="122"/>
    </w:p>
    <w:p w14:paraId="37F50983" w14:textId="77777777" w:rsidR="009E21CD" w:rsidRPr="009E21CD" w:rsidRDefault="009E21CD" w:rsidP="009E21CD">
      <w:pPr>
        <w:spacing w:after="120" w:line="276" w:lineRule="auto"/>
        <w:jc w:val="both"/>
        <w:rPr>
          <w:rFonts w:ascii="Calibri" w:hAnsi="Calibri" w:cs="Calibri"/>
          <w:szCs w:val="22"/>
        </w:rPr>
      </w:pPr>
      <w:r w:rsidRPr="009E21CD">
        <w:rPr>
          <w:rFonts w:ascii="Calibri" w:hAnsi="Calibri" w:cs="Calibri"/>
          <w:szCs w:val="22"/>
        </w:rPr>
        <w:t>Dokumentation in celsius37 Akte “Darmkrebs”</w:t>
      </w:r>
    </w:p>
    <w:p w14:paraId="4E7AC958" w14:textId="77777777" w:rsidR="009E21CD" w:rsidRPr="009E21CD" w:rsidRDefault="009E21CD" w:rsidP="009E21CD">
      <w:pPr>
        <w:spacing w:after="120" w:line="276" w:lineRule="auto"/>
        <w:jc w:val="both"/>
        <w:rPr>
          <w:rFonts w:ascii="Calibri" w:hAnsi="Calibri" w:cs="Calibri"/>
          <w:szCs w:val="22"/>
        </w:rPr>
      </w:pPr>
      <w:r w:rsidRPr="009E21CD">
        <w:rPr>
          <w:rFonts w:ascii="Calibri" w:hAnsi="Calibri" w:cs="Calibri"/>
          <w:szCs w:val="22"/>
        </w:rPr>
        <w:t>Qualitätsparameter gemäß OnkoZert „Darmkrebszentrum“, ebenfalls celsius37</w:t>
      </w:r>
    </w:p>
    <w:p w14:paraId="578B1E3E" w14:textId="77777777" w:rsidR="009E21CD" w:rsidRPr="009E21CD" w:rsidRDefault="009E21CD" w:rsidP="009E21CD">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rPr>
          <w:rFonts w:ascii="Calibri" w:hAnsi="Calibri" w:cs="Arial"/>
          <w:b/>
          <w:bCs/>
          <w:kern w:val="32"/>
          <w:szCs w:val="32"/>
          <w:lang w:val="en-GB"/>
        </w:rPr>
      </w:pPr>
      <w:bookmarkStart w:id="125" w:name="_Toc367183621"/>
      <w:bookmarkStart w:id="126" w:name="_Toc367183859"/>
      <w:bookmarkStart w:id="127" w:name="_Toc24906352"/>
      <w:bookmarkStart w:id="128" w:name="_Toc93523321"/>
      <w:r w:rsidRPr="009E21CD">
        <w:rPr>
          <w:rFonts w:ascii="Calibri" w:hAnsi="Calibri" w:cs="Arial"/>
          <w:b/>
          <w:bCs/>
          <w:kern w:val="32"/>
          <w:szCs w:val="32"/>
          <w:lang w:val="en-GB"/>
        </w:rPr>
        <w:t>7</w:t>
      </w:r>
      <w:r w:rsidRPr="009E21CD">
        <w:rPr>
          <w:rFonts w:ascii="Calibri" w:hAnsi="Calibri" w:cs="Arial"/>
          <w:b/>
          <w:bCs/>
          <w:kern w:val="32"/>
          <w:szCs w:val="32"/>
          <w:lang w:val="en-GB"/>
        </w:rPr>
        <w:tab/>
        <w:t>Literatur/Quellenangaben</w:t>
      </w:r>
      <w:bookmarkEnd w:id="125"/>
      <w:bookmarkEnd w:id="126"/>
      <w:bookmarkEnd w:id="127"/>
      <w:bookmarkEnd w:id="128"/>
    </w:p>
    <w:p w14:paraId="0F14123C" w14:textId="77777777" w:rsidR="009E21CD" w:rsidRPr="00564EAE" w:rsidRDefault="009E21CD" w:rsidP="009E21CD">
      <w:pPr>
        <w:shd w:val="clear" w:color="auto" w:fill="FFFFFF"/>
        <w:spacing w:before="240" w:after="200" w:line="240" w:lineRule="auto"/>
        <w:jc w:val="left"/>
        <w:rPr>
          <w:rFonts w:ascii="Calibri" w:eastAsia="Calibri" w:hAnsi="Calibri" w:cs="Arial"/>
          <w:noProof/>
          <w:szCs w:val="22"/>
          <w:lang w:val="en-GB" w:eastAsia="de-AT"/>
        </w:rPr>
      </w:pPr>
      <w:r w:rsidRPr="00564EAE">
        <w:rPr>
          <w:rFonts w:ascii="Calibri" w:eastAsia="Calibri" w:hAnsi="Calibri" w:cs="Arial"/>
          <w:noProof/>
          <w:szCs w:val="22"/>
          <w:lang w:val="en-GB" w:eastAsia="de-AT"/>
        </w:rPr>
        <w:t>Pan-Asian adapted ESMO Clinical Practice Guidelines for the diagnosistreatment and follow-up of patients with localised colon cancer. Anals of Oncology, Volume 32, Issue 12</w:t>
      </w:r>
      <w:r w:rsidRPr="00564EAE">
        <w:rPr>
          <w:rFonts w:ascii="Calibri" w:eastAsia="Calibri" w:hAnsi="Calibri" w:cs="Arial"/>
          <w:noProof/>
          <w:szCs w:val="22"/>
          <w:lang w:val="en-GB" w:eastAsia="de-AT"/>
        </w:rPr>
        <w:br/>
      </w:r>
      <w:hyperlink r:id="rId40" w:history="1">
        <w:r w:rsidRPr="00564EAE">
          <w:rPr>
            <w:rFonts w:ascii="Calibri" w:eastAsia="Calibri" w:hAnsi="Calibri" w:cs="Arial"/>
            <w:noProof/>
            <w:szCs w:val="22"/>
            <w:u w:val="single"/>
            <w:lang w:val="en-GB" w:eastAsia="de-AT"/>
          </w:rPr>
          <w:t>https://www.esmo.org/guidelines/gastrointestinal-cancers/localised-colon-cancer/paga-for-localised-colon-cancer-2021</w:t>
        </w:r>
      </w:hyperlink>
    </w:p>
    <w:p w14:paraId="100C35E2" w14:textId="77777777" w:rsidR="009E21CD" w:rsidRPr="00564EAE" w:rsidRDefault="009E21CD" w:rsidP="009E21CD">
      <w:pPr>
        <w:shd w:val="clear" w:color="auto" w:fill="FFFFFF"/>
        <w:spacing w:before="240" w:after="200" w:line="240" w:lineRule="auto"/>
        <w:jc w:val="left"/>
        <w:rPr>
          <w:rFonts w:ascii="Calibri" w:eastAsia="Calibri" w:hAnsi="Calibri" w:cs="Arial"/>
          <w:noProof/>
          <w:szCs w:val="22"/>
          <w:lang w:val="en-GB" w:eastAsia="de-AT"/>
        </w:rPr>
      </w:pPr>
      <w:r w:rsidRPr="00564EAE">
        <w:rPr>
          <w:rFonts w:ascii="Calibri" w:eastAsia="Calibri" w:hAnsi="Calibri" w:cs="Arial"/>
          <w:noProof/>
          <w:szCs w:val="22"/>
          <w:lang w:val="en-GB" w:eastAsia="de-AT"/>
        </w:rPr>
        <w:t>Pan-Asian adapted ESMO consensus guidelines forthe management of patients with metastaticcolorectal cancer. Annals of Oncology, Volume 29, Issue 1, January 2018, Pages 44–70</w:t>
      </w:r>
      <w:r w:rsidRPr="00564EAE">
        <w:rPr>
          <w:rFonts w:ascii="Calibri" w:eastAsia="Calibri" w:hAnsi="Calibri" w:cs="Arial"/>
          <w:noProof/>
          <w:szCs w:val="22"/>
          <w:lang w:val="en-GB" w:eastAsia="de-AT"/>
        </w:rPr>
        <w:br/>
      </w:r>
      <w:hyperlink r:id="rId41" w:history="1">
        <w:r w:rsidRPr="00564EAE">
          <w:rPr>
            <w:rFonts w:ascii="Calibri" w:eastAsia="Calibri" w:hAnsi="Calibri" w:cs="Arial"/>
            <w:noProof/>
            <w:szCs w:val="22"/>
            <w:u w:val="single"/>
            <w:lang w:val="en-GB" w:eastAsia="de-AT"/>
          </w:rPr>
          <w:t>https://www.esmo.org/Guidelines/Gastrointestinal-Cancers/Pan-Asian-Adapted-ESMO-Consensus-Guidelines-for-the-Management-of-Patients-with-Metastatic-Colorectal-Cancer</w:t>
        </w:r>
      </w:hyperlink>
    </w:p>
    <w:p w14:paraId="3F7BC76A" w14:textId="77777777" w:rsidR="009E21CD" w:rsidRPr="00564EAE" w:rsidRDefault="009E21CD" w:rsidP="009E21CD">
      <w:pPr>
        <w:shd w:val="clear" w:color="auto" w:fill="FFFFFF"/>
        <w:spacing w:after="200" w:line="240" w:lineRule="auto"/>
        <w:jc w:val="left"/>
        <w:rPr>
          <w:rFonts w:ascii="Calibri" w:eastAsia="Calibri" w:hAnsi="Calibri" w:cs="Arial"/>
          <w:noProof/>
          <w:szCs w:val="22"/>
          <w:lang w:val="en-GB" w:eastAsia="de-AT"/>
        </w:rPr>
      </w:pPr>
      <w:r w:rsidRPr="00564EAE">
        <w:rPr>
          <w:rFonts w:ascii="Calibri" w:eastAsia="Calibri" w:hAnsi="Calibri" w:cs="Arial"/>
          <w:noProof/>
          <w:szCs w:val="22"/>
          <w:lang w:val="en-GB" w:eastAsia="de-AT"/>
        </w:rPr>
        <w:t>Rectal cancer: ESMO Clinical Practice Guidelines for diagnosis, treatment and follow-up.</w:t>
      </w:r>
      <w:r w:rsidRPr="00564EAE">
        <w:rPr>
          <w:rFonts w:ascii="Calibri" w:eastAsia="Calibri" w:hAnsi="Calibri" w:cs="Arial"/>
          <w:noProof/>
          <w:szCs w:val="22"/>
          <w:lang w:val="en-GB" w:eastAsia="de-AT"/>
        </w:rPr>
        <w:br/>
      </w:r>
      <w:r w:rsidRPr="00564EAE">
        <w:rPr>
          <w:rFonts w:ascii="Calibri" w:hAnsi="Calibri"/>
          <w:szCs w:val="22"/>
          <w:lang w:val="en-GB"/>
        </w:rPr>
        <w:t>Annals of Oncology, Volume 28, Issue suppl_4, 1 July 2017, Pages iv22–iv40</w:t>
      </w:r>
      <w:r w:rsidRPr="00564EAE">
        <w:rPr>
          <w:rFonts w:ascii="Calibri" w:hAnsi="Calibri"/>
          <w:szCs w:val="22"/>
          <w:lang w:val="en-GB"/>
        </w:rPr>
        <w:br/>
      </w:r>
      <w:hyperlink r:id="rId42" w:history="1">
        <w:r w:rsidRPr="00564EAE">
          <w:rPr>
            <w:rFonts w:ascii="Calibri" w:eastAsia="Calibri" w:hAnsi="Calibri" w:cs="Arial"/>
            <w:noProof/>
            <w:szCs w:val="22"/>
            <w:u w:val="single"/>
            <w:lang w:val="en-GB" w:eastAsia="de-AT"/>
          </w:rPr>
          <w:t>http://www.esmo.org/Guidelines/Gastrointestinal-Cancers/Rectal-Cancer</w:t>
        </w:r>
      </w:hyperlink>
    </w:p>
    <w:p w14:paraId="0A9DFCB6" w14:textId="77777777" w:rsidR="009E21CD" w:rsidRPr="00564EAE" w:rsidRDefault="009E21CD" w:rsidP="009E21CD">
      <w:pPr>
        <w:shd w:val="clear" w:color="auto" w:fill="FFFFFF"/>
        <w:spacing w:after="200" w:line="240" w:lineRule="auto"/>
        <w:jc w:val="left"/>
        <w:rPr>
          <w:rFonts w:ascii="Calibri" w:eastAsia="Calibri" w:hAnsi="Calibri" w:cs="Arial"/>
          <w:noProof/>
          <w:szCs w:val="22"/>
          <w:lang w:val="en-GB" w:eastAsia="de-AT"/>
        </w:rPr>
      </w:pPr>
      <w:r w:rsidRPr="00564EAE">
        <w:rPr>
          <w:rFonts w:ascii="Calibri" w:eastAsia="Calibri" w:hAnsi="Calibri" w:cs="Arial"/>
          <w:noProof/>
          <w:szCs w:val="22"/>
          <w:lang w:val="en-GB" w:eastAsia="de-AT"/>
        </w:rPr>
        <w:t xml:space="preserve">Hereditary Gastrointestinal Cancers: ESMO Clinical Practice Guidelines for diagnosis, treatment and follow-up, Version 2019. </w:t>
      </w:r>
      <w:r w:rsidRPr="00564EAE">
        <w:rPr>
          <w:rFonts w:ascii="Calibri" w:hAnsi="Calibri"/>
          <w:szCs w:val="22"/>
          <w:lang w:val="en-GB"/>
        </w:rPr>
        <w:t>Annals of Oncology 0: 1–14, 2019</w:t>
      </w:r>
      <w:r w:rsidRPr="00564EAE">
        <w:rPr>
          <w:rFonts w:ascii="Calibri" w:hAnsi="Calibri"/>
          <w:szCs w:val="22"/>
          <w:lang w:val="en-GB"/>
        </w:rPr>
        <w:br/>
      </w:r>
      <w:hyperlink r:id="rId43" w:history="1">
        <w:r w:rsidRPr="00564EAE">
          <w:rPr>
            <w:rFonts w:ascii="Calibri" w:eastAsia="Calibri" w:hAnsi="Calibri" w:cs="Arial"/>
            <w:noProof/>
            <w:szCs w:val="22"/>
            <w:u w:val="single"/>
            <w:lang w:val="en-GB" w:eastAsia="de-AT"/>
          </w:rPr>
          <w:t>https://www.esmo.org/Guidelines/Gastrointestinal-Cancers/Hereditary-Gastrointestinal-Cancers</w:t>
        </w:r>
      </w:hyperlink>
    </w:p>
    <w:p w14:paraId="69F4855E" w14:textId="77777777" w:rsidR="009E21CD" w:rsidRPr="009E21CD" w:rsidRDefault="009E21CD" w:rsidP="009E21CD">
      <w:pPr>
        <w:shd w:val="clear" w:color="auto" w:fill="FFFFFF"/>
        <w:spacing w:after="200" w:line="240" w:lineRule="auto"/>
        <w:jc w:val="left"/>
        <w:rPr>
          <w:rFonts w:ascii="Calibri" w:eastAsia="Calibri" w:hAnsi="Calibri"/>
          <w:szCs w:val="22"/>
          <w:lang w:val="en-US" w:eastAsia="en-US"/>
        </w:rPr>
      </w:pPr>
      <w:r w:rsidRPr="00564EAE">
        <w:rPr>
          <w:rFonts w:ascii="Calibri" w:hAnsi="Calibri"/>
          <w:szCs w:val="22"/>
          <w:lang w:val="en-GB"/>
        </w:rPr>
        <w:t>NCCN Clinical Practice Guidelines in Oncology – Colon Cancer, Version 3.2021</w:t>
      </w:r>
      <w:r w:rsidRPr="00564EAE">
        <w:rPr>
          <w:rFonts w:ascii="Calibri" w:hAnsi="Calibri"/>
          <w:szCs w:val="22"/>
          <w:lang w:val="en-GB"/>
        </w:rPr>
        <w:br/>
      </w:r>
      <w:hyperlink r:id="rId44" w:history="1">
        <w:r w:rsidRPr="009E21CD">
          <w:rPr>
            <w:rFonts w:ascii="Calibri" w:eastAsia="Calibri" w:hAnsi="Calibri"/>
            <w:szCs w:val="22"/>
            <w:u w:val="single"/>
            <w:lang w:val="en-US" w:eastAsia="en-US"/>
          </w:rPr>
          <w:t>https://www.nccn.org/professionals/physician_gls/pdf/colon_blocks.pdf</w:t>
        </w:r>
      </w:hyperlink>
    </w:p>
    <w:p w14:paraId="64AD4A47" w14:textId="77777777" w:rsidR="009E21CD" w:rsidRPr="00564EAE" w:rsidRDefault="009E21CD" w:rsidP="009E21CD">
      <w:pPr>
        <w:shd w:val="clear" w:color="auto" w:fill="FFFFFF"/>
        <w:spacing w:after="200" w:line="240" w:lineRule="auto"/>
        <w:jc w:val="left"/>
        <w:rPr>
          <w:rFonts w:ascii="Calibri" w:eastAsia="Calibri" w:hAnsi="Calibri" w:cs="Arial"/>
          <w:noProof/>
          <w:szCs w:val="22"/>
          <w:lang w:val="en-GB" w:eastAsia="de-AT"/>
        </w:rPr>
      </w:pPr>
      <w:r w:rsidRPr="00564EAE">
        <w:rPr>
          <w:rFonts w:ascii="Calibri" w:hAnsi="Calibri"/>
          <w:szCs w:val="22"/>
          <w:lang w:val="en-GB"/>
        </w:rPr>
        <w:t>NCCN Clinical Practice Guidelines in Oncology – Rectal Cancer, Version 2.2021</w:t>
      </w:r>
      <w:r w:rsidRPr="00564EAE">
        <w:rPr>
          <w:rFonts w:ascii="Calibri" w:hAnsi="Calibri"/>
          <w:szCs w:val="22"/>
          <w:lang w:val="en-GB"/>
        </w:rPr>
        <w:br/>
      </w:r>
      <w:hyperlink r:id="rId45" w:history="1">
        <w:r w:rsidRPr="00564EAE">
          <w:rPr>
            <w:rFonts w:ascii="Calibri" w:hAnsi="Calibri"/>
            <w:szCs w:val="22"/>
            <w:u w:val="single"/>
            <w:lang w:val="en-GB"/>
          </w:rPr>
          <w:t>https://www.nccn.org/professionals/physician_gls/pdf/rectal_blocks.pdf</w:t>
        </w:r>
      </w:hyperlink>
    </w:p>
    <w:p w14:paraId="67076B8B" w14:textId="77777777" w:rsidR="009E21CD" w:rsidRPr="009E21CD" w:rsidRDefault="009E21CD" w:rsidP="009E21CD">
      <w:pPr>
        <w:shd w:val="clear" w:color="auto" w:fill="FFFFFF"/>
        <w:spacing w:after="200" w:line="240" w:lineRule="auto"/>
        <w:jc w:val="left"/>
        <w:rPr>
          <w:rFonts w:ascii="Calibri" w:eastAsia="Calibri" w:hAnsi="Calibri"/>
          <w:szCs w:val="22"/>
          <w:lang w:val="en-US" w:eastAsia="en-US"/>
        </w:rPr>
      </w:pPr>
      <w:r w:rsidRPr="00564EAE">
        <w:rPr>
          <w:rFonts w:ascii="Calibri" w:hAnsi="Calibri" w:cs="Arial"/>
          <w:szCs w:val="22"/>
          <w:lang w:val="en-GB"/>
        </w:rPr>
        <w:t>Treatment of Patients With Early-Stage Colorectal Cancer: ASCO Resource-Stratified Guideline (02/2019)</w:t>
      </w:r>
      <w:r w:rsidRPr="00564EAE">
        <w:rPr>
          <w:rFonts w:ascii="Calibri" w:hAnsi="Calibri" w:cs="Arial"/>
          <w:szCs w:val="22"/>
          <w:lang w:val="en-GB"/>
        </w:rPr>
        <w:br/>
      </w:r>
      <w:hyperlink r:id="rId46" w:history="1">
        <w:r w:rsidRPr="009E21CD">
          <w:rPr>
            <w:rFonts w:ascii="Calibri" w:eastAsia="Calibri" w:hAnsi="Calibri"/>
            <w:szCs w:val="22"/>
            <w:u w:val="single"/>
            <w:lang w:val="en-US" w:eastAsia="en-US"/>
          </w:rPr>
          <w:t>https://ascopubs.org/doi/pdf/10.1200/JGO.18.00214</w:t>
        </w:r>
      </w:hyperlink>
    </w:p>
    <w:p w14:paraId="22B5A6F6" w14:textId="77777777" w:rsidR="009E21CD" w:rsidRPr="009E21CD" w:rsidRDefault="009E21CD" w:rsidP="009E21CD">
      <w:pPr>
        <w:shd w:val="clear" w:color="auto" w:fill="FFFFFF"/>
        <w:spacing w:after="200" w:line="240" w:lineRule="auto"/>
        <w:jc w:val="left"/>
        <w:rPr>
          <w:rFonts w:ascii="Calibri" w:eastAsia="Calibri" w:hAnsi="Calibri"/>
          <w:szCs w:val="22"/>
          <w:lang w:val="en-US" w:eastAsia="en-US"/>
        </w:rPr>
      </w:pPr>
      <w:r w:rsidRPr="009E21CD">
        <w:rPr>
          <w:rFonts w:ascii="Calibri" w:eastAsia="Calibri" w:hAnsi="Calibri"/>
          <w:szCs w:val="22"/>
          <w:lang w:val="en-US" w:eastAsia="en-US"/>
        </w:rPr>
        <w:t>Treatment of Patients With Late-Stage Colorectal Cancer: ASCO Resource-Stratified Guideline (02/2019)</w:t>
      </w:r>
      <w:r w:rsidRPr="009E21CD">
        <w:rPr>
          <w:rFonts w:ascii="Calibri" w:eastAsia="Calibri" w:hAnsi="Calibri"/>
          <w:szCs w:val="22"/>
          <w:lang w:val="en-US" w:eastAsia="en-US"/>
        </w:rPr>
        <w:br/>
      </w:r>
      <w:hyperlink r:id="rId47" w:history="1">
        <w:r w:rsidRPr="009E21CD">
          <w:rPr>
            <w:rFonts w:ascii="Calibri" w:eastAsia="Calibri" w:hAnsi="Calibri"/>
            <w:szCs w:val="22"/>
            <w:u w:val="single"/>
            <w:lang w:val="en-US" w:eastAsia="en-US"/>
          </w:rPr>
          <w:t>https://ascopubs.org/doi/pdf/10.1200/JGO.19.00367</w:t>
        </w:r>
      </w:hyperlink>
      <w:r w:rsidRPr="009E21CD">
        <w:rPr>
          <w:rFonts w:ascii="Calibri" w:eastAsia="Calibri" w:hAnsi="Calibri"/>
          <w:szCs w:val="22"/>
          <w:lang w:val="en-US" w:eastAsia="en-US"/>
        </w:rPr>
        <w:t xml:space="preserve"> </w:t>
      </w:r>
    </w:p>
    <w:p w14:paraId="2DD301B0" w14:textId="77777777" w:rsidR="009E21CD" w:rsidRPr="009E21CD" w:rsidRDefault="009E21CD" w:rsidP="009E21CD">
      <w:pPr>
        <w:shd w:val="clear" w:color="auto" w:fill="FFFFFF"/>
        <w:spacing w:after="200" w:line="240" w:lineRule="auto"/>
        <w:jc w:val="left"/>
        <w:rPr>
          <w:rFonts w:ascii="Calibri" w:hAnsi="Calibri"/>
          <w:szCs w:val="22"/>
        </w:rPr>
      </w:pPr>
      <w:r w:rsidRPr="009E21CD">
        <w:rPr>
          <w:rFonts w:ascii="Calibri" w:eastAsia="Calibri" w:hAnsi="Calibri" w:cs="Arial"/>
          <w:noProof/>
          <w:szCs w:val="22"/>
          <w:lang w:eastAsia="de-AT"/>
        </w:rPr>
        <w:t xml:space="preserve">Onkopedia-Leitlinie Kolonkarzinom, </w:t>
      </w:r>
      <w:bookmarkStart w:id="129" w:name="_Hlk24488513"/>
      <w:r w:rsidRPr="009E21CD">
        <w:rPr>
          <w:rFonts w:ascii="Calibri" w:eastAsia="Calibri" w:hAnsi="Calibri" w:cs="Arial"/>
          <w:noProof/>
          <w:szCs w:val="22"/>
          <w:lang w:eastAsia="de-AT"/>
        </w:rPr>
        <w:t>Oktober/2018</w:t>
      </w:r>
      <w:bookmarkEnd w:id="129"/>
      <w:r w:rsidRPr="009E21CD">
        <w:rPr>
          <w:rFonts w:ascii="Calibri" w:eastAsia="Calibri" w:hAnsi="Calibri" w:cs="Arial"/>
          <w:noProof/>
          <w:szCs w:val="22"/>
          <w:lang w:eastAsia="de-AT"/>
        </w:rPr>
        <w:br/>
      </w:r>
      <w:hyperlink r:id="rId48" w:history="1">
        <w:r w:rsidRPr="009E21CD">
          <w:rPr>
            <w:rFonts w:ascii="Calibri" w:hAnsi="Calibri"/>
            <w:szCs w:val="22"/>
            <w:u w:val="single"/>
          </w:rPr>
          <w:t>https://www.onkopedia.com/de/onkopedia/guidelines/kolonkarzinom/@@view/html/index.html</w:t>
        </w:r>
      </w:hyperlink>
    </w:p>
    <w:p w14:paraId="12F47A02" w14:textId="77777777" w:rsidR="009E21CD" w:rsidRPr="009E21CD" w:rsidRDefault="009E21CD" w:rsidP="009E21CD">
      <w:pPr>
        <w:shd w:val="clear" w:color="auto" w:fill="FFFFFF"/>
        <w:spacing w:after="200" w:line="240" w:lineRule="auto"/>
        <w:jc w:val="left"/>
        <w:rPr>
          <w:rFonts w:ascii="Calibri" w:hAnsi="Calibri"/>
          <w:szCs w:val="22"/>
        </w:rPr>
      </w:pPr>
      <w:r w:rsidRPr="009E21CD">
        <w:rPr>
          <w:rFonts w:ascii="Calibri" w:eastAsia="Calibri" w:hAnsi="Calibri" w:cs="Arial"/>
          <w:noProof/>
          <w:szCs w:val="22"/>
          <w:lang w:eastAsia="de-AT"/>
        </w:rPr>
        <w:t>Onkopedia-Leitlinie Rektumkarzinom, Oktober/2018</w:t>
      </w:r>
      <w:r w:rsidRPr="009E21CD">
        <w:rPr>
          <w:rFonts w:ascii="Calibri" w:eastAsia="Calibri" w:hAnsi="Calibri" w:cs="Arial"/>
          <w:noProof/>
          <w:szCs w:val="22"/>
          <w:lang w:eastAsia="de-AT"/>
        </w:rPr>
        <w:br/>
      </w:r>
      <w:hyperlink r:id="rId49" w:history="1">
        <w:r w:rsidRPr="009E21CD">
          <w:rPr>
            <w:rFonts w:ascii="Calibri" w:hAnsi="Calibri"/>
            <w:szCs w:val="22"/>
            <w:u w:val="single"/>
          </w:rPr>
          <w:t>https://www.onkopedia.com/de/onkopedia/guidelines/rektumkarzinom/@@view/html/index.html</w:t>
        </w:r>
      </w:hyperlink>
    </w:p>
    <w:p w14:paraId="47F953A0" w14:textId="77777777" w:rsidR="009E21CD" w:rsidRPr="00564EAE" w:rsidRDefault="009E21CD" w:rsidP="009E21CD">
      <w:pPr>
        <w:shd w:val="clear" w:color="auto" w:fill="FFFFFF"/>
        <w:spacing w:after="200" w:line="240" w:lineRule="auto"/>
        <w:jc w:val="left"/>
        <w:rPr>
          <w:rFonts w:ascii="Calibri" w:eastAsia="Calibri" w:hAnsi="Calibri"/>
          <w:szCs w:val="22"/>
          <w:lang w:eastAsia="en-US"/>
        </w:rPr>
      </w:pPr>
      <w:r w:rsidRPr="009E21CD">
        <w:rPr>
          <w:rFonts w:ascii="Calibri" w:eastAsia="Calibri" w:hAnsi="Calibri" w:cs="Arial"/>
          <w:noProof/>
          <w:szCs w:val="22"/>
          <w:lang w:eastAsia="de-AT"/>
        </w:rPr>
        <w:t>S3-Leitlinie Kolorektales Karzinom. Version 2.1. – Januar 2019</w:t>
      </w:r>
      <w:r w:rsidRPr="009E21CD">
        <w:rPr>
          <w:rFonts w:ascii="Calibri" w:eastAsia="Calibri" w:hAnsi="Calibri" w:cs="Arial"/>
          <w:noProof/>
          <w:szCs w:val="22"/>
          <w:lang w:eastAsia="de-AT"/>
        </w:rPr>
        <w:br/>
      </w:r>
      <w:hyperlink r:id="rId50" w:history="1">
        <w:r w:rsidRPr="00564EAE">
          <w:rPr>
            <w:rFonts w:ascii="Calibri" w:eastAsia="Calibri" w:hAnsi="Calibri"/>
            <w:szCs w:val="22"/>
            <w:u w:val="single"/>
            <w:lang w:eastAsia="en-US"/>
          </w:rPr>
          <w:t>https://www.awmf.org/uploads/tx_szleitlinien/021-007OLl_S3_Kolorektales-Karzinom-KRK_2019-01.pdf</w:t>
        </w:r>
      </w:hyperlink>
    </w:p>
    <w:p w14:paraId="430A041B" w14:textId="77777777" w:rsidR="009E21CD" w:rsidRPr="00564EAE" w:rsidRDefault="009E21CD" w:rsidP="009E21CD">
      <w:pPr>
        <w:shd w:val="clear" w:color="auto" w:fill="FFFFFF"/>
        <w:spacing w:after="200" w:line="240" w:lineRule="auto"/>
        <w:jc w:val="left"/>
        <w:rPr>
          <w:rFonts w:ascii="Calibri" w:eastAsia="Calibri" w:hAnsi="Calibri" w:cs="Arial"/>
          <w:noProof/>
          <w:szCs w:val="22"/>
          <w:u w:val="single"/>
          <w:lang w:val="en-GB" w:eastAsia="de-AT"/>
        </w:rPr>
      </w:pPr>
      <w:r w:rsidRPr="00564EAE">
        <w:rPr>
          <w:rFonts w:ascii="Calibri" w:eastAsia="Calibri" w:hAnsi="Calibri" w:cs="Arial"/>
          <w:noProof/>
          <w:szCs w:val="22"/>
          <w:lang w:val="en-GB" w:eastAsia="de-AT"/>
        </w:rPr>
        <w:t>AJCC Cancer Staging Manual 8th edition 2017</w:t>
      </w:r>
      <w:r w:rsidRPr="00564EAE">
        <w:rPr>
          <w:rFonts w:ascii="Calibri" w:eastAsia="Calibri" w:hAnsi="Calibri" w:cs="Arial"/>
          <w:noProof/>
          <w:szCs w:val="22"/>
          <w:lang w:val="en-GB" w:eastAsia="de-AT"/>
        </w:rPr>
        <w:br/>
      </w:r>
      <w:hyperlink r:id="rId51" w:history="1">
        <w:r w:rsidRPr="00564EAE">
          <w:rPr>
            <w:rFonts w:ascii="Calibri" w:eastAsia="Calibri" w:hAnsi="Calibri" w:cs="Arial"/>
            <w:noProof/>
            <w:szCs w:val="22"/>
            <w:u w:val="single"/>
            <w:lang w:val="en-GB" w:eastAsia="de-AT"/>
          </w:rPr>
          <w:t>https://cancerstaging.org/Pages/default.aspx</w:t>
        </w:r>
      </w:hyperlink>
    </w:p>
    <w:p w14:paraId="724C579F" w14:textId="77777777" w:rsidR="009E21CD" w:rsidRPr="009E21CD" w:rsidRDefault="009E21CD" w:rsidP="009E21CD">
      <w:pPr>
        <w:shd w:val="clear" w:color="auto" w:fill="FFFFFF"/>
        <w:spacing w:after="200" w:line="240" w:lineRule="auto"/>
        <w:jc w:val="left"/>
        <w:rPr>
          <w:rFonts w:ascii="Calibri" w:eastAsia="Calibri" w:hAnsi="Calibri" w:cs="Arial"/>
          <w:noProof/>
          <w:szCs w:val="22"/>
          <w:u w:val="single"/>
          <w:lang w:eastAsia="de-AT"/>
        </w:rPr>
      </w:pPr>
      <w:r w:rsidRPr="009E21CD">
        <w:rPr>
          <w:rFonts w:ascii="Calibri" w:eastAsia="Calibri" w:hAnsi="Calibri" w:cs="Arial"/>
          <w:noProof/>
          <w:szCs w:val="22"/>
          <w:lang w:eastAsia="de-AT"/>
        </w:rPr>
        <w:t>Konsentierte Stellungnahme der AIO, ACO und ARO zur neoadjuvanten Therapie beim Rektumkarzinom</w:t>
      </w:r>
      <w:r w:rsidRPr="009E21CD">
        <w:rPr>
          <w:rFonts w:ascii="Calibri" w:eastAsia="Calibri" w:hAnsi="Calibri" w:cs="Arial"/>
          <w:noProof/>
          <w:szCs w:val="22"/>
          <w:lang w:eastAsia="de-AT"/>
        </w:rPr>
        <w:br/>
      </w:r>
      <w:hyperlink r:id="rId52" w:history="1">
        <w:r w:rsidRPr="009E21CD">
          <w:rPr>
            <w:rFonts w:ascii="Calibri" w:eastAsia="Calibri" w:hAnsi="Calibri" w:cs="Arial"/>
            <w:noProof/>
            <w:szCs w:val="22"/>
            <w:u w:val="single"/>
            <w:lang w:eastAsia="de-AT"/>
          </w:rPr>
          <w:t>https://aio-portal.de/index.php/stellungnahmen.html</w:t>
        </w:r>
      </w:hyperlink>
    </w:p>
    <w:p w14:paraId="75CA6A77" w14:textId="77777777" w:rsidR="009E21CD" w:rsidRPr="00564EAE" w:rsidRDefault="009E21CD" w:rsidP="009E21CD">
      <w:pPr>
        <w:shd w:val="clear" w:color="auto" w:fill="FFFFFF"/>
        <w:spacing w:after="200" w:line="240" w:lineRule="auto"/>
        <w:jc w:val="left"/>
        <w:rPr>
          <w:rFonts w:ascii="Calibri" w:eastAsia="Calibri" w:hAnsi="Calibri" w:cs="Arial"/>
          <w:noProof/>
          <w:szCs w:val="22"/>
          <w:lang w:val="en-GB" w:eastAsia="de-AT"/>
        </w:rPr>
      </w:pPr>
      <w:r w:rsidRPr="00564EAE">
        <w:rPr>
          <w:rFonts w:ascii="Calibri" w:eastAsia="Calibri" w:hAnsi="Calibri" w:cs="Arial"/>
          <w:noProof/>
          <w:szCs w:val="22"/>
          <w:lang w:val="en-GB" w:eastAsia="de-AT"/>
        </w:rPr>
        <w:t>International consensus recommendations on key outcome measures for organ preservation after (chemo)radiotherapy in patients with rectal cancer. Nat. Rev. Clinical Oncology, Volume 18, Dec 2021</w:t>
      </w:r>
      <w:r w:rsidRPr="00564EAE">
        <w:rPr>
          <w:rFonts w:ascii="Calibri" w:eastAsia="Calibri" w:hAnsi="Calibri" w:cs="Arial"/>
          <w:noProof/>
          <w:szCs w:val="22"/>
          <w:lang w:val="en-GB" w:eastAsia="de-AT"/>
        </w:rPr>
        <w:br/>
      </w:r>
      <w:hyperlink r:id="rId53" w:history="1">
        <w:r w:rsidRPr="00564EAE">
          <w:rPr>
            <w:rFonts w:ascii="Calibri" w:eastAsia="Calibri" w:hAnsi="Calibri" w:cs="Arial"/>
            <w:noProof/>
            <w:szCs w:val="22"/>
            <w:u w:val="single"/>
            <w:lang w:val="en-GB" w:eastAsia="de-AT"/>
          </w:rPr>
          <w:t>https://www.nature.com/articles/s41571-021-00538-5</w:t>
        </w:r>
      </w:hyperlink>
    </w:p>
    <w:p w14:paraId="7163533C" w14:textId="77777777" w:rsidR="009E21CD" w:rsidRPr="009E21CD" w:rsidRDefault="009E21CD" w:rsidP="009E21CD">
      <w:pPr>
        <w:shd w:val="clear" w:color="auto" w:fill="FFFFFF"/>
        <w:spacing w:after="200" w:line="240" w:lineRule="auto"/>
        <w:jc w:val="left"/>
        <w:rPr>
          <w:rFonts w:ascii="Calibri" w:eastAsia="Calibri" w:hAnsi="Calibri" w:cs="Arial"/>
          <w:noProof/>
          <w:szCs w:val="22"/>
          <w:lang w:eastAsia="de-AT"/>
        </w:rPr>
      </w:pPr>
      <w:r w:rsidRPr="009E21CD">
        <w:rPr>
          <w:rFonts w:ascii="Calibri" w:eastAsia="Calibri" w:hAnsi="Calibri" w:cs="Arial"/>
          <w:noProof/>
          <w:szCs w:val="22"/>
          <w:lang w:eastAsia="de-AT"/>
        </w:rPr>
        <w:lastRenderedPageBreak/>
        <w:t>Konsentierte  Stellungnahme  der  ACO,  derAIOund der ARO zum „watch and wait“-Konzept mit intendiertem Organerhalt bei Rektumkarzinomen des mittleren und unteren Drittels</w:t>
      </w:r>
      <w:r w:rsidRPr="009E21CD">
        <w:rPr>
          <w:rFonts w:ascii="Calibri" w:eastAsia="Calibri" w:hAnsi="Calibri" w:cs="Arial"/>
          <w:noProof/>
          <w:szCs w:val="22"/>
          <w:lang w:eastAsia="de-AT"/>
        </w:rPr>
        <w:br/>
      </w:r>
      <w:hyperlink r:id="rId54" w:history="1">
        <w:r w:rsidRPr="009E21CD">
          <w:rPr>
            <w:rFonts w:ascii="Calibri" w:eastAsia="Calibri" w:hAnsi="Calibri" w:cs="Arial"/>
            <w:noProof/>
            <w:szCs w:val="22"/>
            <w:u w:val="single"/>
            <w:lang w:eastAsia="de-AT"/>
          </w:rPr>
          <w:t>https://aio-portal.de/index.php/stellungnahmen.html</w:t>
        </w:r>
      </w:hyperlink>
    </w:p>
    <w:p w14:paraId="0A7D1651"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r w:rsidRPr="009E21CD">
        <w:rPr>
          <w:rFonts w:ascii="Calibri" w:eastAsia="Calibri" w:hAnsi="Calibri" w:cs="Arial"/>
          <w:noProof/>
          <w:szCs w:val="22"/>
          <w:lang w:eastAsia="de-AT"/>
        </w:rPr>
        <w:t>Manual GI-Tumore 18. Auflage 2019, R.Fuchs, D. Guggenberger, U. Neumann</w:t>
      </w:r>
    </w:p>
    <w:p w14:paraId="7BCDDC17"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381672D"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365FF6E6"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1A8FAF52"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1545A77F"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C376A49"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64F5405E"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FB34BCA"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0C6F3E9B"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2C178F5"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34A0EC4"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B256525"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64A624AA"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54D98112"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37397E49"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33AE7BD4"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47D14E87"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43BE7B11"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D8415D6"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4F46AAB4"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650F8DE2"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0C316C8"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74DBDE9"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C7B89E1"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2A656EDB" w14:textId="77777777" w:rsidR="007F743D" w:rsidRDefault="007F743D" w:rsidP="009E21CD">
      <w:pPr>
        <w:shd w:val="clear" w:color="auto" w:fill="FFFFFF"/>
        <w:spacing w:after="200" w:line="240" w:lineRule="auto"/>
        <w:jc w:val="left"/>
        <w:rPr>
          <w:rFonts w:ascii="Calibri" w:eastAsia="Calibri" w:hAnsi="Calibri" w:cs="Arial"/>
          <w:noProof/>
          <w:szCs w:val="22"/>
          <w:lang w:eastAsia="de-AT"/>
        </w:rPr>
      </w:pPr>
    </w:p>
    <w:p w14:paraId="105A939D" w14:textId="77777777" w:rsidR="009E21CD" w:rsidRDefault="009E21CD" w:rsidP="009E21CD">
      <w:pPr>
        <w:shd w:val="clear" w:color="auto" w:fill="FFFFFF"/>
        <w:spacing w:after="200" w:line="240" w:lineRule="auto"/>
        <w:jc w:val="left"/>
        <w:rPr>
          <w:rFonts w:ascii="Calibri" w:eastAsia="Calibri" w:hAnsi="Calibri" w:cs="Arial"/>
          <w:noProof/>
          <w:szCs w:val="22"/>
          <w:lang w:eastAsia="de-AT"/>
        </w:rPr>
      </w:pPr>
    </w:p>
    <w:p w14:paraId="7DDDAF85" w14:textId="77777777" w:rsidR="009E21CD" w:rsidRPr="009E21CD" w:rsidRDefault="009E21CD" w:rsidP="009E21CD">
      <w:pPr>
        <w:shd w:val="clear" w:color="auto" w:fill="FFFFFF"/>
        <w:spacing w:after="200" w:line="240" w:lineRule="auto"/>
        <w:jc w:val="left"/>
        <w:rPr>
          <w:rFonts w:ascii="Calibri" w:eastAsia="Calibri" w:hAnsi="Calibri" w:cs="Arial"/>
          <w:noProof/>
          <w:szCs w:val="22"/>
          <w:lang w:eastAsia="de-AT"/>
        </w:rPr>
      </w:pPr>
    </w:p>
    <w:p w14:paraId="3CA37814" w14:textId="77777777" w:rsidR="00A41D96" w:rsidRPr="00A41D96" w:rsidRDefault="00A41D96" w:rsidP="00A41D96">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rPr>
          <w:rFonts w:ascii="Calibri" w:hAnsi="Calibri" w:cs="Calibri"/>
          <w:b/>
          <w:bCs/>
          <w:kern w:val="32"/>
          <w:szCs w:val="22"/>
        </w:rPr>
      </w:pPr>
      <w:bookmarkStart w:id="130" w:name="_Toc93523322"/>
      <w:r w:rsidRPr="00A41D96">
        <w:rPr>
          <w:rFonts w:ascii="Calibri" w:hAnsi="Calibri" w:cs="Calibri"/>
          <w:b/>
          <w:bCs/>
          <w:kern w:val="32"/>
          <w:szCs w:val="22"/>
        </w:rPr>
        <w:lastRenderedPageBreak/>
        <w:t xml:space="preserve">Anhang: </w:t>
      </w:r>
      <w:r w:rsidRPr="00A41D96">
        <w:rPr>
          <w:rFonts w:ascii="Calibri" w:hAnsi="Calibri" w:cs="Arial"/>
          <w:b/>
          <w:bCs/>
          <w:kern w:val="32"/>
          <w:szCs w:val="32"/>
        </w:rPr>
        <w:t>Chemotherapieprotokolle</w:t>
      </w:r>
      <w:bookmarkEnd w:id="130"/>
    </w:p>
    <w:p w14:paraId="66426D5B" w14:textId="77777777" w:rsidR="00523A0D" w:rsidRDefault="00523A0D" w:rsidP="00A41D96">
      <w:pPr>
        <w:autoSpaceDE w:val="0"/>
        <w:autoSpaceDN w:val="0"/>
        <w:adjustRightInd w:val="0"/>
        <w:spacing w:line="240" w:lineRule="auto"/>
        <w:rPr>
          <w:rFonts w:ascii="Calibri" w:eastAsia="Calibri" w:hAnsi="Calibri" w:cs="Calibri"/>
          <w:b/>
          <w:bCs/>
          <w:color w:val="231F20"/>
          <w:szCs w:val="22"/>
          <w:lang w:eastAsia="en-US"/>
        </w:rPr>
      </w:pPr>
    </w:p>
    <w:p w14:paraId="1D6A30F3" w14:textId="77777777" w:rsidR="0013623F" w:rsidRPr="00A41D96" w:rsidRDefault="0013623F" w:rsidP="0013623F">
      <w:pPr>
        <w:autoSpaceDE w:val="0"/>
        <w:autoSpaceDN w:val="0"/>
        <w:adjustRightInd w:val="0"/>
        <w:spacing w:line="240" w:lineRule="auto"/>
        <w:rPr>
          <w:rFonts w:ascii="Calibri" w:eastAsia="Calibri" w:hAnsi="Calibri" w:cs="Calibri"/>
          <w:b/>
          <w:bCs/>
          <w:color w:val="231F20"/>
          <w:szCs w:val="22"/>
          <w:lang w:eastAsia="en-US"/>
        </w:rPr>
      </w:pPr>
    </w:p>
    <w:bookmarkStart w:id="131" w:name="_Toc367183622"/>
    <w:bookmarkStart w:id="132" w:name="_Toc367183860"/>
    <w:p w14:paraId="0DE49B8B" w14:textId="77777777" w:rsidR="0013623F" w:rsidRPr="00804346" w:rsidRDefault="0013623F" w:rsidP="0013623F">
      <w:pPr>
        <w:spacing w:line="240" w:lineRule="auto"/>
        <w:jc w:val="left"/>
        <w:rPr>
          <w:rFonts w:ascii="Calibri" w:hAnsi="Calibri" w:cs="Calibri"/>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2064" behindDoc="1" locked="0" layoutInCell="1" allowOverlap="1" wp14:anchorId="392AC99B" wp14:editId="39851015">
                <wp:simplePos x="0" y="0"/>
                <wp:positionH relativeFrom="margin">
                  <wp:posOffset>0</wp:posOffset>
                </wp:positionH>
                <wp:positionV relativeFrom="paragraph">
                  <wp:posOffset>0</wp:posOffset>
                </wp:positionV>
                <wp:extent cx="6200775" cy="190500"/>
                <wp:effectExtent l="0" t="0" r="28575" b="19050"/>
                <wp:wrapNone/>
                <wp:docPr id="2071" name="Rechteck 2071"/>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66B45F68"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C99B" id="Rechteck 2071" o:spid="_x0000_s1026" style="position:absolute;margin-left:0;margin-top:0;width:488.25pt;height: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" fillcolor="#92d050" strokecolor="#4e6128 [1606]" strokeweight="2pt">
                <v:textbox>
                  <w:txbxContent>
                    <w:p w14:paraId="66B45F68"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804346">
        <w:rPr>
          <w:rFonts w:ascii="Calibri" w:hAnsi="Calibri" w:cs="Calibri"/>
          <w:b/>
          <w:color w:val="000000"/>
          <w:szCs w:val="22"/>
          <w:lang w:val="de-DE"/>
        </w:rPr>
        <w:t>CRC: 5-FU/Leukovorin (De Gramont) (46 Stunden) d1,15; q4w</w:t>
      </w:r>
      <w:r w:rsidRPr="00804346">
        <w:rPr>
          <w:rFonts w:ascii="Calibri" w:hAnsi="Calibri" w:cs="Calibri"/>
          <w:color w:val="000000"/>
          <w:szCs w:val="22"/>
          <w:lang w:val="de-DE"/>
        </w:rPr>
        <w:t xml:space="preserve"> </w:t>
      </w:r>
    </w:p>
    <w:p w14:paraId="162FDEFE"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Leucovorin 400 mg/m² </w:t>
      </w:r>
      <w:r w:rsidRPr="00930249">
        <w:rPr>
          <w:rFonts w:ascii="Calibri" w:eastAsia="Calibri" w:hAnsi="Calibri" w:cs="Arial"/>
          <w:szCs w:val="22"/>
          <w:lang w:eastAsia="en-US"/>
        </w:rPr>
        <w:t xml:space="preserve">i.v. </w:t>
      </w:r>
      <w:r w:rsidRPr="00930249">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458A724A"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5-FU 400 mg/m² </w:t>
      </w:r>
      <w:r w:rsidRPr="00930249">
        <w:rPr>
          <w:rFonts w:ascii="Calibri" w:eastAsia="Calibri" w:hAnsi="Calibri" w:cs="Arial"/>
          <w:szCs w:val="22"/>
          <w:lang w:eastAsia="en-US"/>
        </w:rPr>
        <w:t xml:space="preserve">i.v. </w:t>
      </w:r>
      <w:r w:rsidRPr="00930249">
        <w:rPr>
          <w:rFonts w:ascii="Calibri" w:eastAsia="Calibri" w:hAnsi="Calibri" w:cs="Arial"/>
          <w:bCs/>
          <w:color w:val="231F20"/>
          <w:szCs w:val="22"/>
          <w:lang w:eastAsia="en-US"/>
        </w:rPr>
        <w:t>Kurzinfusion Tag 1</w:t>
      </w:r>
      <w:r>
        <w:rPr>
          <w:rFonts w:ascii="Calibri" w:eastAsia="Calibri" w:hAnsi="Calibri" w:cs="Arial"/>
          <w:bCs/>
          <w:color w:val="231F20"/>
          <w:szCs w:val="22"/>
          <w:lang w:eastAsia="en-US"/>
        </w:rPr>
        <w:t>,15</w:t>
      </w:r>
      <w:r w:rsidRPr="00930249">
        <w:rPr>
          <w:rFonts w:ascii="Calibri" w:eastAsia="Calibri" w:hAnsi="Calibri" w:cs="Arial"/>
          <w:bCs/>
          <w:color w:val="231F20"/>
          <w:szCs w:val="22"/>
          <w:lang w:eastAsia="en-US"/>
        </w:rPr>
        <w:br/>
        <w:t>5-FU 2400 mg/m² i.v.</w:t>
      </w:r>
      <w:r>
        <w:rPr>
          <w:rFonts w:ascii="Calibri" w:eastAsia="Calibri" w:hAnsi="Calibri" w:cs="Arial"/>
          <w:bCs/>
          <w:color w:val="231F20"/>
          <w:szCs w:val="22"/>
          <w:lang w:eastAsia="en-US"/>
        </w:rPr>
        <w:t xml:space="preserve"> Tag 1,15</w:t>
      </w:r>
      <w:r w:rsidRPr="00930249">
        <w:rPr>
          <w:rFonts w:ascii="Calibri" w:eastAsia="Calibri" w:hAnsi="Calibri" w:cs="Arial"/>
          <w:bCs/>
          <w:color w:val="231F20"/>
          <w:szCs w:val="22"/>
          <w:lang w:eastAsia="en-US"/>
        </w:rPr>
        <w:t xml:space="preserve"> Dauerinfusion über 46 Stunden</w:t>
      </w:r>
    </w:p>
    <w:p w14:paraId="6B4F6DAD" w14:textId="77777777" w:rsidR="0013623F" w:rsidRPr="00804346" w:rsidRDefault="0013623F" w:rsidP="0013623F">
      <w:pPr>
        <w:spacing w:line="276" w:lineRule="auto"/>
        <w:jc w:val="left"/>
        <w:rPr>
          <w:rFonts w:ascii="Calibri" w:eastAsia="Calibri" w:hAnsi="Calibri" w:cs="Arial"/>
          <w:szCs w:val="22"/>
          <w:lang w:eastAsia="en-US"/>
        </w:rPr>
      </w:pPr>
      <w:r w:rsidRPr="00804346">
        <w:rPr>
          <w:rFonts w:ascii="Calibri" w:eastAsia="Calibri" w:hAnsi="Calibri" w:cs="Arial"/>
          <w:szCs w:val="22"/>
          <w:lang w:eastAsia="en-US"/>
        </w:rPr>
        <w:t>Wiederholung Tag 29</w:t>
      </w:r>
    </w:p>
    <w:p w14:paraId="612F7C28" w14:textId="77777777" w:rsidR="0013623F" w:rsidRPr="00A41D96" w:rsidRDefault="0013623F" w:rsidP="0013623F">
      <w:pPr>
        <w:spacing w:line="276" w:lineRule="auto"/>
        <w:jc w:val="left"/>
        <w:rPr>
          <w:rFonts w:ascii="Calibri" w:eastAsia="Calibri" w:hAnsi="Calibri" w:cs="Arial"/>
          <w:b/>
          <w:szCs w:val="22"/>
          <w:lang w:eastAsia="en-US"/>
        </w:rPr>
      </w:pPr>
    </w:p>
    <w:p w14:paraId="75BB038A" w14:textId="77777777" w:rsidR="0013623F" w:rsidRPr="00930249" w:rsidRDefault="0013623F" w:rsidP="0013623F">
      <w:pPr>
        <w:spacing w:line="276" w:lineRule="auto"/>
        <w:jc w:val="left"/>
        <w:rPr>
          <w:rFonts w:ascii="Calibri" w:eastAsia="Calibri" w:hAnsi="Calibri" w:cs="Arial"/>
          <w:b/>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3088" behindDoc="1" locked="0" layoutInCell="1" allowOverlap="1" wp14:anchorId="40C6C820" wp14:editId="24F84CF1">
                <wp:simplePos x="0" y="0"/>
                <wp:positionH relativeFrom="margin">
                  <wp:posOffset>0</wp:posOffset>
                </wp:positionH>
                <wp:positionV relativeFrom="paragraph">
                  <wp:posOffset>-635</wp:posOffset>
                </wp:positionV>
                <wp:extent cx="6200775" cy="190500"/>
                <wp:effectExtent l="0" t="0" r="28575" b="19050"/>
                <wp:wrapNone/>
                <wp:docPr id="2073" name="Rechteck 2073"/>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5CBFE368"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C820" id="Rechteck 2073" o:spid="_x0000_s1027" style="position:absolute;margin-left:0;margin-top:-.05pt;width:488.25pt;height: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JIB2aGQAgAAhAUAAA4AAAAAAAAAAAAAAAAALgIAAGRycy9lMm9Eb2MueG1sUEsBAi0A&#10;FAAGAAgAAAAhADob5erbAAAABQEAAA8AAAAAAAAAAAAAAAAA6gQAAGRycy9kb3ducmV2LnhtbFBL&#10;BQYAAAAABAAEAPMAAADyBQAAAAA=&#10;" fillcolor="#92d050" strokecolor="#4e6128 [1606]" strokeweight="2pt">
                <v:textbox>
                  <w:txbxContent>
                    <w:p w14:paraId="5CBFE368"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930249">
        <w:rPr>
          <w:rFonts w:ascii="Calibri" w:eastAsia="Calibri" w:hAnsi="Calibri" w:cs="Arial"/>
          <w:b/>
          <w:szCs w:val="22"/>
          <w:lang w:eastAsia="en-US"/>
        </w:rPr>
        <w:t>CRC: 5-FU/Leukovorin (De Gramont) (46 Stunden) d1,15, Bevacizumab (5) d1,15; q4w</w:t>
      </w:r>
    </w:p>
    <w:p w14:paraId="2283AC63"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Bevacizumab 5 mg/kg i.v., Tag 1,15</w:t>
      </w:r>
    </w:p>
    <w:p w14:paraId="30791121"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Leucovorin 400 mg/m² </w:t>
      </w:r>
      <w:r w:rsidRPr="00930249">
        <w:rPr>
          <w:rFonts w:ascii="Calibri" w:eastAsia="Calibri" w:hAnsi="Calibri" w:cs="Arial"/>
          <w:szCs w:val="22"/>
          <w:lang w:eastAsia="en-US"/>
        </w:rPr>
        <w:t xml:space="preserve">i.v. </w:t>
      </w:r>
      <w:r w:rsidRPr="00930249">
        <w:rPr>
          <w:rFonts w:ascii="Calibri" w:eastAsia="Calibri" w:hAnsi="Calibri" w:cs="Arial"/>
          <w:bCs/>
          <w:color w:val="231F20"/>
          <w:szCs w:val="22"/>
          <w:lang w:eastAsia="en-US"/>
        </w:rPr>
        <w:t xml:space="preserve"> über 2 Stunden, Tag 1,15</w:t>
      </w:r>
    </w:p>
    <w:p w14:paraId="2F92FD8D"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5-FU 400 mg/m² </w:t>
      </w:r>
      <w:r w:rsidRPr="00930249">
        <w:rPr>
          <w:rFonts w:ascii="Calibri" w:eastAsia="Calibri" w:hAnsi="Calibri" w:cs="Arial"/>
          <w:szCs w:val="22"/>
          <w:lang w:eastAsia="en-US"/>
        </w:rPr>
        <w:t xml:space="preserve">i.v. </w:t>
      </w:r>
      <w:r w:rsidRPr="00930249">
        <w:rPr>
          <w:rFonts w:ascii="Calibri" w:eastAsia="Calibri" w:hAnsi="Calibri" w:cs="Arial"/>
          <w:bCs/>
          <w:color w:val="231F20"/>
          <w:szCs w:val="22"/>
          <w:lang w:eastAsia="en-US"/>
        </w:rPr>
        <w:t>Kurzinfusion, Tag 1,15</w:t>
      </w:r>
      <w:r w:rsidRPr="00930249">
        <w:rPr>
          <w:rFonts w:ascii="Calibri" w:eastAsia="Calibri" w:hAnsi="Calibri" w:cs="Arial"/>
          <w:bCs/>
          <w:color w:val="231F20"/>
          <w:szCs w:val="22"/>
          <w:lang w:eastAsia="en-US"/>
        </w:rPr>
        <w:br/>
        <w:t xml:space="preserve">5-FU 2400 mg/m² i.v. </w:t>
      </w:r>
      <w:r>
        <w:rPr>
          <w:rFonts w:ascii="Calibri" w:eastAsia="Calibri" w:hAnsi="Calibri" w:cs="Arial"/>
          <w:bCs/>
          <w:color w:val="231F20"/>
          <w:szCs w:val="22"/>
          <w:lang w:eastAsia="en-US"/>
        </w:rPr>
        <w:t xml:space="preserve"> Tag 1,15 </w:t>
      </w:r>
      <w:r w:rsidRPr="00930249">
        <w:rPr>
          <w:rFonts w:ascii="Calibri" w:eastAsia="Calibri" w:hAnsi="Calibri" w:cs="Arial"/>
          <w:bCs/>
          <w:color w:val="231F20"/>
          <w:szCs w:val="22"/>
          <w:lang w:eastAsia="en-US"/>
        </w:rPr>
        <w:t>Dauerinfusion über 46 Stunden</w:t>
      </w:r>
    </w:p>
    <w:p w14:paraId="3515C68A" w14:textId="77777777" w:rsidR="0013623F" w:rsidRDefault="0013623F" w:rsidP="0013623F">
      <w:pPr>
        <w:spacing w:line="276" w:lineRule="auto"/>
        <w:jc w:val="left"/>
        <w:rPr>
          <w:rFonts w:ascii="Calibri" w:eastAsia="Calibri" w:hAnsi="Calibri" w:cs="Arial"/>
          <w:szCs w:val="22"/>
          <w:lang w:eastAsia="en-US"/>
        </w:rPr>
      </w:pPr>
      <w:r w:rsidRPr="00804346">
        <w:rPr>
          <w:rFonts w:ascii="Calibri" w:eastAsia="Calibri" w:hAnsi="Calibri" w:cs="Arial"/>
          <w:szCs w:val="22"/>
          <w:lang w:eastAsia="en-US"/>
        </w:rPr>
        <w:t>Wiederholung Tag 29</w:t>
      </w:r>
    </w:p>
    <w:p w14:paraId="1F6E7E71" w14:textId="77777777" w:rsidR="0013623F" w:rsidRPr="00804346" w:rsidRDefault="0013623F" w:rsidP="0013623F">
      <w:pPr>
        <w:spacing w:line="276" w:lineRule="auto"/>
        <w:jc w:val="left"/>
        <w:rPr>
          <w:rFonts w:ascii="Calibri" w:eastAsia="Calibri" w:hAnsi="Calibri" w:cs="Arial"/>
          <w:szCs w:val="22"/>
          <w:lang w:eastAsia="en-US"/>
        </w:rPr>
      </w:pPr>
      <w:bookmarkStart w:id="133" w:name="_Hlk97186598"/>
    </w:p>
    <w:p w14:paraId="6CF57483" w14:textId="77777777" w:rsidR="0013623F" w:rsidRPr="00B84019"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B84019">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83328" behindDoc="1" locked="0" layoutInCell="1" allowOverlap="1" wp14:anchorId="64AC80CE" wp14:editId="48D65513">
                <wp:simplePos x="0" y="0"/>
                <wp:positionH relativeFrom="margin">
                  <wp:posOffset>0</wp:posOffset>
                </wp:positionH>
                <wp:positionV relativeFrom="paragraph">
                  <wp:posOffset>-635</wp:posOffset>
                </wp:positionV>
                <wp:extent cx="6200775" cy="190500"/>
                <wp:effectExtent l="0" t="0" r="28575" b="19050"/>
                <wp:wrapNone/>
                <wp:docPr id="37" name="Rechteck 37"/>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a:ln w="25400" cap="flat" cmpd="sng" algn="ctr">
                          <a:solidFill>
                            <a:srgbClr val="9BBB59">
                              <a:shade val="50000"/>
                            </a:srgbClr>
                          </a:solidFill>
                          <a:prstDash val="solid"/>
                        </a:ln>
                        <a:effectLst/>
                      </wps:spPr>
                      <wps:txbx>
                        <w:txbxContent>
                          <w:p w14:paraId="07305391"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80CE" id="Rechteck 37" o:spid="_x0000_s1028" style="position:absolute;margin-left:0;margin-top:-.05pt;width:488.25pt;height:1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" fillcolor="#92d050" strokecolor="#71893f" strokeweight="2pt">
                <v:textbox>
                  <w:txbxContent>
                    <w:p w14:paraId="07305391"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B84019">
        <w:rPr>
          <w:rFonts w:ascii="Calibri" w:eastAsia="Calibri" w:hAnsi="Calibri" w:cs="Arial"/>
          <w:b/>
          <w:bCs/>
          <w:color w:val="231F20"/>
          <w:szCs w:val="22"/>
          <w:lang w:eastAsia="en-US"/>
        </w:rPr>
        <w:t>CRC: 5-FU/Leukovorin (46 Stunden) d1,15, Panitumumab (6) d1,15; q4w</w:t>
      </w:r>
      <w:r>
        <w:rPr>
          <w:rFonts w:ascii="Calibri" w:eastAsia="Calibri" w:hAnsi="Calibri" w:cs="Arial"/>
          <w:b/>
          <w:bCs/>
          <w:color w:val="231F20"/>
          <w:szCs w:val="22"/>
          <w:lang w:eastAsia="en-US"/>
        </w:rPr>
        <w:t xml:space="preserve"> (Erhaltung RAS WT)</w:t>
      </w:r>
    </w:p>
    <w:p w14:paraId="1F83C006"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Pr>
          <w:rFonts w:ascii="Calibri" w:eastAsia="Calibri" w:hAnsi="Calibri" w:cs="Arial"/>
          <w:bCs/>
          <w:color w:val="231F20"/>
          <w:szCs w:val="22"/>
          <w:lang w:eastAsia="en-US"/>
        </w:rPr>
        <w:t>Panitumumab 6mg/kg i.v.</w:t>
      </w:r>
      <w:r w:rsidRPr="00930249">
        <w:rPr>
          <w:rFonts w:ascii="Calibri" w:eastAsia="Calibri" w:hAnsi="Calibri" w:cs="Arial"/>
          <w:bCs/>
          <w:color w:val="231F20"/>
          <w:szCs w:val="22"/>
          <w:lang w:eastAsia="en-US"/>
        </w:rPr>
        <w:t xml:space="preserve"> Tag 1,15</w:t>
      </w:r>
    </w:p>
    <w:p w14:paraId="1C6A7887" w14:textId="77777777" w:rsidR="0013623F" w:rsidRPr="00930249"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Leucovorin 400 mg/m² </w:t>
      </w:r>
      <w:r w:rsidRPr="00930249">
        <w:rPr>
          <w:rFonts w:ascii="Calibri" w:eastAsia="Calibri" w:hAnsi="Calibri" w:cs="Arial"/>
          <w:szCs w:val="22"/>
          <w:lang w:eastAsia="en-US"/>
        </w:rPr>
        <w:t xml:space="preserve">i.v. </w:t>
      </w:r>
      <w:r w:rsidRPr="00930249">
        <w:rPr>
          <w:rFonts w:ascii="Calibri" w:eastAsia="Calibri" w:hAnsi="Calibri" w:cs="Arial"/>
          <w:bCs/>
          <w:color w:val="231F20"/>
          <w:szCs w:val="22"/>
          <w:lang w:eastAsia="en-US"/>
        </w:rPr>
        <w:t xml:space="preserve"> über 2 Stunden, Tag 1,15</w:t>
      </w:r>
    </w:p>
    <w:p w14:paraId="3B9E9E6C"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930249">
        <w:rPr>
          <w:rFonts w:ascii="Calibri" w:eastAsia="Calibri" w:hAnsi="Calibri" w:cs="Arial"/>
          <w:bCs/>
          <w:color w:val="231F20"/>
          <w:szCs w:val="22"/>
          <w:lang w:eastAsia="en-US"/>
        </w:rPr>
        <w:t xml:space="preserve">5-FU 2400 mg/m² i.v. </w:t>
      </w:r>
      <w:r>
        <w:rPr>
          <w:rFonts w:ascii="Calibri" w:eastAsia="Calibri" w:hAnsi="Calibri" w:cs="Arial"/>
          <w:bCs/>
          <w:color w:val="231F20"/>
          <w:szCs w:val="22"/>
          <w:lang w:eastAsia="en-US"/>
        </w:rPr>
        <w:t xml:space="preserve"> Tag 1,15 </w:t>
      </w:r>
      <w:r w:rsidRPr="00930249">
        <w:rPr>
          <w:rFonts w:ascii="Calibri" w:eastAsia="Calibri" w:hAnsi="Calibri" w:cs="Arial"/>
          <w:bCs/>
          <w:color w:val="231F20"/>
          <w:szCs w:val="22"/>
          <w:lang w:eastAsia="en-US"/>
        </w:rPr>
        <w:t>Dauerinfusion über 46 Stunden</w:t>
      </w:r>
    </w:p>
    <w:p w14:paraId="4F3064BC" w14:textId="77777777" w:rsidR="0013623F" w:rsidRDefault="0013623F" w:rsidP="0013623F">
      <w:pPr>
        <w:spacing w:line="276" w:lineRule="auto"/>
        <w:jc w:val="left"/>
        <w:rPr>
          <w:rFonts w:ascii="Calibri" w:eastAsia="Calibri" w:hAnsi="Calibri" w:cs="Arial"/>
          <w:szCs w:val="22"/>
          <w:lang w:eastAsia="en-US"/>
        </w:rPr>
      </w:pPr>
      <w:r w:rsidRPr="00804346">
        <w:rPr>
          <w:rFonts w:ascii="Calibri" w:eastAsia="Calibri" w:hAnsi="Calibri" w:cs="Arial"/>
          <w:szCs w:val="22"/>
          <w:lang w:eastAsia="en-US"/>
        </w:rPr>
        <w:t>Wiederholung Tag 29</w:t>
      </w:r>
    </w:p>
    <w:bookmarkEnd w:id="133"/>
    <w:p w14:paraId="0E954F6D" w14:textId="77777777" w:rsidR="0013623F" w:rsidRPr="00804346" w:rsidRDefault="0013623F" w:rsidP="0013623F">
      <w:pPr>
        <w:spacing w:line="276" w:lineRule="auto"/>
        <w:jc w:val="left"/>
        <w:rPr>
          <w:rFonts w:ascii="Calibri" w:eastAsia="Calibri" w:hAnsi="Calibri" w:cs="Arial"/>
          <w:szCs w:val="22"/>
          <w:lang w:eastAsia="en-US"/>
        </w:rPr>
      </w:pPr>
    </w:p>
    <w:p w14:paraId="1114B4E2" w14:textId="77777777" w:rsidR="0013623F" w:rsidRPr="00804346" w:rsidRDefault="0013623F" w:rsidP="0013623F">
      <w:pPr>
        <w:spacing w:line="240" w:lineRule="auto"/>
        <w:jc w:val="left"/>
        <w:rPr>
          <w:rFonts w:ascii="Calibri" w:hAnsi="Calibri" w:cs="Calibri"/>
          <w:b/>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4112" behindDoc="1" locked="0" layoutInCell="1" allowOverlap="1" wp14:anchorId="618A8581" wp14:editId="1A308A45">
                <wp:simplePos x="0" y="0"/>
                <wp:positionH relativeFrom="margin">
                  <wp:posOffset>0</wp:posOffset>
                </wp:positionH>
                <wp:positionV relativeFrom="paragraph">
                  <wp:posOffset>0</wp:posOffset>
                </wp:positionV>
                <wp:extent cx="6200775" cy="190500"/>
                <wp:effectExtent l="0" t="0" r="28575" b="19050"/>
                <wp:wrapNone/>
                <wp:docPr id="2074" name="Rechteck 2074"/>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52ADA481"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8581" id="Rechteck 2074" o:spid="_x0000_s1029" style="position:absolute;margin-left:0;margin-top:0;width:488.25pt;height: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C+BWx3kQIAAIQFAAAOAAAAAAAAAAAAAAAAAC4CAABkcnMvZTJvRG9jLnhtbFBLAQIt&#10;ABQABgAIAAAAIQC1GyUw2wAAAAQBAAAPAAAAAAAAAAAAAAAAAOsEAABkcnMvZG93bnJldi54bWxQ&#10;SwUGAAAAAAQABADzAAAA8wUAAAAA&#10;" fillcolor="#92d050" strokecolor="#4e6128 [1606]" strokeweight="2pt">
                <v:textbox>
                  <w:txbxContent>
                    <w:p w14:paraId="52ADA481"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804346">
        <w:rPr>
          <w:rFonts w:ascii="Calibri" w:hAnsi="Calibri" w:cs="Calibri"/>
          <w:b/>
          <w:color w:val="000000"/>
          <w:szCs w:val="22"/>
          <w:lang w:val="de-DE"/>
        </w:rPr>
        <w:t xml:space="preserve">CRC: Capecitabine (2500) d1-14; q3w </w:t>
      </w:r>
    </w:p>
    <w:p w14:paraId="626C02FD" w14:textId="77777777" w:rsidR="0013623F" w:rsidRPr="00804346"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04346">
        <w:rPr>
          <w:rFonts w:ascii="Calibri" w:eastAsia="Calibri" w:hAnsi="Calibri" w:cs="Arial"/>
          <w:bCs/>
          <w:color w:val="231F20"/>
          <w:szCs w:val="22"/>
          <w:lang w:eastAsia="en-US"/>
        </w:rPr>
        <w:t>Capecitabin 1250 mg/m² p.o. 2 x täglich, Tage 1-14</w:t>
      </w:r>
    </w:p>
    <w:p w14:paraId="64BB8949" w14:textId="77777777" w:rsidR="0013623F" w:rsidRPr="00804346"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04346">
        <w:rPr>
          <w:rFonts w:ascii="Calibri" w:eastAsia="Calibri" w:hAnsi="Calibri" w:cs="Arial"/>
          <w:bCs/>
          <w:color w:val="231F20"/>
          <w:szCs w:val="22"/>
          <w:lang w:eastAsia="en-US"/>
        </w:rPr>
        <w:t>Wiederholung Tag 22</w:t>
      </w:r>
    </w:p>
    <w:p w14:paraId="098EAC82"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417CBBC9" w14:textId="77777777" w:rsidR="0013623F" w:rsidRPr="00A14BFD" w:rsidRDefault="0013623F" w:rsidP="0013623F">
      <w:pPr>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5136" behindDoc="1" locked="0" layoutInCell="1" allowOverlap="1" wp14:anchorId="53353BD4" wp14:editId="3C4507C9">
                <wp:simplePos x="0" y="0"/>
                <wp:positionH relativeFrom="margin">
                  <wp:posOffset>0</wp:posOffset>
                </wp:positionH>
                <wp:positionV relativeFrom="paragraph">
                  <wp:posOffset>-635</wp:posOffset>
                </wp:positionV>
                <wp:extent cx="6200775" cy="190500"/>
                <wp:effectExtent l="0" t="0" r="28575" b="19050"/>
                <wp:wrapNone/>
                <wp:docPr id="2075" name="Rechteck 2075"/>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380F74C"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3BD4" id="Rechteck 2075" o:spid="_x0000_s1030" style="position:absolute;margin-left:0;margin-top:-.05pt;width:488.25pt;height: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" fillcolor="#92d050" strokecolor="#4e6128 [1606]" strokeweight="2pt">
                <v:textbox>
                  <w:txbxContent>
                    <w:p w14:paraId="3380F74C"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A14BFD">
        <w:rPr>
          <w:rFonts w:ascii="Calibri" w:hAnsi="Calibri" w:cs="Calibri"/>
          <w:b/>
          <w:color w:val="000000"/>
          <w:szCs w:val="22"/>
          <w:lang w:val="de-DE"/>
        </w:rPr>
        <w:t xml:space="preserve">CRC: Capecitabine (2500) d1-14, Bevacizumab (7,5) d1; q3w </w:t>
      </w:r>
    </w:p>
    <w:p w14:paraId="693CEF93"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Bevacizumab 7.5 mg/kg i.v., Tag 1</w:t>
      </w:r>
    </w:p>
    <w:p w14:paraId="61BFC745"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Capecitabin 1000 (- 1250) mg/m² p.o. 2 x täglich, Tage 1-14</w:t>
      </w:r>
    </w:p>
    <w:p w14:paraId="154C9F59"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A14BFD">
        <w:rPr>
          <w:rFonts w:ascii="Calibri" w:eastAsia="Calibri" w:hAnsi="Calibri" w:cs="Arial"/>
          <w:bCs/>
          <w:color w:val="231F20"/>
          <w:szCs w:val="22"/>
          <w:lang w:eastAsia="en-US"/>
        </w:rPr>
        <w:t>Wiederholung Tag 22</w:t>
      </w:r>
      <w:r w:rsidRPr="00A41D96">
        <w:rPr>
          <w:rFonts w:ascii="Calibri" w:eastAsia="Calibri" w:hAnsi="Calibri" w:cs="Arial"/>
          <w:b/>
          <w:bCs/>
          <w:color w:val="231F20"/>
          <w:szCs w:val="22"/>
          <w:lang w:eastAsia="en-US"/>
        </w:rPr>
        <w:br/>
      </w:r>
    </w:p>
    <w:p w14:paraId="3789E7C8" w14:textId="77777777" w:rsidR="0013623F" w:rsidRPr="00A14BFD" w:rsidRDefault="0013623F" w:rsidP="0013623F">
      <w:pPr>
        <w:spacing w:line="240" w:lineRule="auto"/>
        <w:jc w:val="left"/>
        <w:rPr>
          <w:rFonts w:ascii="Calibri" w:hAnsi="Calibri" w:cs="Calibri"/>
          <w:b/>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6160" behindDoc="1" locked="0" layoutInCell="1" allowOverlap="1" wp14:anchorId="3F4886B5" wp14:editId="5C649BAE">
                <wp:simplePos x="0" y="0"/>
                <wp:positionH relativeFrom="margin">
                  <wp:posOffset>0</wp:posOffset>
                </wp:positionH>
                <wp:positionV relativeFrom="paragraph">
                  <wp:posOffset>0</wp:posOffset>
                </wp:positionV>
                <wp:extent cx="6200775" cy="190500"/>
                <wp:effectExtent l="0" t="0" r="28575" b="19050"/>
                <wp:wrapNone/>
                <wp:docPr id="2076" name="Rechteck 2076"/>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C5D7C86"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886B5" id="Rechteck 2076" o:spid="_x0000_s1031" style="position:absolute;margin-left:0;margin-top:0;width:488.25pt;height: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DlxHqnkQIAAIQFAAAOAAAAAAAAAAAAAAAAAC4CAABkcnMvZTJvRG9jLnhtbFBLAQIt&#10;ABQABgAIAAAAIQC1GyUw2wAAAAQBAAAPAAAAAAAAAAAAAAAAAOsEAABkcnMvZG93bnJldi54bWxQ&#10;SwUGAAAAAAQABADzAAAA8wUAAAAA&#10;" fillcolor="#92d050" strokecolor="#4e6128 [1606]" strokeweight="2pt">
                <v:textbox>
                  <w:txbxContent>
                    <w:p w14:paraId="7C5D7C86"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A14BFD">
        <w:rPr>
          <w:rFonts w:ascii="Calibri" w:hAnsi="Calibri" w:cs="Calibri"/>
          <w:b/>
          <w:color w:val="000000"/>
          <w:szCs w:val="22"/>
          <w:lang w:val="de-DE"/>
        </w:rPr>
        <w:t xml:space="preserve">CRC: CAPOX; q3w </w:t>
      </w:r>
    </w:p>
    <w:p w14:paraId="408DC450"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Oxaliplatin 130 mg/m² i.v. über 2 Stunden, Tag 1</w:t>
      </w:r>
    </w:p>
    <w:p w14:paraId="19B1170B"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Capecitabin 1000 mg/m² p.o. 2 x täglich, Tage 1-14</w:t>
      </w:r>
    </w:p>
    <w:p w14:paraId="39CDBCA4"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A14BFD">
        <w:rPr>
          <w:rFonts w:ascii="Calibri" w:eastAsia="Calibri" w:hAnsi="Calibri" w:cs="Arial"/>
          <w:bCs/>
          <w:color w:val="231F20"/>
          <w:szCs w:val="22"/>
          <w:lang w:eastAsia="en-US"/>
        </w:rPr>
        <w:t>Wiederholung Tag 22</w:t>
      </w:r>
      <w:r w:rsidRPr="00A41D96">
        <w:rPr>
          <w:rFonts w:ascii="Calibri" w:eastAsia="Calibri" w:hAnsi="Calibri" w:cs="Arial"/>
          <w:b/>
          <w:bCs/>
          <w:color w:val="231F20"/>
          <w:szCs w:val="22"/>
          <w:lang w:eastAsia="en-US"/>
        </w:rPr>
        <w:br/>
      </w:r>
    </w:p>
    <w:p w14:paraId="24CAA989" w14:textId="77777777" w:rsidR="0013623F" w:rsidRPr="00A14BFD" w:rsidRDefault="0013623F" w:rsidP="0013623F">
      <w:pPr>
        <w:spacing w:line="240" w:lineRule="auto"/>
        <w:jc w:val="left"/>
        <w:rPr>
          <w:rFonts w:ascii="Calibri" w:hAnsi="Calibri" w:cs="Calibri"/>
          <w:b/>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7184" behindDoc="1" locked="0" layoutInCell="1" allowOverlap="1" wp14:anchorId="1AB53875" wp14:editId="3543969A">
                <wp:simplePos x="0" y="0"/>
                <wp:positionH relativeFrom="margin">
                  <wp:posOffset>0</wp:posOffset>
                </wp:positionH>
                <wp:positionV relativeFrom="paragraph">
                  <wp:posOffset>0</wp:posOffset>
                </wp:positionV>
                <wp:extent cx="6200775" cy="190500"/>
                <wp:effectExtent l="0" t="0" r="28575" b="19050"/>
                <wp:wrapNone/>
                <wp:docPr id="2077" name="Rechteck 2077"/>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AB06BC9"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53875" id="Rechteck 2077" o:spid="_x0000_s1032" style="position:absolute;margin-left:0;margin-top:0;width:488.25pt;height: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" fillcolor="#92d050" strokecolor="#4e6128 [1606]" strokeweight="2pt">
                <v:textbox>
                  <w:txbxContent>
                    <w:p w14:paraId="0AB06BC9"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A14BFD">
        <w:rPr>
          <w:rFonts w:ascii="Calibri" w:hAnsi="Calibri" w:cs="Calibri"/>
          <w:b/>
          <w:color w:val="000000"/>
          <w:szCs w:val="22"/>
          <w:lang w:val="de-DE"/>
        </w:rPr>
        <w:t xml:space="preserve">CRC: CAPOX + Bevacizumab (7,5) d1; q3w </w:t>
      </w:r>
    </w:p>
    <w:p w14:paraId="0DD6AAF7"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Bevacizumab 7.5 mg/kg i.v., Tag 1</w:t>
      </w:r>
      <w:r w:rsidRPr="00A14BFD">
        <w:rPr>
          <w:rFonts w:ascii="Calibri" w:eastAsia="Calibri" w:hAnsi="Calibri" w:cs="Arial"/>
          <w:bCs/>
          <w:color w:val="231F20"/>
          <w:szCs w:val="22"/>
          <w:lang w:eastAsia="en-US"/>
        </w:rPr>
        <w:br/>
        <w:t>Oxaliplatin 130 mg/m² i.v. über 2 Stunden, Tag 1</w:t>
      </w:r>
    </w:p>
    <w:p w14:paraId="7F697010"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Capecitabin 1000 mg/m² p.o. 2 x täglich, Tage 1-14</w:t>
      </w:r>
    </w:p>
    <w:p w14:paraId="0AFD07B5" w14:textId="77777777" w:rsidR="0013623F" w:rsidRPr="00A14BFD"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14BFD">
        <w:rPr>
          <w:rFonts w:ascii="Calibri" w:eastAsia="Calibri" w:hAnsi="Calibri" w:cs="Arial"/>
          <w:bCs/>
          <w:color w:val="231F20"/>
          <w:szCs w:val="22"/>
          <w:lang w:eastAsia="en-US"/>
        </w:rPr>
        <w:t>Wiederholung Tag 22</w:t>
      </w:r>
    </w:p>
    <w:p w14:paraId="281D61D4"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0A3EC8E7" w14:textId="77777777" w:rsidR="0013623F" w:rsidRPr="00CC32CE" w:rsidRDefault="0013623F" w:rsidP="0013623F">
      <w:pPr>
        <w:spacing w:line="240" w:lineRule="auto"/>
        <w:jc w:val="left"/>
        <w:rPr>
          <w:rFonts w:ascii="Calibri" w:hAnsi="Calibri" w:cs="Calibri"/>
          <w:b/>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8208" behindDoc="1" locked="0" layoutInCell="1" allowOverlap="1" wp14:anchorId="7CF57153" wp14:editId="6F09861E">
                <wp:simplePos x="0" y="0"/>
                <wp:positionH relativeFrom="margin">
                  <wp:posOffset>0</wp:posOffset>
                </wp:positionH>
                <wp:positionV relativeFrom="paragraph">
                  <wp:posOffset>-635</wp:posOffset>
                </wp:positionV>
                <wp:extent cx="6200775" cy="190500"/>
                <wp:effectExtent l="0" t="0" r="28575" b="19050"/>
                <wp:wrapNone/>
                <wp:docPr id="2078" name="Rechteck 2078"/>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4F822E1B"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7153" id="Rechteck 2078" o:spid="_x0000_s1033" style="position:absolute;margin-left:0;margin-top:-.05pt;width:488.25pt;height:1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IqIMkuQAgAAhAUAAA4AAAAAAAAAAAAAAAAALgIAAGRycy9lMm9Eb2MueG1sUEsBAi0A&#10;FAAGAAgAAAAhADob5erbAAAABQEAAA8AAAAAAAAAAAAAAAAA6gQAAGRycy9kb3ducmV2LnhtbFBL&#10;BQYAAAAABAAEAPMAAADyBQAAAAA=&#10;" fillcolor="#92d050" strokecolor="#4e6128 [1606]" strokeweight="2pt">
                <v:textbox>
                  <w:txbxContent>
                    <w:p w14:paraId="4F822E1B"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CC32CE">
        <w:rPr>
          <w:rFonts w:ascii="Calibri" w:hAnsi="Calibri" w:cs="Calibri"/>
          <w:b/>
          <w:color w:val="000000"/>
          <w:szCs w:val="22"/>
          <w:lang w:val="de-DE"/>
        </w:rPr>
        <w:t>CRC: FOLFOX 4 (22 Stunden) d1-2, 15-16; q4w</w:t>
      </w:r>
    </w:p>
    <w:p w14:paraId="25ADF2F4" w14:textId="77777777" w:rsidR="0013623F" w:rsidRPr="008968F0"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bCs/>
          <w:color w:val="231F20"/>
          <w:szCs w:val="22"/>
          <w:lang w:eastAsia="en-US"/>
        </w:rPr>
        <w:t>Oxaliplatin 85 mg/m² i.v. über 2 Stunden, Tag 1,15</w:t>
      </w:r>
      <w:r w:rsidRPr="008968F0">
        <w:rPr>
          <w:rFonts w:ascii="Calibri" w:eastAsia="Calibri" w:hAnsi="Calibri" w:cs="Arial"/>
          <w:szCs w:val="22"/>
          <w:lang w:eastAsia="en-US"/>
        </w:rPr>
        <w:br/>
        <w:t>Leucovorin 200 mg/m² i.v. über 2 Stunden, Tag 1+2, 15+16</w:t>
      </w:r>
      <w:r w:rsidRPr="008968F0">
        <w:rPr>
          <w:rFonts w:ascii="Calibri" w:eastAsia="Calibri" w:hAnsi="Calibri" w:cs="Arial"/>
          <w:szCs w:val="22"/>
          <w:lang w:eastAsia="en-US"/>
        </w:rPr>
        <w:br/>
        <w:t>5-FU 400 mg/m² i.v. Kurzinfusion, Tag 1+2, 15+16</w:t>
      </w:r>
      <w:r w:rsidRPr="008968F0">
        <w:rPr>
          <w:rFonts w:ascii="Calibri" w:eastAsia="Calibri" w:hAnsi="Calibri" w:cs="Arial"/>
          <w:szCs w:val="22"/>
          <w:lang w:eastAsia="en-US"/>
        </w:rPr>
        <w:br/>
        <w:t>5-FU 600 mg/m² i.v. Dauerinfusion über 22 Stunden, Tag 1+2, 15+16</w:t>
      </w:r>
    </w:p>
    <w:p w14:paraId="1D4E347D" w14:textId="77777777" w:rsidR="0013623F"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szCs w:val="22"/>
          <w:lang w:eastAsia="en-US"/>
        </w:rPr>
        <w:t>Wiederholung Tag 29</w:t>
      </w:r>
    </w:p>
    <w:p w14:paraId="5C405B94" w14:textId="77777777" w:rsidR="0013623F" w:rsidRDefault="0013623F" w:rsidP="0013623F">
      <w:pPr>
        <w:autoSpaceDE w:val="0"/>
        <w:autoSpaceDN w:val="0"/>
        <w:adjustRightInd w:val="0"/>
        <w:spacing w:line="240" w:lineRule="auto"/>
        <w:jc w:val="left"/>
        <w:rPr>
          <w:rFonts w:ascii="Calibri" w:eastAsia="Calibri" w:hAnsi="Calibri" w:cs="Arial"/>
          <w:szCs w:val="22"/>
          <w:lang w:eastAsia="en-US"/>
        </w:rPr>
      </w:pPr>
    </w:p>
    <w:p w14:paraId="2C061123" w14:textId="77777777" w:rsidR="0013623F" w:rsidRDefault="0013623F" w:rsidP="0013623F">
      <w:pPr>
        <w:autoSpaceDE w:val="0"/>
        <w:autoSpaceDN w:val="0"/>
        <w:adjustRightInd w:val="0"/>
        <w:spacing w:line="240" w:lineRule="auto"/>
        <w:jc w:val="left"/>
        <w:rPr>
          <w:rFonts w:ascii="Calibri" w:eastAsia="Calibri" w:hAnsi="Calibri" w:cs="Arial"/>
          <w:szCs w:val="22"/>
          <w:lang w:eastAsia="en-US"/>
        </w:rPr>
      </w:pPr>
    </w:p>
    <w:p w14:paraId="7FCC336B" w14:textId="77777777" w:rsidR="0013623F" w:rsidRPr="008968F0"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57DD898E"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68F2E5D3"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w:lastRenderedPageBreak/>
        <mc:AlternateContent>
          <mc:Choice Requires="wps">
            <w:drawing>
              <wp:anchor distT="0" distB="0" distL="114300" distR="114300" simplePos="0" relativeHeight="251679232" behindDoc="1" locked="0" layoutInCell="1" allowOverlap="1" wp14:anchorId="5B6B2E99" wp14:editId="39E78D9B">
                <wp:simplePos x="0" y="0"/>
                <wp:positionH relativeFrom="margin">
                  <wp:posOffset>0</wp:posOffset>
                </wp:positionH>
                <wp:positionV relativeFrom="paragraph">
                  <wp:posOffset>0</wp:posOffset>
                </wp:positionV>
                <wp:extent cx="6200775" cy="190500"/>
                <wp:effectExtent l="0" t="0" r="28575" b="19050"/>
                <wp:wrapNone/>
                <wp:docPr id="2079" name="Rechteck 2079"/>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5027C1CF"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2E99" id="Rechteck 2079" o:spid="_x0000_s1034" style="position:absolute;margin-left:0;margin-top:0;width:488.25pt;height:1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" fillcolor="#92d050" strokecolor="#4e6128 [1606]" strokeweight="2pt">
                <v:textbox>
                  <w:txbxContent>
                    <w:p w14:paraId="5027C1CF"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8968F0">
        <w:rPr>
          <w:rFonts w:ascii="Calibri" w:eastAsia="Calibri" w:hAnsi="Calibri" w:cs="Arial"/>
          <w:b/>
          <w:bCs/>
          <w:color w:val="231F20"/>
          <w:szCs w:val="22"/>
          <w:lang w:eastAsia="en-US"/>
        </w:rPr>
        <w:t>CRC: FOLFOX 4 (22 Stunden) d1-2, 15-16, Bevacizumab (5) d1,15;q4w</w:t>
      </w:r>
    </w:p>
    <w:p w14:paraId="4967B64E" w14:textId="77777777" w:rsidR="0013623F" w:rsidRPr="008968F0"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968F0">
        <w:rPr>
          <w:rFonts w:ascii="Calibri" w:eastAsia="Calibri" w:hAnsi="Calibri" w:cs="Arial"/>
          <w:bCs/>
          <w:color w:val="231F20"/>
          <w:szCs w:val="22"/>
          <w:lang w:eastAsia="en-US"/>
        </w:rPr>
        <w:t>Bevacizumab 5mg/kg i.v. über 90 min (Zyklus 1) d1,15</w:t>
      </w:r>
    </w:p>
    <w:p w14:paraId="2AC9A255" w14:textId="77777777" w:rsidR="0013623F" w:rsidRPr="008968F0"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bCs/>
          <w:color w:val="231F20"/>
          <w:szCs w:val="22"/>
          <w:lang w:eastAsia="en-US"/>
        </w:rPr>
        <w:t>Oxaliplatin 85 mg/m² i.v. über 2 Stunden, Tag 1,15</w:t>
      </w:r>
      <w:r w:rsidRPr="008968F0">
        <w:rPr>
          <w:rFonts w:ascii="Calibri" w:eastAsia="Calibri" w:hAnsi="Calibri" w:cs="Arial"/>
          <w:szCs w:val="22"/>
          <w:lang w:eastAsia="en-US"/>
        </w:rPr>
        <w:br/>
        <w:t>Leucovorin 200 mg/m² i.v. über 2 Stunden, Tag 1+2, 15+16</w:t>
      </w:r>
      <w:r w:rsidRPr="008968F0">
        <w:rPr>
          <w:rFonts w:ascii="Calibri" w:eastAsia="Calibri" w:hAnsi="Calibri" w:cs="Arial"/>
          <w:szCs w:val="22"/>
          <w:lang w:eastAsia="en-US"/>
        </w:rPr>
        <w:br/>
        <w:t>5-FU 400 mg/m² i.v. Kurzinfusion, Tag 1+2, 15+16</w:t>
      </w:r>
      <w:r w:rsidRPr="008968F0">
        <w:rPr>
          <w:rFonts w:ascii="Calibri" w:eastAsia="Calibri" w:hAnsi="Calibri" w:cs="Arial"/>
          <w:szCs w:val="22"/>
          <w:lang w:eastAsia="en-US"/>
        </w:rPr>
        <w:br/>
        <w:t>5-FU 600 mg/m² i.v. Dauerinfusion über 22 Stunden, Tag 1+2, 15+16</w:t>
      </w:r>
    </w:p>
    <w:p w14:paraId="1465621C" w14:textId="77777777" w:rsidR="0013623F"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szCs w:val="22"/>
          <w:lang w:eastAsia="en-US"/>
        </w:rPr>
        <w:t>Wiederholung Tag 29</w:t>
      </w:r>
    </w:p>
    <w:p w14:paraId="10718DBD"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6F573CA9" w14:textId="77777777" w:rsidR="0013623F" w:rsidRDefault="0013623F" w:rsidP="0013623F">
      <w:pPr>
        <w:autoSpaceDE w:val="0"/>
        <w:autoSpaceDN w:val="0"/>
        <w:adjustRightInd w:val="0"/>
        <w:spacing w:line="240" w:lineRule="auto"/>
        <w:jc w:val="left"/>
        <w:rPr>
          <w:rFonts w:ascii="Calibri" w:eastAsia="Calibri" w:hAnsi="Calibri" w:cs="Arial"/>
          <w:b/>
          <w:bCs/>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1040" behindDoc="1" locked="0" layoutInCell="1" allowOverlap="1" wp14:anchorId="03304DFA" wp14:editId="6F2C1B0D">
                <wp:simplePos x="0" y="0"/>
                <wp:positionH relativeFrom="margin">
                  <wp:posOffset>0</wp:posOffset>
                </wp:positionH>
                <wp:positionV relativeFrom="paragraph">
                  <wp:posOffset>-635</wp:posOffset>
                </wp:positionV>
                <wp:extent cx="6200775" cy="190500"/>
                <wp:effectExtent l="0" t="0" r="28575" b="19050"/>
                <wp:wrapNone/>
                <wp:docPr id="2070" name="Rechteck 2070"/>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455E76B6"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4DFA" id="Rechteck 2070" o:spid="_x0000_s1035" style="position:absolute;margin-left:0;margin-top:-.05pt;width:488.25pt;height: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D/DY5aQAgAAhAUAAA4AAAAAAAAAAAAAAAAALgIAAGRycy9lMm9Eb2MueG1sUEsBAi0A&#10;FAAGAAgAAAAhADob5erbAAAABQEAAA8AAAAAAAAAAAAAAAAA6gQAAGRycy9kb3ducmV2LnhtbFBL&#10;BQYAAAAABAAEAPMAAADyBQAAAAA=&#10;" fillcolor="#92d050" strokecolor="#4e6128 [1606]" strokeweight="2pt">
                <v:textbox>
                  <w:txbxContent>
                    <w:p w14:paraId="455E76B6"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FD507F">
        <w:rPr>
          <w:rFonts w:ascii="Calibri" w:eastAsia="Calibri" w:hAnsi="Calibri" w:cs="Arial"/>
          <w:b/>
          <w:bCs/>
          <w:szCs w:val="22"/>
          <w:lang w:eastAsia="en-US"/>
        </w:rPr>
        <w:t xml:space="preserve">CRC: </w:t>
      </w:r>
      <w:r w:rsidRPr="008968F0">
        <w:rPr>
          <w:rFonts w:ascii="Calibri" w:eastAsia="Calibri" w:hAnsi="Calibri" w:cs="Arial"/>
          <w:b/>
          <w:bCs/>
          <w:color w:val="231F20"/>
          <w:szCs w:val="22"/>
          <w:lang w:eastAsia="en-US"/>
        </w:rPr>
        <w:t>FOLFOX 4 (22 Stunden) d1-2, 15-16,</w:t>
      </w:r>
      <w:r w:rsidRPr="00FD507F">
        <w:rPr>
          <w:rFonts w:ascii="Calibri" w:eastAsia="Calibri" w:hAnsi="Calibri" w:cs="Arial"/>
          <w:b/>
          <w:bCs/>
          <w:szCs w:val="22"/>
          <w:lang w:eastAsia="en-US"/>
        </w:rPr>
        <w:t xml:space="preserve"> Cetuximab (500) d1,15; q4w</w:t>
      </w:r>
    </w:p>
    <w:p w14:paraId="00BF17A9" w14:textId="77777777" w:rsidR="0013623F" w:rsidRPr="008508EE" w:rsidRDefault="0013623F" w:rsidP="0013623F">
      <w:pPr>
        <w:autoSpaceDE w:val="0"/>
        <w:autoSpaceDN w:val="0"/>
        <w:adjustRightInd w:val="0"/>
        <w:spacing w:line="240" w:lineRule="auto"/>
        <w:jc w:val="left"/>
        <w:rPr>
          <w:rFonts w:ascii="Calibri" w:eastAsia="Calibri" w:hAnsi="Calibri" w:cs="Arial"/>
          <w:bCs/>
          <w:szCs w:val="22"/>
          <w:lang w:eastAsia="en-US"/>
        </w:rPr>
      </w:pPr>
      <w:r w:rsidRPr="008508EE">
        <w:rPr>
          <w:rFonts w:ascii="Calibri" w:eastAsia="Calibri" w:hAnsi="Calibri" w:cs="Arial"/>
          <w:bCs/>
          <w:szCs w:val="22"/>
          <w:lang w:eastAsia="en-US"/>
        </w:rPr>
        <w:t>Cetuximab 500mg/m² Tag 1,15</w:t>
      </w:r>
    </w:p>
    <w:p w14:paraId="3DFB500A" w14:textId="77777777" w:rsidR="0013623F" w:rsidRPr="008968F0"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bCs/>
          <w:color w:val="231F20"/>
          <w:szCs w:val="22"/>
          <w:lang w:eastAsia="en-US"/>
        </w:rPr>
        <w:t>Oxaliplatin 85 mg/m² i.v. über 2 Stunden, Tag 1,15</w:t>
      </w:r>
      <w:r w:rsidRPr="008968F0">
        <w:rPr>
          <w:rFonts w:ascii="Calibri" w:eastAsia="Calibri" w:hAnsi="Calibri" w:cs="Arial"/>
          <w:szCs w:val="22"/>
          <w:lang w:eastAsia="en-US"/>
        </w:rPr>
        <w:br/>
        <w:t>Leucovorin 200 mg/m² i.v. über 2 Stunden, Tag 1+2, 15+16</w:t>
      </w:r>
      <w:r w:rsidRPr="008968F0">
        <w:rPr>
          <w:rFonts w:ascii="Calibri" w:eastAsia="Calibri" w:hAnsi="Calibri" w:cs="Arial"/>
          <w:szCs w:val="22"/>
          <w:lang w:eastAsia="en-US"/>
        </w:rPr>
        <w:br/>
        <w:t>5-FU 400 mg/m² i.v. Kurzinfusion, Tag 1+2, 15+16</w:t>
      </w:r>
      <w:r w:rsidRPr="008968F0">
        <w:rPr>
          <w:rFonts w:ascii="Calibri" w:eastAsia="Calibri" w:hAnsi="Calibri" w:cs="Arial"/>
          <w:szCs w:val="22"/>
          <w:lang w:eastAsia="en-US"/>
        </w:rPr>
        <w:br/>
        <w:t>5-FU 600 mg/m² i.v. Dauerinfusion über 22 Stunden, Tag 1+2, 15+16</w:t>
      </w:r>
    </w:p>
    <w:p w14:paraId="6D3A5876" w14:textId="77777777" w:rsidR="0013623F"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szCs w:val="22"/>
          <w:lang w:eastAsia="en-US"/>
        </w:rPr>
        <w:t>Wiederholung Tag 29</w:t>
      </w:r>
    </w:p>
    <w:p w14:paraId="7260A172" w14:textId="77777777" w:rsidR="0013623F" w:rsidRPr="00FD507F" w:rsidRDefault="0013623F" w:rsidP="0013623F">
      <w:pPr>
        <w:autoSpaceDE w:val="0"/>
        <w:autoSpaceDN w:val="0"/>
        <w:adjustRightInd w:val="0"/>
        <w:spacing w:line="240" w:lineRule="auto"/>
        <w:jc w:val="left"/>
        <w:rPr>
          <w:rFonts w:ascii="Calibri" w:eastAsia="Calibri" w:hAnsi="Calibri" w:cs="Arial"/>
          <w:b/>
          <w:bCs/>
          <w:szCs w:val="22"/>
          <w:lang w:eastAsia="en-US"/>
        </w:rPr>
      </w:pPr>
    </w:p>
    <w:p w14:paraId="001E98EA"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70016" behindDoc="1" locked="0" layoutInCell="1" allowOverlap="1" wp14:anchorId="0A16BA83" wp14:editId="24FDF6A7">
                <wp:simplePos x="0" y="0"/>
                <wp:positionH relativeFrom="margin">
                  <wp:posOffset>0</wp:posOffset>
                </wp:positionH>
                <wp:positionV relativeFrom="paragraph">
                  <wp:posOffset>0</wp:posOffset>
                </wp:positionV>
                <wp:extent cx="6200775" cy="190500"/>
                <wp:effectExtent l="0" t="0" r="28575" b="19050"/>
                <wp:wrapNone/>
                <wp:docPr id="2069" name="Rechteck 2069"/>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28D5F223"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6BA83" id="Rechteck 2069" o:spid="_x0000_s1036" style="position:absolute;margin-left:0;margin-top:0;width:488.25pt;height: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DeTC2qkQIAAIUFAAAOAAAAAAAAAAAAAAAAAC4CAABkcnMvZTJvRG9jLnhtbFBLAQIt&#10;ABQABgAIAAAAIQC1GyUw2wAAAAQBAAAPAAAAAAAAAAAAAAAAAOsEAABkcnMvZG93bnJldi54bWxQ&#10;SwUGAAAAAAQABADzAAAA8wUAAAAA&#10;" fillcolor="#92d050" strokecolor="#4e6128 [1606]" strokeweight="2pt">
                <v:textbox>
                  <w:txbxContent>
                    <w:p w14:paraId="28D5F223"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CC32CE">
        <w:rPr>
          <w:rFonts w:ascii="Calibri" w:eastAsia="Calibri" w:hAnsi="Calibri" w:cs="Arial"/>
          <w:b/>
          <w:bCs/>
          <w:color w:val="231F20"/>
          <w:szCs w:val="22"/>
          <w:lang w:eastAsia="en-US"/>
        </w:rPr>
        <w:t>CRC: FOLFOX 4 (22 Stunden) d1-2, 15-16, Panitumumab (6) d1,15; q4w</w:t>
      </w:r>
      <w:r>
        <w:rPr>
          <w:rFonts w:ascii="Calibri" w:eastAsia="Calibri" w:hAnsi="Calibri" w:cs="Arial"/>
          <w:b/>
          <w:bCs/>
          <w:color w:val="231F20"/>
          <w:szCs w:val="22"/>
          <w:lang w:eastAsia="en-US"/>
        </w:rPr>
        <w:t xml:space="preserve"> (RAS WT)</w:t>
      </w:r>
    </w:p>
    <w:p w14:paraId="30DCFE48" w14:textId="77777777" w:rsidR="0013623F" w:rsidRPr="00CC32C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CC32CE">
        <w:rPr>
          <w:rFonts w:ascii="Calibri" w:eastAsia="Calibri" w:hAnsi="Calibri" w:cs="Arial"/>
          <w:bCs/>
          <w:color w:val="231F20"/>
          <w:szCs w:val="22"/>
          <w:lang w:eastAsia="en-US"/>
        </w:rPr>
        <w:t>Panitumumab 6 mg/kg i.v. über 60 Minuten, Tag 1,15</w:t>
      </w:r>
    </w:p>
    <w:p w14:paraId="2913EF9E" w14:textId="77777777" w:rsidR="0013623F" w:rsidRPr="008968F0" w:rsidRDefault="0013623F" w:rsidP="0013623F">
      <w:pPr>
        <w:autoSpaceDE w:val="0"/>
        <w:autoSpaceDN w:val="0"/>
        <w:adjustRightInd w:val="0"/>
        <w:spacing w:line="240" w:lineRule="auto"/>
        <w:jc w:val="left"/>
        <w:rPr>
          <w:rFonts w:ascii="Calibri" w:eastAsia="Calibri" w:hAnsi="Calibri" w:cs="Arial"/>
          <w:szCs w:val="22"/>
          <w:lang w:eastAsia="en-US"/>
        </w:rPr>
      </w:pPr>
      <w:r w:rsidRPr="008968F0">
        <w:rPr>
          <w:rFonts w:ascii="Calibri" w:eastAsia="Calibri" w:hAnsi="Calibri" w:cs="Arial"/>
          <w:bCs/>
          <w:color w:val="231F20"/>
          <w:szCs w:val="22"/>
          <w:lang w:eastAsia="en-US"/>
        </w:rPr>
        <w:t>Oxaliplatin 85 mg/m² i.v. über 2 Stunden, Tag 1,15</w:t>
      </w:r>
      <w:r w:rsidRPr="008968F0">
        <w:rPr>
          <w:rFonts w:ascii="Calibri" w:eastAsia="Calibri" w:hAnsi="Calibri" w:cs="Arial"/>
          <w:szCs w:val="22"/>
          <w:lang w:eastAsia="en-US"/>
        </w:rPr>
        <w:br/>
        <w:t>Leucovorin 200 mg/m² i.v. über 2 Stunden, Tag 1+2, 15+16</w:t>
      </w:r>
      <w:r w:rsidRPr="008968F0">
        <w:rPr>
          <w:rFonts w:ascii="Calibri" w:eastAsia="Calibri" w:hAnsi="Calibri" w:cs="Arial"/>
          <w:szCs w:val="22"/>
          <w:lang w:eastAsia="en-US"/>
        </w:rPr>
        <w:br/>
        <w:t>5-FU 400 mg/m² i.v. Kurzinfusion, Tag 1+2, 15+16</w:t>
      </w:r>
      <w:r w:rsidRPr="008968F0">
        <w:rPr>
          <w:rFonts w:ascii="Calibri" w:eastAsia="Calibri" w:hAnsi="Calibri" w:cs="Arial"/>
          <w:szCs w:val="22"/>
          <w:lang w:eastAsia="en-US"/>
        </w:rPr>
        <w:br/>
        <w:t>5-FU 600 mg/m² i.v. Dauerinfusion über 22 Stunden, Tag 1+2, 15+16</w:t>
      </w:r>
    </w:p>
    <w:p w14:paraId="7CDC51FE" w14:textId="77777777" w:rsidR="0013623F" w:rsidRPr="008968F0"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968F0">
        <w:rPr>
          <w:rFonts w:ascii="Calibri" w:eastAsia="Calibri" w:hAnsi="Calibri" w:cs="Arial"/>
          <w:szCs w:val="22"/>
          <w:lang w:eastAsia="en-US"/>
        </w:rPr>
        <w:t>Wiederholung Tag 29</w:t>
      </w:r>
    </w:p>
    <w:p w14:paraId="2B42760F"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2FB7EFCC" w14:textId="77777777" w:rsidR="0013623F" w:rsidRPr="008B26AA" w:rsidRDefault="0013623F" w:rsidP="0013623F">
      <w:pPr>
        <w:spacing w:line="240" w:lineRule="auto"/>
        <w:jc w:val="both"/>
        <w:rPr>
          <w:rFonts w:ascii="Calibri" w:hAnsi="Calibri" w:cs="Calibri"/>
          <w:b/>
          <w:color w:val="000000"/>
          <w:szCs w:val="22"/>
          <w:lang w:val="de-DE"/>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68992" behindDoc="1" locked="0" layoutInCell="1" allowOverlap="1" wp14:anchorId="3DEC2DF3" wp14:editId="28AB8F7B">
                <wp:simplePos x="0" y="0"/>
                <wp:positionH relativeFrom="margin">
                  <wp:posOffset>0</wp:posOffset>
                </wp:positionH>
                <wp:positionV relativeFrom="paragraph">
                  <wp:posOffset>-635</wp:posOffset>
                </wp:positionV>
                <wp:extent cx="6200775" cy="190500"/>
                <wp:effectExtent l="0" t="0" r="28575" b="19050"/>
                <wp:wrapNone/>
                <wp:docPr id="2068" name="Rechteck 2068"/>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1A1F67E"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2DF3" id="Rechteck 2068" o:spid="_x0000_s1037" style="position:absolute;left:0;text-align:left;margin-left:0;margin-top:-.05pt;width:488.25pt;height: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POiLwWQAgAAhQUAAA4AAAAAAAAAAAAAAAAALgIAAGRycy9lMm9Eb2MueG1sUEsBAi0A&#10;FAAGAAgAAAAhADob5erbAAAABQEAAA8AAAAAAAAAAAAAAAAA6gQAAGRycy9kb3ducmV2LnhtbFBL&#10;BQYAAAAABAAEAPMAAADyBQAAAAA=&#10;" fillcolor="#92d050" strokecolor="#4e6128 [1606]" strokeweight="2pt">
                <v:textbox>
                  <w:txbxContent>
                    <w:p w14:paraId="31A1F67E"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8B26AA">
        <w:rPr>
          <w:rFonts w:ascii="Calibri" w:hAnsi="Calibri" w:cs="Calibri"/>
          <w:b/>
          <w:color w:val="000000"/>
          <w:szCs w:val="22"/>
          <w:lang w:val="de-DE"/>
        </w:rPr>
        <w:t xml:space="preserve">CRC: mFOLFOX 6 (46 Stunden) d1,15; q4w </w:t>
      </w:r>
    </w:p>
    <w:p w14:paraId="3E77307D"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Oxaliplatin 85 mg/m² </w:t>
      </w:r>
      <w:r w:rsidRPr="008B26AA">
        <w:rPr>
          <w:rFonts w:ascii="Calibri" w:eastAsia="Calibri" w:hAnsi="Calibri" w:cs="Arial"/>
          <w:szCs w:val="22"/>
          <w:lang w:eastAsia="en-US"/>
        </w:rPr>
        <w:t>i.v.</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7D8BFAE8"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Leucovorin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7E258BC4"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5-FU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Kurzinfusion, Tag 1</w:t>
      </w:r>
      <w:r>
        <w:rPr>
          <w:rFonts w:ascii="Calibri" w:eastAsia="Calibri" w:hAnsi="Calibri" w:cs="Arial"/>
          <w:bCs/>
          <w:color w:val="231F20"/>
          <w:szCs w:val="22"/>
          <w:lang w:eastAsia="en-US"/>
        </w:rPr>
        <w:t>,15</w:t>
      </w:r>
      <w:r w:rsidRPr="008B26AA">
        <w:rPr>
          <w:rFonts w:ascii="Calibri" w:eastAsia="Calibri" w:hAnsi="Calibri" w:cs="Arial"/>
          <w:bCs/>
          <w:color w:val="231F20"/>
          <w:szCs w:val="22"/>
          <w:lang w:eastAsia="en-US"/>
        </w:rPr>
        <w:br/>
        <w:t xml:space="preserve">5-FU 2400 mg/m²   i.v. Dauerinfusion </w:t>
      </w:r>
      <w:r>
        <w:rPr>
          <w:rFonts w:ascii="Calibri" w:eastAsia="Calibri" w:hAnsi="Calibri" w:cs="Arial"/>
          <w:bCs/>
          <w:color w:val="231F20"/>
          <w:szCs w:val="22"/>
          <w:lang w:eastAsia="en-US"/>
        </w:rPr>
        <w:t xml:space="preserve"> Tag 1,2,15,16 </w:t>
      </w:r>
      <w:r w:rsidRPr="008B26AA">
        <w:rPr>
          <w:rFonts w:ascii="Calibri" w:eastAsia="Calibri" w:hAnsi="Calibri" w:cs="Arial"/>
          <w:bCs/>
          <w:color w:val="231F20"/>
          <w:szCs w:val="22"/>
          <w:lang w:eastAsia="en-US"/>
        </w:rPr>
        <w:t>über 46 Stunden</w:t>
      </w:r>
    </w:p>
    <w:p w14:paraId="016FD737"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Wiederholung Tag </w:t>
      </w:r>
      <w:r>
        <w:rPr>
          <w:rFonts w:ascii="Calibri" w:eastAsia="Calibri" w:hAnsi="Calibri" w:cs="Arial"/>
          <w:bCs/>
          <w:color w:val="231F20"/>
          <w:szCs w:val="22"/>
          <w:lang w:eastAsia="en-US"/>
        </w:rPr>
        <w:t>29</w:t>
      </w:r>
    </w:p>
    <w:p w14:paraId="3AA019F2"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2B101EE6" w14:textId="77777777" w:rsidR="0013623F" w:rsidRPr="00A41D96" w:rsidRDefault="0013623F" w:rsidP="0013623F">
      <w:pPr>
        <w:autoSpaceDE w:val="0"/>
        <w:autoSpaceDN w:val="0"/>
        <w:adjustRightInd w:val="0"/>
        <w:spacing w:line="240" w:lineRule="auto"/>
        <w:jc w:val="left"/>
        <w:rPr>
          <w:rFonts w:ascii="Calibri" w:eastAsia="Calibri" w:hAnsi="Calibri" w:cs="ArialMT-Bold"/>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67968" behindDoc="1" locked="0" layoutInCell="1" allowOverlap="1" wp14:anchorId="58AC311B" wp14:editId="60E4C753">
                <wp:simplePos x="0" y="0"/>
                <wp:positionH relativeFrom="margin">
                  <wp:posOffset>0</wp:posOffset>
                </wp:positionH>
                <wp:positionV relativeFrom="paragraph">
                  <wp:posOffset>-635</wp:posOffset>
                </wp:positionV>
                <wp:extent cx="6200775" cy="190500"/>
                <wp:effectExtent l="0" t="0" r="28575" b="19050"/>
                <wp:wrapNone/>
                <wp:docPr id="2067" name="Rechteck 2067"/>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E55634E"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C311B" id="Rechteck 2067" o:spid="_x0000_s1038" style="position:absolute;margin-left:0;margin-top:-.05pt;width:488.25pt;height: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" fillcolor="#92d050" strokecolor="#4e6128 [1606]" strokeweight="2pt">
                <v:textbox>
                  <w:txbxContent>
                    <w:p w14:paraId="3E55634E"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6520D8">
        <w:rPr>
          <w:rFonts w:ascii="Calibri" w:eastAsia="Calibri" w:hAnsi="Calibri" w:cs="ArialMT-Bold"/>
          <w:b/>
          <w:bCs/>
          <w:color w:val="231F20"/>
          <w:szCs w:val="22"/>
          <w:lang w:eastAsia="en-US"/>
        </w:rPr>
        <w:t>CRC: mFOLFOX 6 (46 Stunden) d1,15, Bevacizumab (5) d1,15; q4w</w:t>
      </w:r>
    </w:p>
    <w:p w14:paraId="247E3586" w14:textId="77777777" w:rsidR="0013623F" w:rsidRPr="006520D8"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520D8">
        <w:rPr>
          <w:rFonts w:ascii="Calibri" w:eastAsia="Calibri" w:hAnsi="Calibri" w:cs="Arial"/>
          <w:bCs/>
          <w:color w:val="231F20"/>
          <w:szCs w:val="22"/>
          <w:lang w:eastAsia="en-US"/>
        </w:rPr>
        <w:t>Bevacizumab 5 mg/kg i.v., Tag 1</w:t>
      </w:r>
      <w:r>
        <w:rPr>
          <w:rFonts w:ascii="Calibri" w:eastAsia="Calibri" w:hAnsi="Calibri" w:cs="Arial"/>
          <w:bCs/>
          <w:color w:val="231F20"/>
          <w:szCs w:val="22"/>
          <w:lang w:eastAsia="en-US"/>
        </w:rPr>
        <w:t>,15</w:t>
      </w:r>
    </w:p>
    <w:p w14:paraId="18D81299"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Oxaliplatin 85 mg/m² </w:t>
      </w:r>
      <w:r w:rsidRPr="008B26AA">
        <w:rPr>
          <w:rFonts w:ascii="Calibri" w:eastAsia="Calibri" w:hAnsi="Calibri" w:cs="Arial"/>
          <w:szCs w:val="22"/>
          <w:lang w:eastAsia="en-US"/>
        </w:rPr>
        <w:t>i.v.</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344E44E9"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Leucovorin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39B66381"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5-FU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Kurzinfusion, Tag 1</w:t>
      </w:r>
      <w:r>
        <w:rPr>
          <w:rFonts w:ascii="Calibri" w:eastAsia="Calibri" w:hAnsi="Calibri" w:cs="Arial"/>
          <w:bCs/>
          <w:color w:val="231F20"/>
          <w:szCs w:val="22"/>
          <w:lang w:eastAsia="en-US"/>
        </w:rPr>
        <w:t>,15</w:t>
      </w:r>
      <w:r w:rsidRPr="008B26AA">
        <w:rPr>
          <w:rFonts w:ascii="Calibri" w:eastAsia="Calibri" w:hAnsi="Calibri" w:cs="Arial"/>
          <w:bCs/>
          <w:color w:val="231F20"/>
          <w:szCs w:val="22"/>
          <w:lang w:eastAsia="en-US"/>
        </w:rPr>
        <w:br/>
        <w:t xml:space="preserve">5-FU 2400 mg/m²   i.v. Dauerinfusion </w:t>
      </w:r>
      <w:r>
        <w:rPr>
          <w:rFonts w:ascii="Calibri" w:eastAsia="Calibri" w:hAnsi="Calibri" w:cs="Arial"/>
          <w:bCs/>
          <w:color w:val="231F20"/>
          <w:szCs w:val="22"/>
          <w:lang w:eastAsia="en-US"/>
        </w:rPr>
        <w:t xml:space="preserve"> Tag 1,2,15,16 </w:t>
      </w:r>
      <w:r w:rsidRPr="008B26AA">
        <w:rPr>
          <w:rFonts w:ascii="Calibri" w:eastAsia="Calibri" w:hAnsi="Calibri" w:cs="Arial"/>
          <w:bCs/>
          <w:color w:val="231F20"/>
          <w:szCs w:val="22"/>
          <w:lang w:eastAsia="en-US"/>
        </w:rPr>
        <w:t>über 46 Stunden</w:t>
      </w:r>
    </w:p>
    <w:p w14:paraId="251422EF"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Wiederholung Tag </w:t>
      </w:r>
      <w:r>
        <w:rPr>
          <w:rFonts w:ascii="Calibri" w:eastAsia="Calibri" w:hAnsi="Calibri" w:cs="Arial"/>
          <w:bCs/>
          <w:color w:val="231F20"/>
          <w:szCs w:val="22"/>
          <w:lang w:eastAsia="en-US"/>
        </w:rPr>
        <w:t>29</w:t>
      </w:r>
    </w:p>
    <w:p w14:paraId="108CE0DA"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079ABD40" w14:textId="77777777" w:rsidR="0013623F" w:rsidRPr="00FD507F" w:rsidRDefault="0013623F" w:rsidP="0013623F">
      <w:pPr>
        <w:autoSpaceDE w:val="0"/>
        <w:autoSpaceDN w:val="0"/>
        <w:adjustRightInd w:val="0"/>
        <w:spacing w:line="240" w:lineRule="auto"/>
        <w:jc w:val="left"/>
        <w:rPr>
          <w:rFonts w:ascii="Calibri" w:eastAsia="Calibri" w:hAnsi="Calibri" w:cs="Arial"/>
          <w:b/>
          <w:bCs/>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66944" behindDoc="1" locked="0" layoutInCell="1" allowOverlap="1" wp14:anchorId="43BFB848" wp14:editId="2D0D8909">
                <wp:simplePos x="0" y="0"/>
                <wp:positionH relativeFrom="margin">
                  <wp:posOffset>0</wp:posOffset>
                </wp:positionH>
                <wp:positionV relativeFrom="paragraph">
                  <wp:posOffset>0</wp:posOffset>
                </wp:positionV>
                <wp:extent cx="6200775" cy="190500"/>
                <wp:effectExtent l="0" t="0" r="28575" b="19050"/>
                <wp:wrapNone/>
                <wp:docPr id="2066" name="Rechteck 2066"/>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6F3111CD"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FB848" id="Rechteck 2066" o:spid="_x0000_s1039" style="position:absolute;margin-left:0;margin-top:0;width:488.25pt;height: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CdKlTGkQIAAIUFAAAOAAAAAAAAAAAAAAAAAC4CAABkcnMvZTJvRG9jLnhtbFBLAQIt&#10;ABQABgAIAAAAIQC1GyUw2wAAAAQBAAAPAAAAAAAAAAAAAAAAAOsEAABkcnMvZG93bnJldi54bWxQ&#10;SwUGAAAAAAQABADzAAAA8wUAAAAA&#10;" fillcolor="#92d050" strokecolor="#4e6128 [1606]" strokeweight="2pt">
                <v:textbox>
                  <w:txbxContent>
                    <w:p w14:paraId="6F3111CD"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FD507F">
        <w:rPr>
          <w:rFonts w:ascii="Calibri" w:eastAsia="Calibri" w:hAnsi="Calibri" w:cs="Arial"/>
          <w:b/>
          <w:bCs/>
          <w:szCs w:val="22"/>
          <w:lang w:eastAsia="en-US"/>
        </w:rPr>
        <w:t>CRC: mFOLFOX 6 (46 Stunden) d1,15, Cetuximab (500) d1,15; q4w</w:t>
      </w:r>
    </w:p>
    <w:p w14:paraId="565B009D" w14:textId="77777777" w:rsidR="0013623F" w:rsidRPr="008508EE" w:rsidRDefault="0013623F" w:rsidP="0013623F">
      <w:pPr>
        <w:autoSpaceDE w:val="0"/>
        <w:autoSpaceDN w:val="0"/>
        <w:adjustRightInd w:val="0"/>
        <w:spacing w:line="240" w:lineRule="auto"/>
        <w:jc w:val="left"/>
        <w:rPr>
          <w:rFonts w:ascii="Calibri" w:eastAsia="Calibri" w:hAnsi="Calibri" w:cs="Arial"/>
          <w:bCs/>
          <w:szCs w:val="22"/>
          <w:lang w:eastAsia="en-US"/>
        </w:rPr>
      </w:pPr>
      <w:r w:rsidRPr="008508EE">
        <w:rPr>
          <w:rFonts w:ascii="Calibri" w:eastAsia="Calibri" w:hAnsi="Calibri" w:cs="Arial"/>
          <w:bCs/>
          <w:szCs w:val="22"/>
          <w:lang w:eastAsia="en-US"/>
        </w:rPr>
        <w:t>Cetuximab 500mg/m² Tag 1,15</w:t>
      </w:r>
    </w:p>
    <w:p w14:paraId="7C3361FF"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Oxaliplatin 85 mg/m² </w:t>
      </w:r>
      <w:r w:rsidRPr="008B26AA">
        <w:rPr>
          <w:rFonts w:ascii="Calibri" w:eastAsia="Calibri" w:hAnsi="Calibri" w:cs="Arial"/>
          <w:szCs w:val="22"/>
          <w:lang w:eastAsia="en-US"/>
        </w:rPr>
        <w:t>i.v.</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5A43611B"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Leucovorin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65F1312F"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5-FU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Kurzinfusion, Tag 1</w:t>
      </w:r>
      <w:r>
        <w:rPr>
          <w:rFonts w:ascii="Calibri" w:eastAsia="Calibri" w:hAnsi="Calibri" w:cs="Arial"/>
          <w:bCs/>
          <w:color w:val="231F20"/>
          <w:szCs w:val="22"/>
          <w:lang w:eastAsia="en-US"/>
        </w:rPr>
        <w:t>,15</w:t>
      </w:r>
      <w:r w:rsidRPr="008B26AA">
        <w:rPr>
          <w:rFonts w:ascii="Calibri" w:eastAsia="Calibri" w:hAnsi="Calibri" w:cs="Arial"/>
          <w:bCs/>
          <w:color w:val="231F20"/>
          <w:szCs w:val="22"/>
          <w:lang w:eastAsia="en-US"/>
        </w:rPr>
        <w:br/>
        <w:t xml:space="preserve">5-FU 2400 mg/m²   i.v. Dauerinfusion </w:t>
      </w:r>
      <w:r>
        <w:rPr>
          <w:rFonts w:ascii="Calibri" w:eastAsia="Calibri" w:hAnsi="Calibri" w:cs="Arial"/>
          <w:bCs/>
          <w:color w:val="231F20"/>
          <w:szCs w:val="22"/>
          <w:lang w:eastAsia="en-US"/>
        </w:rPr>
        <w:t xml:space="preserve"> Tag 1,2,15,16 </w:t>
      </w:r>
      <w:r w:rsidRPr="008B26AA">
        <w:rPr>
          <w:rFonts w:ascii="Calibri" w:eastAsia="Calibri" w:hAnsi="Calibri" w:cs="Arial"/>
          <w:bCs/>
          <w:color w:val="231F20"/>
          <w:szCs w:val="22"/>
          <w:lang w:eastAsia="en-US"/>
        </w:rPr>
        <w:t>über 46 Stunden</w:t>
      </w:r>
    </w:p>
    <w:p w14:paraId="70F8B2E2"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Wiederholung Tag </w:t>
      </w:r>
      <w:r>
        <w:rPr>
          <w:rFonts w:ascii="Calibri" w:eastAsia="Calibri" w:hAnsi="Calibri" w:cs="Arial"/>
          <w:bCs/>
          <w:color w:val="231F20"/>
          <w:szCs w:val="22"/>
          <w:lang w:eastAsia="en-US"/>
        </w:rPr>
        <w:t>29</w:t>
      </w:r>
    </w:p>
    <w:p w14:paraId="0FF38E00"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0D9B6042"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1CC877AE"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51A40E6C"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1DCA38A0"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71EB2179"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64700682" w14:textId="77777777" w:rsidR="0013623F" w:rsidRPr="008508EE" w:rsidRDefault="0013623F" w:rsidP="0013623F">
      <w:pPr>
        <w:autoSpaceDE w:val="0"/>
        <w:autoSpaceDN w:val="0"/>
        <w:adjustRightInd w:val="0"/>
        <w:spacing w:line="240" w:lineRule="auto"/>
        <w:jc w:val="left"/>
        <w:rPr>
          <w:rFonts w:ascii="Calibri" w:eastAsia="Calibri" w:hAnsi="Calibri" w:cs="Arial"/>
          <w:b/>
          <w:bCs/>
          <w:color w:val="FF0000"/>
          <w:szCs w:val="22"/>
          <w:lang w:eastAsia="en-US"/>
        </w:rPr>
      </w:pPr>
    </w:p>
    <w:p w14:paraId="38B68444" w14:textId="77777777" w:rsidR="0013623F" w:rsidRPr="004D7F32" w:rsidRDefault="0013623F" w:rsidP="0013623F">
      <w:pPr>
        <w:autoSpaceDE w:val="0"/>
        <w:autoSpaceDN w:val="0"/>
        <w:adjustRightInd w:val="0"/>
        <w:spacing w:line="240" w:lineRule="auto"/>
        <w:jc w:val="left"/>
        <w:rPr>
          <w:rFonts w:ascii="Calibri" w:eastAsia="Calibri" w:hAnsi="Calibri" w:cs="ArialMT-Bold"/>
          <w:b/>
          <w:bCs/>
          <w:color w:val="231F20"/>
          <w:szCs w:val="22"/>
          <w:lang w:eastAsia="en-US"/>
        </w:rPr>
      </w:pPr>
      <w:r w:rsidRPr="004D6E22">
        <w:rPr>
          <w:rFonts w:ascii="Calibri" w:eastAsia="Calibri" w:hAnsi="Calibri" w:cs="Arial"/>
          <w:b/>
          <w:bCs/>
          <w:noProof/>
          <w:color w:val="9BBB59" w:themeColor="accent3"/>
          <w:szCs w:val="22"/>
          <w:lang w:eastAsia="de-AT"/>
        </w:rPr>
        <w:lastRenderedPageBreak/>
        <mc:AlternateContent>
          <mc:Choice Requires="wps">
            <w:drawing>
              <wp:anchor distT="0" distB="0" distL="114300" distR="114300" simplePos="0" relativeHeight="251665920" behindDoc="1" locked="0" layoutInCell="1" allowOverlap="1" wp14:anchorId="7B4EE0CD" wp14:editId="1C132411">
                <wp:simplePos x="0" y="0"/>
                <wp:positionH relativeFrom="margin">
                  <wp:posOffset>0</wp:posOffset>
                </wp:positionH>
                <wp:positionV relativeFrom="paragraph">
                  <wp:posOffset>-635</wp:posOffset>
                </wp:positionV>
                <wp:extent cx="6200775" cy="190500"/>
                <wp:effectExtent l="0" t="0" r="28575" b="19050"/>
                <wp:wrapNone/>
                <wp:docPr id="2065" name="Rechteck 2065"/>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2D3831EC"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E0CD" id="Rechteck 2065" o:spid="_x0000_s1040" style="position:absolute;margin-left:0;margin-top:-.05pt;width:488.25pt;height: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DCfkLaQAgAAhQUAAA4AAAAAAAAAAAAAAAAALgIAAGRycy9lMm9Eb2MueG1sUEsBAi0A&#10;FAAGAAgAAAAhADob5erbAAAABQEAAA8AAAAAAAAAAAAAAAAA6gQAAGRycy9kb3ducmV2LnhtbFBL&#10;BQYAAAAABAAEAPMAAADyBQAAAAA=&#10;" fillcolor="#92d050" strokecolor="#4e6128 [1606]" strokeweight="2pt">
                <v:textbox>
                  <w:txbxContent>
                    <w:p w14:paraId="2D3831EC"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4D7F32">
        <w:rPr>
          <w:rFonts w:ascii="Calibri" w:eastAsia="Calibri" w:hAnsi="Calibri" w:cs="ArialMT-Bold"/>
          <w:b/>
          <w:bCs/>
          <w:color w:val="231F20"/>
          <w:szCs w:val="22"/>
          <w:lang w:eastAsia="en-US"/>
        </w:rPr>
        <w:t>CRC: mFOLFOX 6 (46 Stunden) d1,15, Panitumumab (6) d1,15; q4w</w:t>
      </w:r>
    </w:p>
    <w:p w14:paraId="4CFCF2C7" w14:textId="77777777" w:rsidR="0013623F" w:rsidRPr="000306C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0306CE">
        <w:rPr>
          <w:rFonts w:ascii="Calibri" w:eastAsia="Calibri" w:hAnsi="Calibri" w:cs="Arial"/>
          <w:bCs/>
          <w:color w:val="231F20"/>
          <w:szCs w:val="22"/>
          <w:lang w:eastAsia="en-US"/>
        </w:rPr>
        <w:t>Panitumumab 6 mg/kg i.v. über 60 Minuten, Tag 1</w:t>
      </w:r>
      <w:r>
        <w:rPr>
          <w:rFonts w:ascii="Calibri" w:eastAsia="Calibri" w:hAnsi="Calibri" w:cs="Arial"/>
          <w:bCs/>
          <w:color w:val="231F20"/>
          <w:szCs w:val="22"/>
          <w:lang w:eastAsia="en-US"/>
        </w:rPr>
        <w:t>,15</w:t>
      </w:r>
    </w:p>
    <w:p w14:paraId="1EFAA079"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Oxaliplatin 85 mg/m² </w:t>
      </w:r>
      <w:r w:rsidRPr="008B26AA">
        <w:rPr>
          <w:rFonts w:ascii="Calibri" w:eastAsia="Calibri" w:hAnsi="Calibri" w:cs="Arial"/>
          <w:szCs w:val="22"/>
          <w:lang w:eastAsia="en-US"/>
        </w:rPr>
        <w:t>i.v.</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0FEB162E"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Leucovorin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 xml:space="preserve"> über 2 Stunden, Tag 1</w:t>
      </w:r>
      <w:r>
        <w:rPr>
          <w:rFonts w:ascii="Calibri" w:eastAsia="Calibri" w:hAnsi="Calibri" w:cs="Arial"/>
          <w:bCs/>
          <w:color w:val="231F20"/>
          <w:szCs w:val="22"/>
          <w:lang w:eastAsia="en-US"/>
        </w:rPr>
        <w:t>,15</w:t>
      </w:r>
    </w:p>
    <w:p w14:paraId="48BE9C7B"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5-FU 400 mg/m² </w:t>
      </w:r>
      <w:r w:rsidRPr="008B26AA">
        <w:rPr>
          <w:rFonts w:ascii="Calibri" w:eastAsia="Calibri" w:hAnsi="Calibri" w:cs="Arial"/>
          <w:szCs w:val="22"/>
          <w:lang w:eastAsia="en-US"/>
        </w:rPr>
        <w:t xml:space="preserve">i.v. </w:t>
      </w:r>
      <w:r w:rsidRPr="008B26AA">
        <w:rPr>
          <w:rFonts w:ascii="Calibri" w:eastAsia="Calibri" w:hAnsi="Calibri" w:cs="Arial"/>
          <w:bCs/>
          <w:color w:val="231F20"/>
          <w:szCs w:val="22"/>
          <w:lang w:eastAsia="en-US"/>
        </w:rPr>
        <w:t>Kurzinfusion, Tag 1</w:t>
      </w:r>
      <w:r>
        <w:rPr>
          <w:rFonts w:ascii="Calibri" w:eastAsia="Calibri" w:hAnsi="Calibri" w:cs="Arial"/>
          <w:bCs/>
          <w:color w:val="231F20"/>
          <w:szCs w:val="22"/>
          <w:lang w:eastAsia="en-US"/>
        </w:rPr>
        <w:t>,15</w:t>
      </w:r>
      <w:r w:rsidRPr="008B26AA">
        <w:rPr>
          <w:rFonts w:ascii="Calibri" w:eastAsia="Calibri" w:hAnsi="Calibri" w:cs="Arial"/>
          <w:bCs/>
          <w:color w:val="231F20"/>
          <w:szCs w:val="22"/>
          <w:lang w:eastAsia="en-US"/>
        </w:rPr>
        <w:br/>
        <w:t xml:space="preserve">5-FU 2400 mg/m²   i.v. Dauerinfusion </w:t>
      </w:r>
      <w:r>
        <w:rPr>
          <w:rFonts w:ascii="Calibri" w:eastAsia="Calibri" w:hAnsi="Calibri" w:cs="Arial"/>
          <w:bCs/>
          <w:color w:val="231F20"/>
          <w:szCs w:val="22"/>
          <w:lang w:eastAsia="en-US"/>
        </w:rPr>
        <w:t xml:space="preserve"> Tag 1,2,15,16 </w:t>
      </w:r>
      <w:r w:rsidRPr="008B26AA">
        <w:rPr>
          <w:rFonts w:ascii="Calibri" w:eastAsia="Calibri" w:hAnsi="Calibri" w:cs="Arial"/>
          <w:bCs/>
          <w:color w:val="231F20"/>
          <w:szCs w:val="22"/>
          <w:lang w:eastAsia="en-US"/>
        </w:rPr>
        <w:t>über 46 Stunden</w:t>
      </w:r>
    </w:p>
    <w:p w14:paraId="5385F63F" w14:textId="77777777" w:rsidR="0013623F" w:rsidRPr="008B26AA"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B26AA">
        <w:rPr>
          <w:rFonts w:ascii="Calibri" w:eastAsia="Calibri" w:hAnsi="Calibri" w:cs="Arial"/>
          <w:bCs/>
          <w:color w:val="231F20"/>
          <w:szCs w:val="22"/>
          <w:lang w:eastAsia="en-US"/>
        </w:rPr>
        <w:t xml:space="preserve">Wiederholung Tag </w:t>
      </w:r>
      <w:r>
        <w:rPr>
          <w:rFonts w:ascii="Calibri" w:eastAsia="Calibri" w:hAnsi="Calibri" w:cs="Arial"/>
          <w:bCs/>
          <w:color w:val="231F20"/>
          <w:szCs w:val="22"/>
          <w:lang w:eastAsia="en-US"/>
        </w:rPr>
        <w:t>29</w:t>
      </w:r>
    </w:p>
    <w:p w14:paraId="5544A760" w14:textId="77777777" w:rsidR="0013623F" w:rsidRPr="00A41D96" w:rsidRDefault="0013623F" w:rsidP="0013623F">
      <w:pPr>
        <w:spacing w:line="276" w:lineRule="auto"/>
        <w:jc w:val="left"/>
        <w:rPr>
          <w:rFonts w:ascii="Calibri" w:eastAsia="Calibri" w:hAnsi="Calibri" w:cs="Arial"/>
          <w:b/>
          <w:bCs/>
          <w:color w:val="231F20"/>
          <w:szCs w:val="22"/>
          <w:lang w:eastAsia="en-US"/>
        </w:rPr>
      </w:pPr>
    </w:p>
    <w:p w14:paraId="45D5FB92"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62848" behindDoc="1" locked="0" layoutInCell="1" allowOverlap="1" wp14:anchorId="255B62F0" wp14:editId="3DEF64F5">
                <wp:simplePos x="0" y="0"/>
                <wp:positionH relativeFrom="margin">
                  <wp:posOffset>0</wp:posOffset>
                </wp:positionH>
                <wp:positionV relativeFrom="paragraph">
                  <wp:posOffset>0</wp:posOffset>
                </wp:positionV>
                <wp:extent cx="6200775" cy="190500"/>
                <wp:effectExtent l="0" t="0" r="28575" b="19050"/>
                <wp:wrapNone/>
                <wp:docPr id="2064" name="Rechteck 2064"/>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0B4A639"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62F0" id="Rechteck 2064" o:spid="_x0000_s1041" style="position:absolute;margin-left:0;margin-top:0;width:488.25pt;height: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AdcZIZkQIAAIUFAAAOAAAAAAAAAAAAAAAAAC4CAABkcnMvZTJvRG9jLnhtbFBLAQIt&#10;ABQABgAIAAAAIQC1GyUw2wAAAAQBAAAPAAAAAAAAAAAAAAAAAOsEAABkcnMvZG93bnJldi54bWxQ&#10;SwUGAAAAAAQABADzAAAA8wUAAAAA&#10;" fillcolor="#92d050" strokecolor="#4e6128 [1606]" strokeweight="2pt">
                <v:textbox>
                  <w:txbxContent>
                    <w:p w14:paraId="30B4A639"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1B717E">
        <w:rPr>
          <w:rFonts w:ascii="Calibri" w:eastAsia="Calibri" w:hAnsi="Calibri" w:cs="Arial"/>
          <w:b/>
          <w:bCs/>
          <w:color w:val="231F20"/>
          <w:szCs w:val="22"/>
          <w:lang w:eastAsia="en-US"/>
        </w:rPr>
        <w:t>CRC: FOLFIRI (46 Stunden) d1,15; q4w</w:t>
      </w:r>
    </w:p>
    <w:p w14:paraId="3D20E6E2"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Irinotecan 180 mg/m² i.v. über 60-90 Minuten, Tag 1,15</w:t>
      </w:r>
    </w:p>
    <w:p w14:paraId="32463396"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4A35BFE8"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0B100CE3"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01CB1FA2"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Wiederholung Tag 29</w:t>
      </w:r>
    </w:p>
    <w:p w14:paraId="6889420C" w14:textId="77777777" w:rsidR="0013623F" w:rsidRDefault="0013623F" w:rsidP="0013623F">
      <w:pPr>
        <w:spacing w:line="276"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41344" behindDoc="1" locked="0" layoutInCell="1" allowOverlap="1" wp14:anchorId="2400E7B1" wp14:editId="51C53F3A">
                <wp:simplePos x="0" y="0"/>
                <wp:positionH relativeFrom="margin">
                  <wp:posOffset>0</wp:posOffset>
                </wp:positionH>
                <wp:positionV relativeFrom="paragraph">
                  <wp:posOffset>-635</wp:posOffset>
                </wp:positionV>
                <wp:extent cx="6200775" cy="190500"/>
                <wp:effectExtent l="0" t="0" r="28575" b="19050"/>
                <wp:wrapNone/>
                <wp:docPr id="2058" name="Rechteck 2058"/>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115C539"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0E7B1" id="Rechteck 2058" o:spid="_x0000_s1042" style="position:absolute;margin-left:0;margin-top:-.05pt;width:488.25pt;height:1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" fillcolor="#92d050" strokecolor="#4e6128 [1606]" strokeweight="2pt">
                <v:textbox>
                  <w:txbxContent>
                    <w:p w14:paraId="1115C539"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1B717E">
        <w:rPr>
          <w:rFonts w:ascii="Calibri" w:eastAsia="Calibri" w:hAnsi="Calibri" w:cs="Arial"/>
          <w:b/>
          <w:bCs/>
          <w:color w:val="231F20"/>
          <w:szCs w:val="22"/>
          <w:lang w:eastAsia="en-US"/>
        </w:rPr>
        <w:t>CRC: FOLFIRI (46 Stunden) + Bevacizumab (5) d1,15; q4w</w:t>
      </w:r>
    </w:p>
    <w:p w14:paraId="74B7A90A" w14:textId="77777777" w:rsidR="0013623F" w:rsidRPr="006520D8"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520D8">
        <w:rPr>
          <w:rFonts w:ascii="Calibri" w:eastAsia="Calibri" w:hAnsi="Calibri" w:cs="Arial"/>
          <w:bCs/>
          <w:color w:val="231F20"/>
          <w:szCs w:val="22"/>
          <w:lang w:eastAsia="en-US"/>
        </w:rPr>
        <w:t>Bevacizumab 5 mg/kg i.v., Tag 1</w:t>
      </w:r>
      <w:r>
        <w:rPr>
          <w:rFonts w:ascii="Calibri" w:eastAsia="Calibri" w:hAnsi="Calibri" w:cs="Arial"/>
          <w:bCs/>
          <w:color w:val="231F20"/>
          <w:szCs w:val="22"/>
          <w:lang w:eastAsia="en-US"/>
        </w:rPr>
        <w:t>,15</w:t>
      </w:r>
    </w:p>
    <w:p w14:paraId="44DCDDF1"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Irinotecan 180 mg/m² i.v. über 60-90 Minuten, Tag 1,15</w:t>
      </w:r>
    </w:p>
    <w:p w14:paraId="683B4363"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449508D4"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24807B05"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6FFC25A9" w14:textId="77777777" w:rsidR="0013623F" w:rsidRDefault="0013623F" w:rsidP="0013623F">
      <w:pPr>
        <w:spacing w:line="276"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Wiederholung Tag 29</w:t>
      </w:r>
    </w:p>
    <w:p w14:paraId="373DC319" w14:textId="77777777" w:rsidR="0013623F" w:rsidRDefault="0013623F" w:rsidP="0013623F">
      <w:pPr>
        <w:spacing w:line="276" w:lineRule="auto"/>
        <w:jc w:val="left"/>
        <w:rPr>
          <w:rFonts w:ascii="Calibri" w:eastAsia="Calibri" w:hAnsi="Calibri" w:cs="Arial"/>
          <w:bCs/>
          <w:color w:val="231F20"/>
          <w:szCs w:val="22"/>
          <w:lang w:eastAsia="en-US"/>
        </w:rPr>
      </w:pPr>
    </w:p>
    <w:p w14:paraId="577275EA" w14:textId="77777777" w:rsidR="0013623F" w:rsidRDefault="0013623F" w:rsidP="0013623F">
      <w:pPr>
        <w:spacing w:line="276"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42368" behindDoc="1" locked="0" layoutInCell="1" allowOverlap="1" wp14:anchorId="17176A51" wp14:editId="78565B85">
                <wp:simplePos x="0" y="0"/>
                <wp:positionH relativeFrom="margin">
                  <wp:posOffset>0</wp:posOffset>
                </wp:positionH>
                <wp:positionV relativeFrom="paragraph">
                  <wp:posOffset>0</wp:posOffset>
                </wp:positionV>
                <wp:extent cx="6200775" cy="190500"/>
                <wp:effectExtent l="0" t="0" r="28575" b="19050"/>
                <wp:wrapNone/>
                <wp:docPr id="2059" name="Rechteck 2059"/>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F31FF24"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76A51" id="Rechteck 2059" o:spid="_x0000_s1043" style="position:absolute;margin-left:0;margin-top:0;width:488.25pt;height: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BWT2DDkQIAAIUFAAAOAAAAAAAAAAAAAAAAAC4CAABkcnMvZTJvRG9jLnhtbFBLAQIt&#10;ABQABgAIAAAAIQC1GyUw2wAAAAQBAAAPAAAAAAAAAAAAAAAAAOsEAABkcnMvZG93bnJldi54bWxQ&#10;SwUGAAAAAAQABADzAAAA8wUAAAAA&#10;" fillcolor="#92d050" strokecolor="#4e6128 [1606]" strokeweight="2pt">
                <v:textbox>
                  <w:txbxContent>
                    <w:p w14:paraId="0F31FF24"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471CB8">
        <w:rPr>
          <w:rFonts w:ascii="Calibri" w:eastAsia="Calibri" w:hAnsi="Calibri" w:cs="Arial"/>
          <w:b/>
          <w:bCs/>
          <w:color w:val="231F20"/>
          <w:szCs w:val="22"/>
          <w:lang w:eastAsia="en-US"/>
        </w:rPr>
        <w:t>CRC: FOLFIRI (46 Stunden) + Cetuximab (500) d1,15; q4w</w:t>
      </w:r>
      <w:r>
        <w:rPr>
          <w:rFonts w:ascii="Calibri" w:eastAsia="Calibri" w:hAnsi="Calibri" w:cs="Arial"/>
          <w:b/>
          <w:bCs/>
          <w:color w:val="231F20"/>
          <w:szCs w:val="22"/>
          <w:lang w:eastAsia="en-US"/>
        </w:rPr>
        <w:t xml:space="preserve"> </w:t>
      </w:r>
      <w:r w:rsidRPr="00A41D96">
        <w:rPr>
          <w:rFonts w:ascii="Calibri" w:eastAsia="Calibri" w:hAnsi="Calibri" w:cs="Arial"/>
          <w:b/>
          <w:bCs/>
          <w:color w:val="231F20"/>
          <w:sz w:val="24"/>
          <w:szCs w:val="24"/>
          <w:lang w:eastAsia="en-US"/>
        </w:rPr>
        <w:t>(RAS WT)</w:t>
      </w:r>
    </w:p>
    <w:p w14:paraId="5D22780F" w14:textId="77777777" w:rsidR="0013623F" w:rsidRPr="00471CB8" w:rsidRDefault="0013623F" w:rsidP="0013623F">
      <w:pPr>
        <w:spacing w:line="276" w:lineRule="auto"/>
        <w:jc w:val="left"/>
        <w:rPr>
          <w:rFonts w:ascii="Calibri" w:eastAsia="Calibri" w:hAnsi="Calibri" w:cs="Arial"/>
          <w:bCs/>
          <w:color w:val="231F20"/>
          <w:szCs w:val="22"/>
          <w:lang w:eastAsia="en-US"/>
        </w:rPr>
      </w:pPr>
      <w:r w:rsidRPr="00471CB8">
        <w:rPr>
          <w:rFonts w:ascii="Calibri" w:eastAsia="Calibri" w:hAnsi="Calibri" w:cs="Arial"/>
          <w:bCs/>
          <w:color w:val="231F20"/>
          <w:szCs w:val="22"/>
          <w:lang w:eastAsia="en-US"/>
        </w:rPr>
        <w:t>Cetuximab 500mg/m²</w:t>
      </w:r>
      <w:r>
        <w:rPr>
          <w:rFonts w:ascii="Calibri" w:eastAsia="Calibri" w:hAnsi="Calibri" w:cs="Arial"/>
          <w:bCs/>
          <w:color w:val="231F20"/>
          <w:szCs w:val="22"/>
          <w:lang w:eastAsia="en-US"/>
        </w:rPr>
        <w:t xml:space="preserve"> i.v.</w:t>
      </w:r>
      <w:r w:rsidRPr="00471CB8">
        <w:rPr>
          <w:rFonts w:ascii="Calibri" w:eastAsia="Calibri" w:hAnsi="Calibri" w:cs="Arial"/>
          <w:bCs/>
          <w:color w:val="231F20"/>
          <w:szCs w:val="22"/>
          <w:lang w:eastAsia="en-US"/>
        </w:rPr>
        <w:t xml:space="preserve"> Tag 1,15</w:t>
      </w:r>
    </w:p>
    <w:p w14:paraId="0E64C06D"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Irinotecan 180 mg/m² i.v. über 60-90 Minuten, Tag 1,15</w:t>
      </w:r>
    </w:p>
    <w:p w14:paraId="4A36DB6E"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358CEFE4"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7ADBCB00"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5D07C2A6"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Wiederholung Tag 29</w:t>
      </w:r>
    </w:p>
    <w:p w14:paraId="0DC339B1"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1588F78C" w14:textId="77777777" w:rsidR="0013623F" w:rsidRDefault="0013623F" w:rsidP="0013623F">
      <w:pPr>
        <w:spacing w:line="240" w:lineRule="auto"/>
        <w:jc w:val="left"/>
        <w:rPr>
          <w:rFonts w:ascii="Calibri" w:eastAsia="Calibri" w:hAnsi="Calibri" w:cs="Arial"/>
          <w:bCs/>
          <w:color w:val="231F20"/>
          <w:szCs w:val="22"/>
          <w:lang w:eastAsia="en-US"/>
        </w:rPr>
      </w:pPr>
      <w:r>
        <w:rPr>
          <w:rFonts w:ascii="Calibri" w:eastAsia="Calibri" w:hAnsi="Calibri" w:cs="Arial"/>
          <w:bCs/>
          <w:color w:val="231F20"/>
          <w:szCs w:val="22"/>
          <w:lang w:eastAsia="en-US"/>
        </w:rPr>
        <w:t xml:space="preserve">(Oder </w:t>
      </w:r>
      <w:r w:rsidRPr="00EB05DC">
        <w:rPr>
          <w:rFonts w:ascii="Calibri" w:eastAsia="Calibri" w:hAnsi="Calibri" w:cs="Arial"/>
          <w:bCs/>
          <w:color w:val="231F20"/>
          <w:szCs w:val="22"/>
          <w:lang w:eastAsia="en-US"/>
        </w:rPr>
        <w:t>Cetuximab 400 mg/m² i.v. über 2 Stunden erste Infusion, dann 250 mg/m²  i.v.</w:t>
      </w:r>
      <w:r w:rsidRPr="00EB05DC">
        <w:rPr>
          <w:rFonts w:ascii="Calibri" w:eastAsia="Calibri" w:hAnsi="Calibri" w:cs="Arial"/>
          <w:bCs/>
          <w:color w:val="231F20"/>
          <w:szCs w:val="22"/>
          <w:lang w:eastAsia="en-US"/>
        </w:rPr>
        <w:br/>
        <w:t>über 60 Minuten wöchentlich</w:t>
      </w:r>
      <w:r>
        <w:rPr>
          <w:rFonts w:ascii="Calibri" w:eastAsia="Calibri" w:hAnsi="Calibri" w:cs="Arial"/>
          <w:bCs/>
          <w:color w:val="231F20"/>
          <w:szCs w:val="22"/>
          <w:lang w:eastAsia="en-US"/>
        </w:rPr>
        <w:t>)</w:t>
      </w:r>
    </w:p>
    <w:p w14:paraId="428D6AD5" w14:textId="77777777" w:rsidR="0013623F" w:rsidRPr="004D7F32" w:rsidRDefault="0013623F" w:rsidP="0013623F">
      <w:pPr>
        <w:spacing w:line="240" w:lineRule="auto"/>
        <w:jc w:val="left"/>
        <w:rPr>
          <w:rFonts w:ascii="Calibri" w:hAnsi="Calibri" w:cs="Calibri"/>
          <w:b/>
          <w:color w:val="000000"/>
          <w:szCs w:val="22"/>
          <w:lang w:val="de-DE"/>
        </w:rPr>
      </w:pPr>
      <w:r w:rsidRPr="00EB05DC">
        <w:rPr>
          <w:rFonts w:ascii="Calibri" w:eastAsia="Calibri" w:hAnsi="Calibri" w:cs="Arial"/>
          <w:bCs/>
          <w:color w:val="231F20"/>
          <w:szCs w:val="22"/>
          <w:lang w:eastAsia="en-US"/>
        </w:rPr>
        <w:br/>
      </w: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43392" behindDoc="1" locked="0" layoutInCell="1" allowOverlap="1" wp14:anchorId="24020311" wp14:editId="7C3C5F7D">
                <wp:simplePos x="0" y="0"/>
                <wp:positionH relativeFrom="margin">
                  <wp:posOffset>0</wp:posOffset>
                </wp:positionH>
                <wp:positionV relativeFrom="paragraph">
                  <wp:posOffset>170815</wp:posOffset>
                </wp:positionV>
                <wp:extent cx="6200775" cy="190500"/>
                <wp:effectExtent l="0" t="0" r="28575" b="19050"/>
                <wp:wrapNone/>
                <wp:docPr id="2060" name="Rechteck 2060"/>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778B764"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20311" id="Rechteck 2060" o:spid="_x0000_s1044" style="position:absolute;margin-left:0;margin-top:13.45pt;width:488.25pt;height: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" fillcolor="#92d050" strokecolor="#4e6128 [1606]" strokeweight="2pt">
                <v:textbox>
                  <w:txbxContent>
                    <w:p w14:paraId="3778B764"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4D7F32">
        <w:rPr>
          <w:rFonts w:ascii="Calibri" w:hAnsi="Calibri" w:cs="Calibri"/>
          <w:b/>
          <w:color w:val="000000"/>
          <w:szCs w:val="22"/>
          <w:lang w:val="de-DE"/>
        </w:rPr>
        <w:t xml:space="preserve">CRC: FOLFIRI (46 Stunden) + Aflibercept (4); d1,15; q4w </w:t>
      </w:r>
    </w:p>
    <w:p w14:paraId="46485754" w14:textId="77777777" w:rsidR="0013623F" w:rsidRPr="004D7F32"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4D7F32">
        <w:rPr>
          <w:rFonts w:ascii="Calibri" w:eastAsia="Calibri" w:hAnsi="Calibri" w:cs="ArialMT-Bold"/>
          <w:bCs/>
          <w:color w:val="231F20"/>
          <w:szCs w:val="22"/>
          <w:lang w:eastAsia="en-US"/>
        </w:rPr>
        <w:t>Aflibercept 4 mg/kg i.v. über 1 Stunde, Tag 1,15</w:t>
      </w:r>
    </w:p>
    <w:p w14:paraId="604B0535"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Irinotecan 180 mg/m² i.v. über 60-90 Minuten, Tag 1,15</w:t>
      </w:r>
    </w:p>
    <w:p w14:paraId="3913BE56"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4579BB4A"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6A12DBC0"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708534BB"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Pr>
          <w:rFonts w:ascii="Calibri" w:eastAsia="Calibri" w:hAnsi="Calibri" w:cs="Arial"/>
          <w:bCs/>
          <w:color w:val="231F20"/>
          <w:szCs w:val="22"/>
          <w:lang w:eastAsia="en-US"/>
        </w:rPr>
        <w:t>Wiederholung Tag 29</w:t>
      </w:r>
    </w:p>
    <w:p w14:paraId="4144DDEC" w14:textId="77777777" w:rsidR="0013623F" w:rsidRPr="00EB05DC"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0A028778"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47488" behindDoc="1" locked="0" layoutInCell="1" allowOverlap="1" wp14:anchorId="33284715" wp14:editId="2B3BB018">
                <wp:simplePos x="0" y="0"/>
                <wp:positionH relativeFrom="margin">
                  <wp:posOffset>0</wp:posOffset>
                </wp:positionH>
                <wp:positionV relativeFrom="paragraph">
                  <wp:posOffset>0</wp:posOffset>
                </wp:positionV>
                <wp:extent cx="6200775" cy="190500"/>
                <wp:effectExtent l="0" t="0" r="28575" b="19050"/>
                <wp:wrapNone/>
                <wp:docPr id="2061" name="Rechteck 2061"/>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494A2DA6"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84715" id="Rechteck 2061" o:spid="_x0000_s1045" style="position:absolute;margin-left:0;margin-top:0;width:488.2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CnTKVfkQIAAIUFAAAOAAAAAAAAAAAAAAAAAC4CAABkcnMvZTJvRG9jLnhtbFBLAQIt&#10;ABQABgAIAAAAIQC1GyUw2wAAAAQBAAAPAAAAAAAAAAAAAAAAAOsEAABkcnMvZG93bnJldi54bWxQ&#10;SwUGAAAAAAQABADzAAAA8wUAAAAA&#10;" fillcolor="#92d050" strokecolor="#4e6128 [1606]" strokeweight="2pt">
                <v:textbox>
                  <w:txbxContent>
                    <w:p w14:paraId="494A2DA6"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A43699">
        <w:rPr>
          <w:rFonts w:ascii="Calibri" w:eastAsia="Calibri" w:hAnsi="Calibri" w:cs="Arial"/>
          <w:b/>
          <w:bCs/>
          <w:color w:val="231F20"/>
          <w:szCs w:val="22"/>
          <w:lang w:eastAsia="en-US"/>
        </w:rPr>
        <w:t>CRC: FOLFIRI (46 Stunden) + Panitumumab (6) d1,15; q4w</w:t>
      </w:r>
      <w:r>
        <w:rPr>
          <w:rFonts w:ascii="Calibri" w:eastAsia="Calibri" w:hAnsi="Calibri" w:cs="Arial"/>
          <w:b/>
          <w:bCs/>
          <w:color w:val="231F20"/>
          <w:szCs w:val="22"/>
          <w:lang w:eastAsia="en-US"/>
        </w:rPr>
        <w:t xml:space="preserve"> </w:t>
      </w:r>
      <w:r w:rsidRPr="00A41D96">
        <w:rPr>
          <w:rFonts w:ascii="Calibri" w:eastAsia="Calibri" w:hAnsi="Calibri" w:cs="Arial"/>
          <w:b/>
          <w:bCs/>
          <w:color w:val="231F20"/>
          <w:sz w:val="24"/>
          <w:szCs w:val="24"/>
          <w:lang w:eastAsia="en-US"/>
        </w:rPr>
        <w:t>(RAS WT)</w:t>
      </w:r>
    </w:p>
    <w:p w14:paraId="1E13CD2E"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A43699">
        <w:rPr>
          <w:rFonts w:ascii="Calibri" w:eastAsia="Calibri" w:hAnsi="Calibri" w:cs="Arial"/>
          <w:bCs/>
          <w:color w:val="231F20"/>
          <w:szCs w:val="22"/>
          <w:lang w:eastAsia="en-US"/>
        </w:rPr>
        <w:t>Panitumumab 6 mg/kg i.v. über 60 Minuten, Tag 1,15</w:t>
      </w:r>
      <w:r w:rsidRPr="00A41D96">
        <w:rPr>
          <w:rFonts w:ascii="Calibri" w:eastAsia="Calibri" w:hAnsi="Calibri" w:cs="Arial"/>
          <w:b/>
          <w:bCs/>
          <w:color w:val="231F20"/>
          <w:szCs w:val="22"/>
          <w:lang w:eastAsia="en-US"/>
        </w:rPr>
        <w:br/>
      </w:r>
      <w:r w:rsidRPr="001B717E">
        <w:rPr>
          <w:rFonts w:ascii="Calibri" w:eastAsia="Calibri" w:hAnsi="Calibri" w:cs="Arial"/>
          <w:bCs/>
          <w:color w:val="231F20"/>
          <w:szCs w:val="22"/>
          <w:lang w:eastAsia="en-US"/>
        </w:rPr>
        <w:t>Irinotecan 180 mg/m² i.v. über 60-90 Minuten, Tag 1,15</w:t>
      </w:r>
    </w:p>
    <w:p w14:paraId="78B3153B"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09426921"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53C7D1A8"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33C2FC7D"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1B717E">
        <w:rPr>
          <w:rFonts w:ascii="Calibri" w:eastAsia="Calibri" w:hAnsi="Calibri" w:cs="Arial"/>
          <w:bCs/>
          <w:color w:val="231F20"/>
          <w:szCs w:val="22"/>
          <w:lang w:eastAsia="en-US"/>
        </w:rPr>
        <w:t>Wiederholung Tag 29</w:t>
      </w:r>
      <w:r w:rsidRPr="00A41D96">
        <w:rPr>
          <w:rFonts w:ascii="Calibri" w:eastAsia="Calibri" w:hAnsi="Calibri" w:cs="Arial"/>
          <w:b/>
          <w:bCs/>
          <w:color w:val="231F20"/>
          <w:szCs w:val="22"/>
          <w:lang w:eastAsia="en-US"/>
        </w:rPr>
        <w:br/>
      </w:r>
    </w:p>
    <w:p w14:paraId="5A5D14CF"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3FF43B64"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17973E47"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203CE031"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w:lastRenderedPageBreak/>
        <mc:AlternateContent>
          <mc:Choice Requires="wps">
            <w:drawing>
              <wp:anchor distT="0" distB="0" distL="114300" distR="114300" simplePos="0" relativeHeight="251650560" behindDoc="1" locked="0" layoutInCell="1" allowOverlap="1" wp14:anchorId="2BDF5CCA" wp14:editId="32F78395">
                <wp:simplePos x="0" y="0"/>
                <wp:positionH relativeFrom="margin">
                  <wp:posOffset>0</wp:posOffset>
                </wp:positionH>
                <wp:positionV relativeFrom="paragraph">
                  <wp:posOffset>-635</wp:posOffset>
                </wp:positionV>
                <wp:extent cx="6200775" cy="190500"/>
                <wp:effectExtent l="0" t="0" r="28575" b="19050"/>
                <wp:wrapNone/>
                <wp:docPr id="2062" name="Rechteck 2062"/>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4FE4B69"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F5CCA" id="Rechteck 2062" o:spid="_x0000_s1046" style="position:absolute;margin-left:0;margin-top:-.05pt;width:488.25pt;height: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M94EbGQAgAAhQUAAA4AAAAAAAAAAAAAAAAALgIAAGRycy9lMm9Eb2MueG1sUEsBAi0A&#10;FAAGAAgAAAAhADob5erbAAAABQEAAA8AAAAAAAAAAAAAAAAA6gQAAGRycy9kb3ducmV2LnhtbFBL&#10;BQYAAAAABAAEAPMAAADyBQAAAAA=&#10;" fillcolor="#92d050" strokecolor="#4e6128 [1606]" strokeweight="2pt">
                <v:textbox>
                  <w:txbxContent>
                    <w:p w14:paraId="74FE4B69"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4D7F32">
        <w:rPr>
          <w:rFonts w:ascii="Calibri" w:eastAsia="Calibri" w:hAnsi="Calibri" w:cs="Arial"/>
          <w:b/>
          <w:bCs/>
          <w:color w:val="231F20"/>
          <w:szCs w:val="22"/>
          <w:lang w:eastAsia="en-US"/>
        </w:rPr>
        <w:t>CRC: FOLFIRI (46 Stunden) + Ramucirumab (8) d1,15; q4w</w:t>
      </w:r>
    </w:p>
    <w:p w14:paraId="5A718CB1"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4D7F32">
        <w:rPr>
          <w:rFonts w:ascii="Calibri" w:eastAsia="Calibri" w:hAnsi="Calibri" w:cs="Arial"/>
          <w:bCs/>
          <w:color w:val="231F20"/>
          <w:szCs w:val="22"/>
          <w:lang w:eastAsia="en-US"/>
        </w:rPr>
        <w:t>Ramucirumab 8 mg/kg i.v. über 1 Stunde, Tag 1,15</w:t>
      </w:r>
      <w:r w:rsidRPr="00A41D96">
        <w:rPr>
          <w:rFonts w:ascii="Calibri" w:eastAsia="Calibri" w:hAnsi="Calibri" w:cs="Arial"/>
          <w:b/>
          <w:bCs/>
          <w:color w:val="231F20"/>
          <w:szCs w:val="22"/>
          <w:lang w:eastAsia="en-US"/>
        </w:rPr>
        <w:br/>
      </w:r>
      <w:r w:rsidRPr="001B717E">
        <w:rPr>
          <w:rFonts w:ascii="Calibri" w:eastAsia="Calibri" w:hAnsi="Calibri" w:cs="Arial"/>
          <w:bCs/>
          <w:color w:val="231F20"/>
          <w:szCs w:val="22"/>
          <w:lang w:eastAsia="en-US"/>
        </w:rPr>
        <w:t>Irinotecan 180 mg/m² i.v. über 60-90 Minuten, Tag 1,15</w:t>
      </w:r>
    </w:p>
    <w:p w14:paraId="512F5AC9"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Leucovorin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 xml:space="preserve"> über 2 Stunden, Tag 1,15</w:t>
      </w:r>
    </w:p>
    <w:p w14:paraId="20BAADDC" w14:textId="77777777" w:rsidR="0013623F" w:rsidRPr="001B717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 xml:space="preserve">5-FU 400 mg/m² </w:t>
      </w:r>
      <w:r w:rsidRPr="001B717E">
        <w:rPr>
          <w:rFonts w:ascii="Calibri" w:eastAsia="Calibri" w:hAnsi="Calibri" w:cs="Arial"/>
          <w:szCs w:val="22"/>
          <w:lang w:eastAsia="en-US"/>
        </w:rPr>
        <w:t xml:space="preserve">i.v. </w:t>
      </w:r>
      <w:r w:rsidRPr="001B717E">
        <w:rPr>
          <w:rFonts w:ascii="Calibri" w:eastAsia="Calibri" w:hAnsi="Calibri" w:cs="Arial"/>
          <w:bCs/>
          <w:color w:val="231F20"/>
          <w:szCs w:val="22"/>
          <w:lang w:eastAsia="en-US"/>
        </w:rPr>
        <w:t>Kurzinfusion, Tag 1,15</w:t>
      </w:r>
    </w:p>
    <w:p w14:paraId="34AC866C"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B717E">
        <w:rPr>
          <w:rFonts w:ascii="Calibri" w:eastAsia="Calibri" w:hAnsi="Calibri" w:cs="Arial"/>
          <w:bCs/>
          <w:color w:val="231F20"/>
          <w:szCs w:val="22"/>
          <w:lang w:eastAsia="en-US"/>
        </w:rPr>
        <w:t>5-FU 2400 mg/m² i.v. Dauerinfusion über 46 Stunden  Tag 1,2,15,16</w:t>
      </w:r>
    </w:p>
    <w:p w14:paraId="59ADAB3C"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Pr>
          <w:rFonts w:ascii="Calibri" w:eastAsia="Calibri" w:hAnsi="Calibri" w:cs="Arial"/>
          <w:bCs/>
          <w:color w:val="231F20"/>
          <w:szCs w:val="22"/>
          <w:lang w:eastAsia="en-US"/>
        </w:rPr>
        <w:t>Wiederholung Tag 29</w:t>
      </w:r>
    </w:p>
    <w:p w14:paraId="768EFA01"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p>
    <w:p w14:paraId="6619F711"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58752" behindDoc="1" locked="0" layoutInCell="1" allowOverlap="1" wp14:anchorId="5C7FA892" wp14:editId="2872C0C8">
                <wp:simplePos x="0" y="0"/>
                <wp:positionH relativeFrom="margin">
                  <wp:posOffset>0</wp:posOffset>
                </wp:positionH>
                <wp:positionV relativeFrom="paragraph">
                  <wp:posOffset>0</wp:posOffset>
                </wp:positionV>
                <wp:extent cx="6200775" cy="190500"/>
                <wp:effectExtent l="0" t="0" r="28575" b="19050"/>
                <wp:wrapNone/>
                <wp:docPr id="2063" name="Rechteck 2063"/>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436F5A0D"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A892" id="Rechteck 2063" o:spid="_x0000_s1047" style="position:absolute;margin-left:0;margin-top:0;width:488.25pt;height: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" fillcolor="#92d050" strokecolor="#4e6128 [1606]" strokeweight="2pt">
                <v:textbox>
                  <w:txbxContent>
                    <w:p w14:paraId="436F5A0D"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59758C">
        <w:rPr>
          <w:rFonts w:ascii="Calibri" w:eastAsia="Calibri" w:hAnsi="Calibri" w:cs="Arial"/>
          <w:b/>
          <w:bCs/>
          <w:color w:val="231F20"/>
          <w:szCs w:val="22"/>
          <w:lang w:eastAsia="en-US"/>
        </w:rPr>
        <w:t>CRC: FOLFOXIRI (46 Stunden) d1,15; q4w</w:t>
      </w:r>
    </w:p>
    <w:p w14:paraId="0D282703" w14:textId="77777777" w:rsidR="0013623F" w:rsidRPr="008508E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Irinotecan 165 mg/m² i.v. über 60-90 Minuten, Tag 1,15</w:t>
      </w:r>
      <w:r w:rsidRPr="008508EE">
        <w:rPr>
          <w:rFonts w:ascii="Calibri" w:eastAsia="Calibri" w:hAnsi="Calibri" w:cs="Arial"/>
          <w:bCs/>
          <w:color w:val="231F20"/>
          <w:szCs w:val="22"/>
          <w:lang w:eastAsia="en-US"/>
        </w:rPr>
        <w:br/>
        <w:t xml:space="preserve">Oxaliplatin 85 mg/m² </w:t>
      </w:r>
      <w:r w:rsidRPr="008508EE">
        <w:rPr>
          <w:rFonts w:ascii="Calibri" w:eastAsia="Calibri" w:hAnsi="Calibri" w:cs="Arial"/>
          <w:szCs w:val="22"/>
          <w:lang w:eastAsia="en-US"/>
        </w:rPr>
        <w:t>i.v.</w:t>
      </w:r>
      <w:r w:rsidRPr="008508EE">
        <w:rPr>
          <w:rFonts w:ascii="Calibri" w:eastAsia="Calibri" w:hAnsi="Calibri" w:cs="Arial"/>
          <w:bCs/>
          <w:color w:val="231F20"/>
          <w:szCs w:val="22"/>
          <w:lang w:eastAsia="en-US"/>
        </w:rPr>
        <w:t xml:space="preserve"> über 2 Stunden, Tag 1,15</w:t>
      </w:r>
    </w:p>
    <w:p w14:paraId="586D5DC7"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Leucovorin 200 mg/m² i.v. über 2 Stunden, Tag 1,15</w:t>
      </w:r>
      <w:r w:rsidRPr="008508EE">
        <w:rPr>
          <w:rFonts w:ascii="Calibri" w:eastAsia="Calibri" w:hAnsi="Calibri" w:cs="Arial"/>
          <w:bCs/>
          <w:color w:val="231F20"/>
          <w:szCs w:val="22"/>
          <w:lang w:eastAsia="en-US"/>
        </w:rPr>
        <w:br/>
        <w:t>5-FU 3200 mg/m² Dauerinfusion über 46 Stunden Tag 1,2,15,16</w:t>
      </w:r>
      <w:r w:rsidRPr="008508EE">
        <w:rPr>
          <w:rFonts w:ascii="Calibri" w:eastAsia="Calibri" w:hAnsi="Calibri" w:cs="Arial"/>
          <w:bCs/>
          <w:color w:val="231F20"/>
          <w:szCs w:val="22"/>
          <w:lang w:eastAsia="en-US"/>
        </w:rPr>
        <w:br/>
        <w:t>Wiederholung Tag 29</w:t>
      </w:r>
    </w:p>
    <w:p w14:paraId="76B38444" w14:textId="77777777" w:rsidR="0013623F" w:rsidRDefault="0013623F" w:rsidP="0013623F">
      <w:pPr>
        <w:spacing w:line="240" w:lineRule="auto"/>
        <w:jc w:val="left"/>
        <w:rPr>
          <w:rFonts w:ascii="Calibri" w:eastAsia="Calibri" w:hAnsi="Calibri" w:cs="Arial"/>
          <w:bCs/>
          <w:color w:val="231F20"/>
          <w:szCs w:val="22"/>
          <w:lang w:eastAsia="en-US"/>
        </w:rPr>
      </w:pPr>
    </w:p>
    <w:p w14:paraId="5FE610E6"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40320" behindDoc="1" locked="0" layoutInCell="1" allowOverlap="1" wp14:anchorId="555A8708" wp14:editId="0CFB1799">
                <wp:simplePos x="0" y="0"/>
                <wp:positionH relativeFrom="margin">
                  <wp:posOffset>0</wp:posOffset>
                </wp:positionH>
                <wp:positionV relativeFrom="paragraph">
                  <wp:posOffset>-635</wp:posOffset>
                </wp:positionV>
                <wp:extent cx="6200775" cy="190500"/>
                <wp:effectExtent l="0" t="0" r="28575" b="19050"/>
                <wp:wrapNone/>
                <wp:docPr id="2057" name="Rechteck 2057"/>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03CC563"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8708" id="Rechteck 2057" o:spid="_x0000_s1048" style="position:absolute;margin-left:0;margin-top:-.05pt;width:488.25pt;height: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" fillcolor="#92d050" strokecolor="#4e6128 [1606]" strokeweight="2pt">
                <v:textbox>
                  <w:txbxContent>
                    <w:p w14:paraId="703CC563" w14:textId="77777777" w:rsidR="0013623F" w:rsidRPr="004D6E22" w:rsidRDefault="0013623F" w:rsidP="0013623F">
                      <w:pPr>
                        <w:rPr>
                          <w:rFonts w:ascii="Calibri" w:hAnsi="Calibri" w:cs="Calibri"/>
                          <w:sz w:val="24"/>
                          <w:szCs w:val="24"/>
                        </w:rPr>
                      </w:pPr>
                    </w:p>
                  </w:txbxContent>
                </v:textbox>
                <w10:wrap anchorx="margin"/>
              </v:rect>
            </w:pict>
          </mc:Fallback>
        </mc:AlternateContent>
      </w:r>
      <w:r>
        <w:rPr>
          <w:rFonts w:ascii="Calibri" w:eastAsia="Calibri" w:hAnsi="Calibri" w:cs="Arial"/>
          <w:b/>
          <w:bCs/>
          <w:color w:val="231F20"/>
          <w:szCs w:val="22"/>
          <w:lang w:eastAsia="en-US"/>
        </w:rPr>
        <w:t>C</w:t>
      </w:r>
      <w:r w:rsidRPr="008508EE">
        <w:rPr>
          <w:rFonts w:ascii="Calibri" w:eastAsia="Calibri" w:hAnsi="Calibri" w:cs="Arial"/>
          <w:b/>
          <w:bCs/>
          <w:color w:val="231F20"/>
          <w:szCs w:val="22"/>
          <w:lang w:eastAsia="en-US"/>
        </w:rPr>
        <w:t>RC: FOLFOXIRI (46 Stunden) d1,15, Bevacizumab (5) d1,15; q4w</w:t>
      </w:r>
    </w:p>
    <w:p w14:paraId="18232C7C" w14:textId="77777777" w:rsidR="0013623F" w:rsidRPr="008508E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Bevacizumab 5 mg/kg i.v., Tag 1,15</w:t>
      </w:r>
      <w:r w:rsidRPr="008508EE">
        <w:rPr>
          <w:rFonts w:ascii="Calibri" w:eastAsia="Calibri" w:hAnsi="Calibri" w:cs="Arial"/>
          <w:bCs/>
          <w:color w:val="231F20"/>
          <w:szCs w:val="22"/>
          <w:lang w:eastAsia="en-US"/>
        </w:rPr>
        <w:br/>
        <w:t>Irinotecan 165 mg/m² i.v. über 60-90 Minuten, Tag 1,15</w:t>
      </w:r>
      <w:r w:rsidRPr="008508EE">
        <w:rPr>
          <w:rFonts w:ascii="Calibri" w:eastAsia="Calibri" w:hAnsi="Calibri" w:cs="Arial"/>
          <w:bCs/>
          <w:color w:val="231F20"/>
          <w:szCs w:val="22"/>
          <w:lang w:eastAsia="en-US"/>
        </w:rPr>
        <w:br/>
        <w:t xml:space="preserve">Oxaliplatin 85 mg/m² </w:t>
      </w:r>
      <w:r w:rsidRPr="008508EE">
        <w:rPr>
          <w:rFonts w:ascii="Calibri" w:eastAsia="Calibri" w:hAnsi="Calibri" w:cs="Arial"/>
          <w:szCs w:val="22"/>
          <w:lang w:eastAsia="en-US"/>
        </w:rPr>
        <w:t>i.v.</w:t>
      </w:r>
      <w:r w:rsidRPr="008508EE">
        <w:rPr>
          <w:rFonts w:ascii="Calibri" w:eastAsia="Calibri" w:hAnsi="Calibri" w:cs="Arial"/>
          <w:bCs/>
          <w:color w:val="231F20"/>
          <w:szCs w:val="22"/>
          <w:lang w:eastAsia="en-US"/>
        </w:rPr>
        <w:t xml:space="preserve"> über 2 Stunden, Tag 1,15</w:t>
      </w:r>
    </w:p>
    <w:p w14:paraId="186E5E3A" w14:textId="77777777" w:rsid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Leucovorin 200 mg/m² i.v. über 2 Stunden, Tag 1,15</w:t>
      </w:r>
      <w:r w:rsidRPr="008508EE">
        <w:rPr>
          <w:rFonts w:ascii="Calibri" w:eastAsia="Calibri" w:hAnsi="Calibri" w:cs="Arial"/>
          <w:bCs/>
          <w:color w:val="231F20"/>
          <w:szCs w:val="22"/>
          <w:lang w:eastAsia="en-US"/>
        </w:rPr>
        <w:br/>
        <w:t>5-FU 3200 mg/m² Dauerinfusion über 46 Stunden Tag 1,2,15,16</w:t>
      </w:r>
      <w:r w:rsidRPr="008508EE">
        <w:rPr>
          <w:rFonts w:ascii="Calibri" w:eastAsia="Calibri" w:hAnsi="Calibri" w:cs="Arial"/>
          <w:bCs/>
          <w:color w:val="231F20"/>
          <w:szCs w:val="22"/>
          <w:lang w:eastAsia="en-US"/>
        </w:rPr>
        <w:br/>
        <w:t>Wiederholung Tag 29</w:t>
      </w:r>
    </w:p>
    <w:p w14:paraId="5D218DFE" w14:textId="77777777" w:rsidR="0013623F" w:rsidRDefault="0013623F" w:rsidP="0013623F">
      <w:pPr>
        <w:spacing w:line="240" w:lineRule="auto"/>
        <w:jc w:val="left"/>
        <w:rPr>
          <w:rFonts w:ascii="Calibri" w:eastAsia="Calibri" w:hAnsi="Calibri" w:cs="Arial"/>
          <w:bCs/>
          <w:color w:val="231F20"/>
          <w:szCs w:val="22"/>
          <w:lang w:eastAsia="en-US"/>
        </w:rPr>
      </w:pPr>
    </w:p>
    <w:p w14:paraId="6B512894"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9296" behindDoc="1" locked="0" layoutInCell="1" allowOverlap="1" wp14:anchorId="17C50C52" wp14:editId="7D76610E">
                <wp:simplePos x="0" y="0"/>
                <wp:positionH relativeFrom="margin">
                  <wp:posOffset>0</wp:posOffset>
                </wp:positionH>
                <wp:positionV relativeFrom="paragraph">
                  <wp:posOffset>0</wp:posOffset>
                </wp:positionV>
                <wp:extent cx="6200775" cy="190500"/>
                <wp:effectExtent l="0" t="0" r="28575" b="19050"/>
                <wp:wrapNone/>
                <wp:docPr id="2056" name="Rechteck 2056"/>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B4A2EC2"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50C52" id="Rechteck 2056" o:spid="_x0000_s1049" style="position:absolute;margin-left:0;margin-top:0;width:488.25pt;height:1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AwycQJkQIAAIUFAAAOAAAAAAAAAAAAAAAAAC4CAABkcnMvZTJvRG9jLnhtbFBLAQIt&#10;ABQABgAIAAAAIQC1GyUw2wAAAAQBAAAPAAAAAAAAAAAAAAAAAOsEAABkcnMvZG93bnJldi54bWxQ&#10;SwUGAAAAAAQABADzAAAA8wUAAAAA&#10;" fillcolor="#92d050" strokecolor="#4e6128 [1606]" strokeweight="2pt">
                <v:textbox>
                  <w:txbxContent>
                    <w:p w14:paraId="0B4A2EC2"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8508EE">
        <w:rPr>
          <w:rFonts w:ascii="Calibri" w:eastAsia="Calibri" w:hAnsi="Calibri" w:cs="Arial"/>
          <w:b/>
          <w:bCs/>
          <w:color w:val="231F20"/>
          <w:szCs w:val="22"/>
          <w:lang w:eastAsia="en-US"/>
        </w:rPr>
        <w:t>CRC: Panitumumab (6) d1; q2w</w:t>
      </w:r>
    </w:p>
    <w:p w14:paraId="238EB7C5" w14:textId="77777777" w:rsidR="0013623F" w:rsidRPr="008508E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Panitumumab 6 mg/kg i.v. über 60 Minuten</w:t>
      </w:r>
    </w:p>
    <w:p w14:paraId="352CB9BD" w14:textId="77777777" w:rsidR="0013623F" w:rsidRPr="008508E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8508EE">
        <w:rPr>
          <w:rFonts w:ascii="Calibri" w:eastAsia="Calibri" w:hAnsi="Calibri" w:cs="Arial"/>
          <w:bCs/>
          <w:color w:val="231F20"/>
          <w:szCs w:val="22"/>
          <w:lang w:eastAsia="en-US"/>
        </w:rPr>
        <w:t>Wiederholung Tag 15</w:t>
      </w:r>
    </w:p>
    <w:p w14:paraId="0FDE51D8"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5EF67833"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8272" behindDoc="1" locked="0" layoutInCell="1" allowOverlap="1" wp14:anchorId="417649ED" wp14:editId="71FEDC0A">
                <wp:simplePos x="0" y="0"/>
                <wp:positionH relativeFrom="margin">
                  <wp:posOffset>0</wp:posOffset>
                </wp:positionH>
                <wp:positionV relativeFrom="paragraph">
                  <wp:posOffset>-635</wp:posOffset>
                </wp:positionV>
                <wp:extent cx="6200775" cy="190500"/>
                <wp:effectExtent l="0" t="0" r="28575" b="19050"/>
                <wp:wrapNone/>
                <wp:docPr id="2055" name="Rechteck 2055"/>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F88348C"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49ED" id="Rechteck 2055" o:spid="_x0000_s1050" style="position:absolute;margin-left:0;margin-top:-.05pt;width:488.25pt;height: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" fillcolor="#92d050" strokecolor="#4e6128 [1606]" strokeweight="2pt">
                <v:textbox>
                  <w:txbxContent>
                    <w:p w14:paraId="1F88348C" w14:textId="77777777" w:rsidR="0013623F" w:rsidRPr="004D6E22" w:rsidRDefault="0013623F" w:rsidP="0013623F">
                      <w:pPr>
                        <w:rPr>
                          <w:rFonts w:ascii="Calibri" w:hAnsi="Calibri" w:cs="Calibri"/>
                          <w:sz w:val="24"/>
                          <w:szCs w:val="24"/>
                        </w:rPr>
                      </w:pPr>
                    </w:p>
                  </w:txbxContent>
                </v:textbox>
                <w10:wrap anchorx="margin"/>
              </v:rect>
            </w:pict>
          </mc:Fallback>
        </mc:AlternateContent>
      </w:r>
      <w:r>
        <w:rPr>
          <w:rFonts w:ascii="Calibri" w:eastAsia="Calibri" w:hAnsi="Calibri" w:cs="Arial"/>
          <w:b/>
          <w:bCs/>
          <w:color w:val="231F20"/>
          <w:szCs w:val="22"/>
          <w:lang w:eastAsia="en-US"/>
        </w:rPr>
        <w:t>Irinotecan Monotherapie:</w:t>
      </w:r>
    </w:p>
    <w:p w14:paraId="306E273A"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Irinotecan 300-350 mg/m² i.v. alle 3 Wochen</w:t>
      </w:r>
    </w:p>
    <w:p w14:paraId="0CE3A8BA"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oder Irinotecan 180 mg/m² i.v. alle 2 Wochen</w:t>
      </w:r>
    </w:p>
    <w:p w14:paraId="14CC9415" w14:textId="77777777" w:rsidR="0013623F" w:rsidRPr="0013623F" w:rsidRDefault="0013623F" w:rsidP="0013623F">
      <w:pPr>
        <w:autoSpaceDE w:val="0"/>
        <w:autoSpaceDN w:val="0"/>
        <w:adjustRightInd w:val="0"/>
        <w:spacing w:line="240" w:lineRule="auto"/>
        <w:jc w:val="left"/>
        <w:rPr>
          <w:rFonts w:ascii="Calibri" w:eastAsia="Calibri" w:hAnsi="Calibri" w:cs="Arial"/>
          <w:b/>
          <w:bCs/>
          <w:color w:val="231F20"/>
          <w:szCs w:val="22"/>
          <w:lang w:val="en-GB" w:eastAsia="en-US"/>
        </w:rPr>
      </w:pPr>
      <w:r w:rsidRPr="0013623F">
        <w:rPr>
          <w:rFonts w:ascii="Calibri" w:eastAsia="Calibri" w:hAnsi="Calibri" w:cs="Arial"/>
          <w:b/>
          <w:bCs/>
          <w:color w:val="231F20"/>
          <w:szCs w:val="22"/>
          <w:lang w:val="en-GB" w:eastAsia="en-US"/>
        </w:rPr>
        <w:t>CRC: Irinotecan (180) d1; q2w</w:t>
      </w:r>
    </w:p>
    <w:p w14:paraId="07599910" w14:textId="77777777" w:rsidR="0013623F" w:rsidRPr="0013623F" w:rsidRDefault="0013623F" w:rsidP="0013623F">
      <w:pPr>
        <w:autoSpaceDE w:val="0"/>
        <w:autoSpaceDN w:val="0"/>
        <w:adjustRightInd w:val="0"/>
        <w:spacing w:line="240" w:lineRule="auto"/>
        <w:jc w:val="left"/>
        <w:rPr>
          <w:rFonts w:ascii="Calibri" w:eastAsia="Calibri" w:hAnsi="Calibri" w:cs="Arial"/>
          <w:b/>
          <w:bCs/>
          <w:color w:val="231F20"/>
          <w:szCs w:val="22"/>
          <w:lang w:val="en-GB" w:eastAsia="en-US"/>
        </w:rPr>
      </w:pPr>
    </w:p>
    <w:p w14:paraId="1351AD78" w14:textId="77777777" w:rsidR="0013623F" w:rsidRPr="0013623F" w:rsidRDefault="0013623F" w:rsidP="0013623F">
      <w:pPr>
        <w:autoSpaceDE w:val="0"/>
        <w:autoSpaceDN w:val="0"/>
        <w:adjustRightInd w:val="0"/>
        <w:spacing w:line="240" w:lineRule="auto"/>
        <w:jc w:val="left"/>
        <w:rPr>
          <w:rFonts w:ascii="Calibri" w:eastAsia="Calibri" w:hAnsi="Calibri" w:cs="Arial"/>
          <w:b/>
          <w:bCs/>
          <w:color w:val="231F20"/>
          <w:szCs w:val="22"/>
          <w:lang w:val="en-GB"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7248" behindDoc="1" locked="0" layoutInCell="1" allowOverlap="1" wp14:anchorId="594C6EC2" wp14:editId="6441DD85">
                <wp:simplePos x="0" y="0"/>
                <wp:positionH relativeFrom="margin">
                  <wp:posOffset>0</wp:posOffset>
                </wp:positionH>
                <wp:positionV relativeFrom="paragraph">
                  <wp:posOffset>0</wp:posOffset>
                </wp:positionV>
                <wp:extent cx="6200775" cy="190500"/>
                <wp:effectExtent l="0" t="0" r="28575" b="19050"/>
                <wp:wrapNone/>
                <wp:docPr id="2054" name="Rechteck 2054"/>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65E724D"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C6EC2" id="Rechteck 2054" o:spid="_x0000_s1051" style="position:absolute;margin-left:0;margin-top:0;width:488.25pt;height:1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CwkgLWkQIAAIUFAAAOAAAAAAAAAAAAAAAAAC4CAABkcnMvZTJvRG9jLnhtbFBLAQIt&#10;ABQABgAIAAAAIQC1GyUw2wAAAAQBAAAPAAAAAAAAAAAAAAAAAOsEAABkcnMvZG93bnJldi54bWxQ&#10;SwUGAAAAAAQABADzAAAA8wUAAAAA&#10;" fillcolor="#92d050" strokecolor="#4e6128 [1606]" strokeweight="2pt">
                <v:textbox>
                  <w:txbxContent>
                    <w:p w14:paraId="165E724D"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13623F">
        <w:rPr>
          <w:rFonts w:ascii="Calibri" w:eastAsia="Calibri" w:hAnsi="Calibri" w:cs="Arial"/>
          <w:b/>
          <w:bCs/>
          <w:color w:val="231F20"/>
          <w:szCs w:val="22"/>
          <w:lang w:val="en-GB" w:eastAsia="en-US"/>
        </w:rPr>
        <w:t>CRC: Irinotecan (180) d1, Bevacizumab (5) d1; q2w</w:t>
      </w:r>
    </w:p>
    <w:p w14:paraId="3F787FFA"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Bevacizumab 5 mg/kg i.v., Tag 1</w:t>
      </w:r>
    </w:p>
    <w:p w14:paraId="0CD27A2E"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Irinotecan 180 mg/m² i.v. über 60-90 Minuten, Tag 1</w:t>
      </w:r>
    </w:p>
    <w:p w14:paraId="01A600D2"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Wiederholung Tag 15</w:t>
      </w:r>
    </w:p>
    <w:p w14:paraId="587A1E0D"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5FDFC78B"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6224" behindDoc="1" locked="0" layoutInCell="1" allowOverlap="1" wp14:anchorId="4DDC1760" wp14:editId="0F799279">
                <wp:simplePos x="0" y="0"/>
                <wp:positionH relativeFrom="margin">
                  <wp:posOffset>0</wp:posOffset>
                </wp:positionH>
                <wp:positionV relativeFrom="paragraph">
                  <wp:posOffset>0</wp:posOffset>
                </wp:positionV>
                <wp:extent cx="6200775" cy="190500"/>
                <wp:effectExtent l="0" t="0" r="28575" b="19050"/>
                <wp:wrapNone/>
                <wp:docPr id="2053" name="Rechteck 2053"/>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63E15D3B"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1760" id="Rechteck 2053" o:spid="_x0000_s1052" style="position:absolute;margin-left:0;margin-top:0;width:488.25pt;height: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BqlV53kQIAAIUFAAAOAAAAAAAAAAAAAAAAAC4CAABkcnMvZTJvRG9jLnhtbFBLAQIt&#10;ABQABgAIAAAAIQC1GyUw2wAAAAQBAAAPAAAAAAAAAAAAAAAAAOsEAABkcnMvZG93bnJldi54bWxQ&#10;SwUGAAAAAAQABADzAAAA8wUAAAAA&#10;" fillcolor="#92d050" strokecolor="#4e6128 [1606]" strokeweight="2pt">
                <v:textbox>
                  <w:txbxContent>
                    <w:p w14:paraId="63E15D3B"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EB05DC">
        <w:rPr>
          <w:rFonts w:ascii="Calibri" w:eastAsia="Calibri" w:hAnsi="Calibri" w:cs="Arial"/>
          <w:b/>
          <w:bCs/>
          <w:color w:val="231F20"/>
          <w:szCs w:val="22"/>
          <w:lang w:eastAsia="en-US"/>
        </w:rPr>
        <w:t>CRC: Irinotecan (180) d1, Cetuximab (500) d1; q2w</w:t>
      </w:r>
      <w:r>
        <w:rPr>
          <w:rFonts w:ascii="Calibri" w:eastAsia="Calibri" w:hAnsi="Calibri" w:cs="Arial"/>
          <w:b/>
          <w:bCs/>
          <w:color w:val="231F20"/>
          <w:szCs w:val="22"/>
          <w:lang w:eastAsia="en-US"/>
        </w:rPr>
        <w:t xml:space="preserve"> (RAS WT)</w:t>
      </w:r>
    </w:p>
    <w:p w14:paraId="26F6F73D" w14:textId="77777777" w:rsidR="0013623F" w:rsidRPr="006D591E"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Irinotecan 180 mg/m² i.v. über 60-90 Minuten, Tag 1</w:t>
      </w:r>
      <w:r>
        <w:rPr>
          <w:rFonts w:ascii="Calibri" w:eastAsia="Calibri" w:hAnsi="Calibri" w:cs="Arial"/>
          <w:bCs/>
          <w:color w:val="231F20"/>
          <w:szCs w:val="22"/>
          <w:lang w:eastAsia="en-US"/>
        </w:rPr>
        <w:t xml:space="preserve"> +</w:t>
      </w:r>
    </w:p>
    <w:p w14:paraId="6B77AD88" w14:textId="77777777" w:rsidR="0013623F" w:rsidRPr="006D591E" w:rsidRDefault="0013623F" w:rsidP="0013623F">
      <w:pPr>
        <w:spacing w:line="276"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Cetuximab 500 mg/m²  i.v. über 2 Stunden, Tag 1</w:t>
      </w:r>
    </w:p>
    <w:p w14:paraId="69493A75" w14:textId="77777777" w:rsidR="0013623F" w:rsidRPr="006D591E" w:rsidRDefault="0013623F" w:rsidP="0013623F">
      <w:pPr>
        <w:spacing w:line="276"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 xml:space="preserve">Wiederholung Tag 15 </w:t>
      </w:r>
    </w:p>
    <w:p w14:paraId="395484AE" w14:textId="77777777" w:rsidR="0013623F" w:rsidRDefault="0013623F" w:rsidP="0013623F">
      <w:pPr>
        <w:spacing w:line="276" w:lineRule="auto"/>
        <w:jc w:val="left"/>
        <w:rPr>
          <w:rFonts w:ascii="Calibri" w:eastAsia="Calibri" w:hAnsi="Calibri" w:cs="Arial"/>
          <w:bCs/>
          <w:color w:val="231F20"/>
          <w:szCs w:val="22"/>
          <w:lang w:eastAsia="en-US"/>
        </w:rPr>
      </w:pPr>
      <w:r w:rsidRPr="006D591E">
        <w:rPr>
          <w:rFonts w:ascii="Calibri" w:eastAsia="Calibri" w:hAnsi="Calibri" w:cs="Arial"/>
          <w:bCs/>
          <w:color w:val="231F20"/>
          <w:szCs w:val="22"/>
          <w:lang w:eastAsia="en-US"/>
        </w:rPr>
        <w:t>oder</w:t>
      </w:r>
      <w:r w:rsidRPr="006D591E">
        <w:rPr>
          <w:rFonts w:ascii="Calibri" w:eastAsia="Calibri" w:hAnsi="Calibri" w:cs="Arial"/>
          <w:bCs/>
          <w:color w:val="231F20"/>
          <w:szCs w:val="22"/>
          <w:lang w:eastAsia="en-US"/>
        </w:rPr>
        <w:br/>
        <w:t>Cetuximab 400 mg/m² i.v. über 2 Stunden erste Infusion, dann 250 mg/m²  i.v.</w:t>
      </w:r>
      <w:r w:rsidRPr="006D591E">
        <w:rPr>
          <w:rFonts w:ascii="Calibri" w:eastAsia="Calibri" w:hAnsi="Calibri" w:cs="Arial"/>
          <w:bCs/>
          <w:color w:val="231F20"/>
          <w:szCs w:val="22"/>
          <w:lang w:eastAsia="en-US"/>
        </w:rPr>
        <w:br/>
        <w:t xml:space="preserve">über 60 Minuten wöchentlich </w:t>
      </w:r>
      <w:r w:rsidRPr="006D591E">
        <w:rPr>
          <w:rFonts w:ascii="Calibri" w:eastAsia="Calibri" w:hAnsi="Calibri" w:cs="Arial"/>
          <w:bCs/>
          <w:color w:val="231F20"/>
          <w:szCs w:val="22"/>
          <w:lang w:eastAsia="en-US"/>
        </w:rPr>
        <w:br/>
      </w:r>
    </w:p>
    <w:p w14:paraId="7A72C972"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5200" behindDoc="1" locked="0" layoutInCell="1" allowOverlap="1" wp14:anchorId="45F4E235" wp14:editId="5E96D236">
                <wp:simplePos x="0" y="0"/>
                <wp:positionH relativeFrom="margin">
                  <wp:posOffset>0</wp:posOffset>
                </wp:positionH>
                <wp:positionV relativeFrom="paragraph">
                  <wp:posOffset>0</wp:posOffset>
                </wp:positionV>
                <wp:extent cx="6200775" cy="190500"/>
                <wp:effectExtent l="0" t="0" r="28575" b="19050"/>
                <wp:wrapNone/>
                <wp:docPr id="2052" name="Rechteck 2052"/>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6062C158"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4E235" id="Rechteck 2052" o:spid="_x0000_s1053" style="position:absolute;margin-left:0;margin-top:0;width:488.25pt;height: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" fillcolor="#92d050" strokecolor="#4e6128 [1606]" strokeweight="2pt">
                <v:textbox>
                  <w:txbxContent>
                    <w:p w14:paraId="6062C158"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FE4B67">
        <w:rPr>
          <w:rFonts w:ascii="Calibri" w:eastAsia="Calibri" w:hAnsi="Calibri" w:cs="Arial"/>
          <w:b/>
          <w:bCs/>
          <w:color w:val="231F20"/>
          <w:szCs w:val="22"/>
          <w:lang w:eastAsia="en-US"/>
        </w:rPr>
        <w:t>CRC: Bevacizumab (7,5) d1;q3w</w:t>
      </w:r>
    </w:p>
    <w:p w14:paraId="20A70A22" w14:textId="77777777" w:rsidR="0013623F" w:rsidRPr="007720A1"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7720A1">
        <w:rPr>
          <w:rFonts w:ascii="Calibri" w:eastAsia="Calibri" w:hAnsi="Calibri" w:cs="Arial"/>
          <w:bCs/>
          <w:color w:val="231F20"/>
          <w:szCs w:val="22"/>
          <w:lang w:eastAsia="en-US"/>
        </w:rPr>
        <w:t>Bevacizumab Erhaltung</w:t>
      </w:r>
    </w:p>
    <w:p w14:paraId="433C8D99"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0510F8DB"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7727ADF7"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4849D6B7"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p>
    <w:p w14:paraId="53BEF93B" w14:textId="77777777" w:rsidR="0013623F"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A41D96">
        <w:rPr>
          <w:rFonts w:ascii="Calibri" w:eastAsia="Calibri" w:hAnsi="Calibri" w:cs="Arial"/>
          <w:b/>
          <w:bCs/>
          <w:color w:val="231F20"/>
          <w:szCs w:val="22"/>
          <w:lang w:eastAsia="en-US"/>
        </w:rPr>
        <w:lastRenderedPageBreak/>
        <w:br/>
      </w: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4176" behindDoc="1" locked="0" layoutInCell="1" allowOverlap="1" wp14:anchorId="5B0B3BFB" wp14:editId="5908E845">
                <wp:simplePos x="0" y="0"/>
                <wp:positionH relativeFrom="margin">
                  <wp:posOffset>0</wp:posOffset>
                </wp:positionH>
                <wp:positionV relativeFrom="paragraph">
                  <wp:posOffset>170180</wp:posOffset>
                </wp:positionV>
                <wp:extent cx="6200775" cy="190500"/>
                <wp:effectExtent l="0" t="0" r="28575" b="19050"/>
                <wp:wrapNone/>
                <wp:docPr id="2051" name="Rechteck 2051"/>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6628C2EE"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B3BFB" id="Rechteck 2051" o:spid="_x0000_s1054" style="position:absolute;margin-left:0;margin-top:13.4pt;width:488.25pt;height:1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" fillcolor="#92d050" strokecolor="#4e6128 [1606]" strokeweight="2pt">
                <v:textbox>
                  <w:txbxContent>
                    <w:p w14:paraId="6628C2EE"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A41D96">
        <w:rPr>
          <w:rFonts w:ascii="Calibri" w:eastAsia="Calibri" w:hAnsi="Calibri" w:cs="Arial"/>
          <w:b/>
          <w:bCs/>
          <w:color w:val="231F20"/>
          <w:szCs w:val="22"/>
          <w:lang w:eastAsia="en-US"/>
        </w:rPr>
        <w:t>Regorafenib</w:t>
      </w:r>
    </w:p>
    <w:p w14:paraId="606C2299" w14:textId="77777777" w:rsidR="0013623F" w:rsidRPr="00A41D96" w:rsidRDefault="0013623F" w:rsidP="0013623F">
      <w:pPr>
        <w:autoSpaceDE w:val="0"/>
        <w:autoSpaceDN w:val="0"/>
        <w:adjustRightInd w:val="0"/>
        <w:spacing w:line="240" w:lineRule="auto"/>
        <w:jc w:val="left"/>
        <w:rPr>
          <w:rFonts w:ascii="Calibri" w:eastAsia="Calibri" w:hAnsi="Calibri" w:cs="Arial"/>
          <w:b/>
          <w:bCs/>
          <w:color w:val="231F20"/>
          <w:szCs w:val="22"/>
          <w:lang w:eastAsia="en-US"/>
        </w:rPr>
      </w:pPr>
      <w:r w:rsidRPr="007720A1">
        <w:rPr>
          <w:rFonts w:ascii="Calibri" w:eastAsia="Calibri" w:hAnsi="Calibri" w:cs="Arial"/>
          <w:bCs/>
          <w:color w:val="231F20"/>
          <w:szCs w:val="22"/>
          <w:lang w:eastAsia="en-US"/>
        </w:rPr>
        <w:t>160 mg p.o. täglich, Tage 1-21</w:t>
      </w:r>
    </w:p>
    <w:p w14:paraId="2F784371" w14:textId="77777777" w:rsidR="0013623F" w:rsidRPr="007720A1"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7720A1">
        <w:rPr>
          <w:rFonts w:ascii="Calibri" w:eastAsia="Calibri" w:hAnsi="Calibri" w:cs="Arial"/>
          <w:bCs/>
          <w:color w:val="231F20"/>
          <w:szCs w:val="22"/>
          <w:lang w:eastAsia="en-US"/>
        </w:rPr>
        <w:t>Wiederholung Tag 29</w:t>
      </w:r>
    </w:p>
    <w:p w14:paraId="33C00331" w14:textId="77777777" w:rsidR="0013623F" w:rsidRPr="007720A1" w:rsidRDefault="0013623F" w:rsidP="0013623F">
      <w:pPr>
        <w:autoSpaceDE w:val="0"/>
        <w:autoSpaceDN w:val="0"/>
        <w:adjustRightInd w:val="0"/>
        <w:spacing w:line="240" w:lineRule="auto"/>
        <w:jc w:val="left"/>
        <w:rPr>
          <w:rFonts w:ascii="Calibri" w:eastAsia="Calibri" w:hAnsi="Calibri" w:cs="Arial"/>
          <w:bCs/>
          <w:szCs w:val="22"/>
          <w:lang w:eastAsia="en-US"/>
        </w:rPr>
      </w:pPr>
      <w:r w:rsidRPr="007720A1">
        <w:rPr>
          <w:rFonts w:ascii="Calibri" w:eastAsia="Calibri" w:hAnsi="Calibri" w:cs="Arial"/>
          <w:bCs/>
          <w:szCs w:val="22"/>
          <w:lang w:eastAsia="en-US"/>
        </w:rPr>
        <w:t>Alternative Regorafenib-Dosierung bei 1. Zyklus (ReDOS-Studie):</w:t>
      </w:r>
    </w:p>
    <w:p w14:paraId="68475108" w14:textId="77777777" w:rsidR="0013623F" w:rsidRPr="007720A1" w:rsidRDefault="0013623F" w:rsidP="0013623F">
      <w:pPr>
        <w:autoSpaceDE w:val="0"/>
        <w:autoSpaceDN w:val="0"/>
        <w:adjustRightInd w:val="0"/>
        <w:spacing w:line="240" w:lineRule="auto"/>
        <w:jc w:val="left"/>
        <w:rPr>
          <w:rFonts w:ascii="Calibri" w:eastAsia="Calibri" w:hAnsi="Calibri" w:cs="Arial"/>
          <w:bCs/>
          <w:szCs w:val="22"/>
          <w:lang w:eastAsia="en-US"/>
        </w:rPr>
      </w:pPr>
      <w:r w:rsidRPr="007720A1">
        <w:rPr>
          <w:rFonts w:ascii="Calibri" w:eastAsia="Calibri" w:hAnsi="Calibri" w:cs="Arial"/>
          <w:bCs/>
          <w:szCs w:val="22"/>
          <w:lang w:eastAsia="en-US"/>
        </w:rPr>
        <w:t>Woche 1: 80mg; Woche 2: 120mg; Woche 3: 160mg</w:t>
      </w:r>
    </w:p>
    <w:p w14:paraId="12FC7EC5" w14:textId="77777777" w:rsidR="0013623F" w:rsidRPr="00A41D96" w:rsidRDefault="0013623F" w:rsidP="0013623F">
      <w:pPr>
        <w:autoSpaceDE w:val="0"/>
        <w:autoSpaceDN w:val="0"/>
        <w:adjustRightInd w:val="0"/>
        <w:spacing w:line="240" w:lineRule="auto"/>
        <w:jc w:val="left"/>
        <w:rPr>
          <w:rFonts w:ascii="Calibri" w:eastAsia="Calibri" w:hAnsi="Calibri" w:cs="ArialMT-Bold"/>
          <w:b/>
          <w:bCs/>
          <w:szCs w:val="22"/>
          <w:lang w:eastAsia="en-US"/>
        </w:rPr>
      </w:pPr>
    </w:p>
    <w:p w14:paraId="7B97FD64" w14:textId="77777777" w:rsidR="0013623F" w:rsidRPr="0013623F" w:rsidRDefault="0013623F" w:rsidP="0013623F">
      <w:pPr>
        <w:autoSpaceDE w:val="0"/>
        <w:autoSpaceDN w:val="0"/>
        <w:adjustRightInd w:val="0"/>
        <w:spacing w:line="240" w:lineRule="auto"/>
        <w:jc w:val="left"/>
        <w:rPr>
          <w:rFonts w:ascii="Calibri" w:eastAsia="Calibri" w:hAnsi="Calibri" w:cs="ArialMT-Bold"/>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3152" behindDoc="1" locked="0" layoutInCell="1" allowOverlap="1" wp14:anchorId="45C381F9" wp14:editId="785DFE4D">
                <wp:simplePos x="0" y="0"/>
                <wp:positionH relativeFrom="margin">
                  <wp:posOffset>0</wp:posOffset>
                </wp:positionH>
                <wp:positionV relativeFrom="paragraph">
                  <wp:posOffset>-635</wp:posOffset>
                </wp:positionV>
                <wp:extent cx="6200775" cy="190500"/>
                <wp:effectExtent l="0" t="0" r="28575" b="19050"/>
                <wp:wrapNone/>
                <wp:docPr id="2049" name="Rechteck 2049"/>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CB568AF"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381F9" id="Rechteck 2049" o:spid="_x0000_s1055" style="position:absolute;margin-left:0;margin-top:-.05pt;width:488.25pt;height: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" fillcolor="#92d050" strokecolor="#4e6128 [1606]" strokeweight="2pt">
                <v:textbox>
                  <w:txbxContent>
                    <w:p w14:paraId="3CB568AF"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13623F">
        <w:rPr>
          <w:rFonts w:ascii="Calibri" w:eastAsia="Calibri" w:hAnsi="Calibri" w:cs="ArialMT-Bold"/>
          <w:b/>
          <w:bCs/>
          <w:color w:val="231F20"/>
          <w:szCs w:val="22"/>
          <w:lang w:eastAsia="en-US"/>
        </w:rPr>
        <w:t>Trifluridin/Tipiracil</w:t>
      </w:r>
    </w:p>
    <w:p w14:paraId="10E0DD84" w14:textId="77777777" w:rsidR="0013623F" w:rsidRPr="0013623F" w:rsidRDefault="0013623F" w:rsidP="0013623F">
      <w:pPr>
        <w:autoSpaceDE w:val="0"/>
        <w:autoSpaceDN w:val="0"/>
        <w:adjustRightInd w:val="0"/>
        <w:spacing w:line="240" w:lineRule="auto"/>
        <w:jc w:val="left"/>
        <w:rPr>
          <w:rFonts w:ascii="Calibri" w:eastAsia="Calibri" w:hAnsi="Calibri" w:cs="Arial"/>
          <w:bCs/>
          <w:color w:val="231F20"/>
          <w:szCs w:val="22"/>
          <w:lang w:eastAsia="en-US"/>
        </w:rPr>
      </w:pPr>
      <w:r w:rsidRPr="0013623F">
        <w:rPr>
          <w:rFonts w:ascii="Calibri" w:eastAsia="Calibri" w:hAnsi="Calibri" w:cs="ArialMT-Bold"/>
          <w:bCs/>
          <w:color w:val="231F20"/>
          <w:szCs w:val="22"/>
          <w:lang w:eastAsia="en-US"/>
        </w:rPr>
        <w:t>35 mg/</w:t>
      </w:r>
      <w:r w:rsidRPr="0013623F">
        <w:rPr>
          <w:rFonts w:ascii="Calibri" w:eastAsia="Calibri" w:hAnsi="Calibri" w:cs="Arial"/>
          <w:bCs/>
          <w:color w:val="231F20"/>
          <w:szCs w:val="22"/>
          <w:lang w:eastAsia="en-US"/>
        </w:rPr>
        <w:t xml:space="preserve"> m² p.o. 2 x täglich, Tage 1-5 und 8-12 (maximale Einzeldosis 80mg)</w:t>
      </w:r>
    </w:p>
    <w:p w14:paraId="1D9ED1EB" w14:textId="77777777" w:rsidR="0013623F" w:rsidRPr="007720A1" w:rsidRDefault="0013623F" w:rsidP="0013623F">
      <w:pPr>
        <w:autoSpaceDE w:val="0"/>
        <w:autoSpaceDN w:val="0"/>
        <w:adjustRightInd w:val="0"/>
        <w:spacing w:line="240" w:lineRule="auto"/>
        <w:jc w:val="left"/>
        <w:rPr>
          <w:rFonts w:ascii="Calibri" w:eastAsia="Calibri" w:hAnsi="Calibri" w:cs="ArialMT-Bold"/>
          <w:bCs/>
          <w:color w:val="231F20"/>
          <w:szCs w:val="22"/>
          <w:lang w:eastAsia="en-US"/>
        </w:rPr>
      </w:pPr>
      <w:r w:rsidRPr="007720A1">
        <w:rPr>
          <w:rFonts w:ascii="Calibri" w:eastAsia="Calibri" w:hAnsi="Calibri" w:cs="Arial"/>
          <w:bCs/>
          <w:color w:val="231F20"/>
          <w:szCs w:val="22"/>
          <w:lang w:eastAsia="en-US"/>
        </w:rPr>
        <w:t>Wiederholung Tag 29</w:t>
      </w:r>
    </w:p>
    <w:bookmarkEnd w:id="131"/>
    <w:bookmarkEnd w:id="132"/>
    <w:p w14:paraId="70E7EA5A" w14:textId="77777777" w:rsidR="0013623F" w:rsidRPr="00A41D96" w:rsidRDefault="0013623F" w:rsidP="0013623F">
      <w:pPr>
        <w:spacing w:line="240" w:lineRule="auto"/>
        <w:jc w:val="left"/>
        <w:rPr>
          <w:rFonts w:ascii="Calibri" w:hAnsi="Calibri" w:cs="Arial"/>
          <w:b/>
          <w:bCs/>
          <w:kern w:val="32"/>
          <w:szCs w:val="32"/>
        </w:rPr>
      </w:pPr>
    </w:p>
    <w:p w14:paraId="0C167190" w14:textId="77777777" w:rsidR="0013623F" w:rsidRDefault="0013623F" w:rsidP="0013623F">
      <w:pPr>
        <w:spacing w:line="240" w:lineRule="auto"/>
        <w:jc w:val="left"/>
        <w:rPr>
          <w:rFonts w:ascii="Calibri" w:eastAsia="Calibri" w:hAnsi="Calibri" w:cs="ArialMT-Bold"/>
          <w:b/>
          <w:bCs/>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2128" behindDoc="1" locked="0" layoutInCell="1" allowOverlap="1" wp14:anchorId="48F1CFCD" wp14:editId="7FBDC0D0">
                <wp:simplePos x="0" y="0"/>
                <wp:positionH relativeFrom="margin">
                  <wp:posOffset>0</wp:posOffset>
                </wp:positionH>
                <wp:positionV relativeFrom="paragraph">
                  <wp:posOffset>0</wp:posOffset>
                </wp:positionV>
                <wp:extent cx="6200775" cy="190500"/>
                <wp:effectExtent l="0" t="0" r="28575" b="19050"/>
                <wp:wrapNone/>
                <wp:docPr id="38" name="Rechteck 38"/>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6CFD23C"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1CFCD" id="Rechteck 38" o:spid="_x0000_s1056" style="position:absolute;margin-left:0;margin-top:0;width:488.25pt;height:1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" fillcolor="#92d050" strokecolor="#4e6128 [1606]" strokeweight="2pt">
                <v:textbox>
                  <w:txbxContent>
                    <w:p w14:paraId="76CFD23C"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FE4B67">
        <w:rPr>
          <w:rFonts w:ascii="Calibri" w:eastAsia="Calibri" w:hAnsi="Calibri" w:cs="ArialMT-Bold"/>
          <w:b/>
          <w:bCs/>
          <w:szCs w:val="22"/>
          <w:lang w:eastAsia="en-US"/>
        </w:rPr>
        <w:t>CRC: Pembrolizumab (200) d1; q3w</w:t>
      </w:r>
      <w:r>
        <w:rPr>
          <w:rFonts w:ascii="Calibri" w:eastAsia="Calibri" w:hAnsi="Calibri" w:cs="ArialMT-Bold"/>
          <w:b/>
          <w:bCs/>
          <w:szCs w:val="22"/>
          <w:lang w:eastAsia="en-US"/>
        </w:rPr>
        <w:t xml:space="preserve"> (MSI-H)</w:t>
      </w:r>
    </w:p>
    <w:p w14:paraId="540F6652" w14:textId="77777777" w:rsidR="0013623F" w:rsidRDefault="0013623F" w:rsidP="00C83949">
      <w:pPr>
        <w:tabs>
          <w:tab w:val="left" w:pos="4010"/>
        </w:tabs>
        <w:spacing w:line="240" w:lineRule="auto"/>
        <w:jc w:val="left"/>
        <w:rPr>
          <w:rFonts w:ascii="Calibri" w:eastAsia="Calibri" w:hAnsi="Calibri" w:cs="ArialMT-Bold"/>
          <w:b/>
          <w:bCs/>
          <w:szCs w:val="22"/>
          <w:lang w:eastAsia="en-US"/>
        </w:rPr>
      </w:pPr>
    </w:p>
    <w:p w14:paraId="6DD53CCA" w14:textId="77777777" w:rsidR="00C83949" w:rsidRDefault="00C83949" w:rsidP="0013623F">
      <w:pPr>
        <w:spacing w:line="240" w:lineRule="auto"/>
        <w:jc w:val="left"/>
        <w:rPr>
          <w:rFonts w:ascii="Calibri" w:eastAsia="Calibri" w:hAnsi="Calibri" w:cs="ArialMT-Bold"/>
          <w:b/>
          <w:bCs/>
          <w:color w:val="231F20"/>
          <w:szCs w:val="22"/>
          <w:lang w:eastAsia="en-US"/>
        </w:rPr>
      </w:pPr>
    </w:p>
    <w:p w14:paraId="288A0BE4" w14:textId="77777777" w:rsidR="00C83949" w:rsidRDefault="00C83949" w:rsidP="00C83949">
      <w:pPr>
        <w:spacing w:line="240" w:lineRule="auto"/>
        <w:jc w:val="left"/>
        <w:rPr>
          <w:rFonts w:ascii="Calibri" w:eastAsia="Calibri" w:hAnsi="Calibri" w:cs="ArialMT-Bold"/>
          <w:b/>
          <w:bCs/>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84352" behindDoc="1" locked="0" layoutInCell="1" allowOverlap="1" wp14:anchorId="2D9AE77F" wp14:editId="2AAFB766">
                <wp:simplePos x="0" y="0"/>
                <wp:positionH relativeFrom="margin">
                  <wp:posOffset>0</wp:posOffset>
                </wp:positionH>
                <wp:positionV relativeFrom="paragraph">
                  <wp:posOffset>-635</wp:posOffset>
                </wp:positionV>
                <wp:extent cx="6200775" cy="190500"/>
                <wp:effectExtent l="0" t="0" r="28575" b="19050"/>
                <wp:wrapNone/>
                <wp:docPr id="16" name="Rechteck 16"/>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A785F3C" w14:textId="77777777" w:rsidR="00C83949" w:rsidRPr="004D6E22" w:rsidRDefault="00C83949" w:rsidP="00C83949">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E77F" id="Rechteck 16" o:spid="_x0000_s1057" style="position:absolute;margin-left:0;margin-top:-.05pt;width:488.25pt;height:1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" fillcolor="#92d050" strokecolor="#4e6128 [1606]" strokeweight="2pt">
                <v:textbox>
                  <w:txbxContent>
                    <w:p w14:paraId="1A785F3C" w14:textId="77777777" w:rsidR="00C83949" w:rsidRPr="004D6E22" w:rsidRDefault="00C83949" w:rsidP="00C83949">
                      <w:pPr>
                        <w:rPr>
                          <w:rFonts w:ascii="Calibri" w:hAnsi="Calibri" w:cs="Calibri"/>
                          <w:sz w:val="24"/>
                          <w:szCs w:val="24"/>
                        </w:rPr>
                      </w:pPr>
                    </w:p>
                  </w:txbxContent>
                </v:textbox>
                <w10:wrap anchorx="margin"/>
              </v:rect>
            </w:pict>
          </mc:Fallback>
        </mc:AlternateContent>
      </w:r>
      <w:r>
        <w:rPr>
          <w:rFonts w:ascii="Calibri" w:eastAsia="Calibri" w:hAnsi="Calibri" w:cs="ArialMT-Bold"/>
          <w:b/>
          <w:bCs/>
          <w:szCs w:val="22"/>
          <w:lang w:eastAsia="en-US"/>
        </w:rPr>
        <w:t>CRC: Pembrolizumab (400) d1;q6w</w:t>
      </w:r>
    </w:p>
    <w:p w14:paraId="52F70311" w14:textId="77777777" w:rsidR="00C83949" w:rsidRDefault="00C83949" w:rsidP="00C83949">
      <w:pPr>
        <w:spacing w:line="240" w:lineRule="auto"/>
        <w:jc w:val="left"/>
        <w:rPr>
          <w:rFonts w:ascii="Calibri" w:eastAsia="Calibri" w:hAnsi="Calibri" w:cs="ArialMT-Bold"/>
          <w:b/>
          <w:bCs/>
          <w:color w:val="231F20"/>
          <w:szCs w:val="22"/>
          <w:lang w:eastAsia="en-US"/>
        </w:rPr>
      </w:pPr>
    </w:p>
    <w:p w14:paraId="693D89D3" w14:textId="77777777" w:rsidR="00C83949" w:rsidRDefault="00C83949" w:rsidP="0013623F">
      <w:pPr>
        <w:spacing w:line="240" w:lineRule="auto"/>
        <w:jc w:val="left"/>
        <w:rPr>
          <w:rFonts w:ascii="Calibri" w:eastAsia="Calibri" w:hAnsi="Calibri" w:cs="ArialMT-Bold"/>
          <w:b/>
          <w:bCs/>
          <w:color w:val="231F20"/>
          <w:szCs w:val="22"/>
          <w:lang w:eastAsia="en-US"/>
        </w:rPr>
      </w:pPr>
    </w:p>
    <w:p w14:paraId="78DD5E02" w14:textId="77777777" w:rsidR="0013623F" w:rsidRPr="007720A1" w:rsidRDefault="0013623F" w:rsidP="0013623F">
      <w:pPr>
        <w:spacing w:line="240" w:lineRule="auto"/>
        <w:jc w:val="left"/>
        <w:rPr>
          <w:rFonts w:ascii="Calibri" w:eastAsia="Calibri" w:hAnsi="Calibri" w:cs="ArialMT-Bold"/>
          <w:b/>
          <w:bCs/>
          <w:color w:val="231F20"/>
          <w:szCs w:val="22"/>
          <w:lang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31104" behindDoc="1" locked="0" layoutInCell="1" allowOverlap="1" wp14:anchorId="321B89BD" wp14:editId="657FEEA6">
                <wp:simplePos x="0" y="0"/>
                <wp:positionH relativeFrom="margin">
                  <wp:posOffset>0</wp:posOffset>
                </wp:positionH>
                <wp:positionV relativeFrom="paragraph">
                  <wp:posOffset>0</wp:posOffset>
                </wp:positionV>
                <wp:extent cx="6200775" cy="190500"/>
                <wp:effectExtent l="0" t="0" r="28575" b="19050"/>
                <wp:wrapNone/>
                <wp:docPr id="40" name="Rechteck 40"/>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5622AE2"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B89BD" id="Rechteck 40" o:spid="_x0000_s1058" style="position:absolute;margin-left:0;margin-top:0;width:488.25pt;height:1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" fillcolor="#92d050" strokecolor="#4e6128 [1606]" strokeweight="2pt">
                <v:textbox>
                  <w:txbxContent>
                    <w:p w14:paraId="35622AE2" w14:textId="77777777" w:rsidR="0013623F" w:rsidRPr="004D6E22" w:rsidRDefault="0013623F" w:rsidP="0013623F">
                      <w:pPr>
                        <w:rPr>
                          <w:rFonts w:ascii="Calibri" w:hAnsi="Calibri" w:cs="Calibri"/>
                          <w:sz w:val="24"/>
                          <w:szCs w:val="24"/>
                        </w:rPr>
                      </w:pPr>
                    </w:p>
                  </w:txbxContent>
                </v:textbox>
                <w10:wrap anchorx="margin"/>
              </v:rect>
            </w:pict>
          </mc:Fallback>
        </mc:AlternateContent>
      </w:r>
      <w:r>
        <w:rPr>
          <w:rFonts w:ascii="Calibri" w:eastAsia="Calibri" w:hAnsi="Calibri" w:cs="ArialMT-Bold"/>
          <w:b/>
          <w:bCs/>
          <w:color w:val="231F20"/>
          <w:szCs w:val="22"/>
          <w:lang w:eastAsia="en-US"/>
        </w:rPr>
        <w:t>CRC: Cetuximab (250) d1;q1w + Encorafenib (BRAF mut)</w:t>
      </w:r>
    </w:p>
    <w:p w14:paraId="5F6C6451" w14:textId="77777777" w:rsidR="0013623F" w:rsidRPr="007720A1" w:rsidRDefault="0013623F" w:rsidP="0013623F">
      <w:pPr>
        <w:spacing w:line="240" w:lineRule="auto"/>
        <w:jc w:val="left"/>
        <w:rPr>
          <w:rFonts w:ascii="Calibri" w:eastAsia="Calibri" w:hAnsi="Calibri" w:cs="ArialMT-Bold"/>
          <w:bCs/>
          <w:szCs w:val="22"/>
          <w:lang w:eastAsia="en-US"/>
        </w:rPr>
      </w:pPr>
      <w:r w:rsidRPr="00E4567C">
        <w:rPr>
          <w:rFonts w:ascii="Calibri" w:eastAsia="Calibri" w:hAnsi="Calibri" w:cs="ArialMT-Bold"/>
          <w:b/>
          <w:bCs/>
          <w:szCs w:val="22"/>
          <w:lang w:eastAsia="en-US"/>
        </w:rPr>
        <w:t xml:space="preserve">Encorafenib </w:t>
      </w:r>
      <w:r w:rsidRPr="007720A1">
        <w:rPr>
          <w:rFonts w:ascii="Calibri" w:eastAsia="Calibri" w:hAnsi="Calibri" w:cs="ArialMT-Bold"/>
          <w:bCs/>
          <w:szCs w:val="22"/>
          <w:lang w:eastAsia="en-US"/>
        </w:rPr>
        <w:t>300mg p.o. 1 x täglich</w:t>
      </w:r>
    </w:p>
    <w:p w14:paraId="5C515F5A" w14:textId="77777777" w:rsidR="0013623F" w:rsidRPr="007720A1" w:rsidRDefault="0013623F" w:rsidP="0013623F">
      <w:pPr>
        <w:spacing w:line="240" w:lineRule="auto"/>
        <w:jc w:val="left"/>
        <w:rPr>
          <w:rFonts w:ascii="Calibri" w:eastAsia="Calibri" w:hAnsi="Calibri" w:cs="Arial"/>
          <w:bCs/>
          <w:szCs w:val="22"/>
          <w:lang w:eastAsia="en-US"/>
        </w:rPr>
      </w:pPr>
      <w:r w:rsidRPr="00E4567C">
        <w:rPr>
          <w:rFonts w:ascii="Calibri" w:eastAsia="Calibri" w:hAnsi="Calibri" w:cs="Arial"/>
          <w:b/>
          <w:bCs/>
          <w:szCs w:val="22"/>
          <w:lang w:eastAsia="en-US"/>
        </w:rPr>
        <w:t xml:space="preserve">Cetuximab </w:t>
      </w:r>
      <w:r w:rsidRPr="007720A1">
        <w:rPr>
          <w:rFonts w:ascii="Calibri" w:eastAsia="Calibri" w:hAnsi="Calibri" w:cs="Arial"/>
          <w:bCs/>
          <w:szCs w:val="22"/>
          <w:lang w:eastAsia="en-US"/>
        </w:rPr>
        <w:t>400 mg/m² i.v. über 2 Stunden erste Infusion, dann 250 mg/m²  i.v.</w:t>
      </w:r>
      <w:r w:rsidRPr="007720A1">
        <w:rPr>
          <w:rFonts w:ascii="Calibri" w:eastAsia="Calibri" w:hAnsi="Calibri" w:cs="Arial"/>
          <w:bCs/>
          <w:szCs w:val="22"/>
          <w:lang w:eastAsia="en-US"/>
        </w:rPr>
        <w:br/>
        <w:t>über 60 Minuten wöchentlich</w:t>
      </w:r>
    </w:p>
    <w:p w14:paraId="38C3D710" w14:textId="77777777" w:rsidR="0013623F" w:rsidRPr="007720A1" w:rsidRDefault="0013623F" w:rsidP="0013623F">
      <w:pPr>
        <w:spacing w:line="240" w:lineRule="auto"/>
        <w:jc w:val="left"/>
        <w:rPr>
          <w:rFonts w:ascii="Calibri" w:eastAsia="Calibri" w:hAnsi="Calibri" w:cs="ArialMT-Bold"/>
          <w:b/>
          <w:bCs/>
          <w:color w:val="231F20"/>
          <w:szCs w:val="22"/>
          <w:lang w:eastAsia="en-US"/>
        </w:rPr>
      </w:pPr>
      <w:r>
        <w:rPr>
          <w:rFonts w:ascii="Calibri" w:eastAsia="Calibri" w:hAnsi="Calibri" w:cs="Arial"/>
          <w:b/>
          <w:bCs/>
          <w:szCs w:val="22"/>
          <w:lang w:eastAsia="en-US"/>
        </w:rPr>
        <w:t xml:space="preserve"> </w:t>
      </w:r>
    </w:p>
    <w:p w14:paraId="4C1E52B5" w14:textId="77777777" w:rsidR="0013623F" w:rsidRPr="005C763D" w:rsidRDefault="0013623F" w:rsidP="0013623F">
      <w:pPr>
        <w:spacing w:line="240" w:lineRule="auto"/>
        <w:jc w:val="left"/>
        <w:rPr>
          <w:rFonts w:ascii="Calibri" w:eastAsia="Calibri" w:hAnsi="Calibri" w:cs="Arial"/>
          <w:b/>
          <w:bCs/>
          <w:szCs w:val="22"/>
          <w:lang w:val="en-GB"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80256" behindDoc="1" locked="0" layoutInCell="1" allowOverlap="1" wp14:anchorId="77F35215" wp14:editId="4CA0F287">
                <wp:simplePos x="0" y="0"/>
                <wp:positionH relativeFrom="margin">
                  <wp:posOffset>0</wp:posOffset>
                </wp:positionH>
                <wp:positionV relativeFrom="paragraph">
                  <wp:posOffset>-635</wp:posOffset>
                </wp:positionV>
                <wp:extent cx="6200775" cy="190500"/>
                <wp:effectExtent l="0" t="0" r="28575" b="19050"/>
                <wp:wrapNone/>
                <wp:docPr id="41" name="Rechteck 41"/>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a:ln w="25400" cap="flat" cmpd="sng" algn="ctr">
                          <a:solidFill>
                            <a:srgbClr val="9BBB59">
                              <a:shade val="50000"/>
                            </a:srgbClr>
                          </a:solidFill>
                          <a:prstDash val="solid"/>
                        </a:ln>
                        <a:effectLst/>
                      </wps:spPr>
                      <wps:txbx>
                        <w:txbxContent>
                          <w:p w14:paraId="20FE6008"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35215" id="Rechteck 41" o:spid="_x0000_s1059" style="position:absolute;margin-left:0;margin-top:-.05pt;width:488.25pt;height: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" fillcolor="#92d050" strokecolor="#71893f" strokeweight="2pt">
                <v:textbox>
                  <w:txbxContent>
                    <w:p w14:paraId="20FE6008" w14:textId="77777777" w:rsidR="0013623F" w:rsidRPr="004D6E22" w:rsidRDefault="0013623F" w:rsidP="0013623F">
                      <w:pPr>
                        <w:rPr>
                          <w:rFonts w:ascii="Calibri" w:hAnsi="Calibri" w:cs="Calibri"/>
                          <w:sz w:val="24"/>
                          <w:szCs w:val="24"/>
                        </w:rPr>
                      </w:pPr>
                    </w:p>
                  </w:txbxContent>
                </v:textbox>
                <w10:wrap anchorx="margin"/>
              </v:rect>
            </w:pict>
          </mc:Fallback>
        </mc:AlternateContent>
      </w:r>
      <w:bookmarkStart w:id="134" w:name="_Hlk96951852"/>
      <w:r w:rsidRPr="005C763D">
        <w:rPr>
          <w:rFonts w:ascii="Calibri" w:eastAsia="Calibri" w:hAnsi="Calibri" w:cs="Arial"/>
          <w:b/>
          <w:bCs/>
          <w:szCs w:val="22"/>
          <w:lang w:val="en-GB" w:eastAsia="en-US"/>
        </w:rPr>
        <w:t>CRC: Ipilimumab (1) d1, Nivolumab (3) d1;q3w (MSI-H, 2nd Line</w:t>
      </w:r>
      <w:bookmarkEnd w:id="134"/>
      <w:r w:rsidRPr="005C763D">
        <w:rPr>
          <w:rFonts w:ascii="Calibri" w:eastAsia="Calibri" w:hAnsi="Calibri" w:cs="Arial"/>
          <w:b/>
          <w:bCs/>
          <w:szCs w:val="22"/>
          <w:lang w:val="en-GB" w:eastAsia="en-US"/>
        </w:rPr>
        <w:t>)</w:t>
      </w:r>
    </w:p>
    <w:p w14:paraId="4257D80C" w14:textId="77777777" w:rsidR="0013623F" w:rsidRPr="005C763D" w:rsidRDefault="0013623F" w:rsidP="0013623F">
      <w:pPr>
        <w:autoSpaceDE w:val="0"/>
        <w:autoSpaceDN w:val="0"/>
        <w:adjustRightInd w:val="0"/>
        <w:spacing w:line="240" w:lineRule="auto"/>
        <w:jc w:val="left"/>
        <w:rPr>
          <w:rFonts w:ascii="Calibri" w:eastAsia="Calibri" w:hAnsi="Calibri" w:cs="ArialMT-Bold"/>
          <w:b/>
          <w:bCs/>
          <w:szCs w:val="22"/>
          <w:lang w:val="en-GB" w:eastAsia="en-US"/>
        </w:rPr>
      </w:pPr>
      <w:r>
        <w:rPr>
          <w:noProof/>
          <w:lang w:eastAsia="de-AT"/>
        </w:rPr>
        <mc:AlternateContent>
          <mc:Choice Requires="wps">
            <w:drawing>
              <wp:anchor distT="0" distB="0" distL="114300" distR="114300" simplePos="0" relativeHeight="251681280" behindDoc="0" locked="0" layoutInCell="1" allowOverlap="1" wp14:anchorId="55850B78" wp14:editId="6C15E00B">
                <wp:simplePos x="0" y="0"/>
                <wp:positionH relativeFrom="column">
                  <wp:posOffset>2885440</wp:posOffset>
                </wp:positionH>
                <wp:positionV relativeFrom="paragraph">
                  <wp:posOffset>124460</wp:posOffset>
                </wp:positionV>
                <wp:extent cx="673735" cy="389890"/>
                <wp:effectExtent l="0" t="0" r="0" b="0"/>
                <wp:wrapThrough wrapText="bothSides">
                  <wp:wrapPolygon edited="0">
                    <wp:start x="0" y="0"/>
                    <wp:lineTo x="0" y="20052"/>
                    <wp:lineTo x="20765" y="20052"/>
                    <wp:lineTo x="20765" y="0"/>
                    <wp:lineTo x="0" y="0"/>
                  </wp:wrapPolygon>
                </wp:wrapThrough>
                <wp:docPr id="42" name="Textfeld 42"/>
                <wp:cNvGraphicFramePr/>
                <a:graphic xmlns:a="http://schemas.openxmlformats.org/drawingml/2006/main">
                  <a:graphicData uri="http://schemas.microsoft.com/office/word/2010/wordprocessingShape">
                    <wps:wsp>
                      <wps:cNvSpPr txBox="1"/>
                      <wps:spPr>
                        <a:xfrm>
                          <a:off x="0" y="0"/>
                          <a:ext cx="673735" cy="389890"/>
                        </a:xfrm>
                        <a:prstGeom prst="rect">
                          <a:avLst/>
                        </a:prstGeom>
                        <a:solidFill>
                          <a:sysClr val="window" lastClr="FFFFFF"/>
                        </a:solidFill>
                        <a:ln w="6350">
                          <a:noFill/>
                        </a:ln>
                      </wps:spPr>
                      <wps:txbx>
                        <w:txbxContent>
                          <w:p w14:paraId="546109B6" w14:textId="77777777" w:rsidR="0013623F" w:rsidRDefault="0013623F" w:rsidP="0013623F">
                            <w:pPr>
                              <w:rPr>
                                <w:sz w:val="40"/>
                                <w:szCs w:val="40"/>
                              </w:rPr>
                            </w:pPr>
                            <w:r>
                              <w:rPr>
                                <w:rFonts w:eastAsia="Calibri" w:cs="Arial"/>
                                <w:sz w:val="40"/>
                                <w:szCs w:val="40"/>
                              </w:rPr>
                              <w:t xml:space="preserve">} </w:t>
                            </w:r>
                            <w:r>
                              <w:rPr>
                                <w:rFonts w:eastAsia="Calibri" w:cs="Arial"/>
                                <w:sz w:val="28"/>
                                <w:szCs w:val="28"/>
                              </w:rPr>
                              <w:t>x 4</w:t>
                            </w:r>
                          </w:p>
                          <w:p w14:paraId="29BE731F" w14:textId="77777777" w:rsidR="0013623F" w:rsidRDefault="0013623F" w:rsidP="0013623F">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50B78" id="_x0000_t202" coordsize="21600,21600" o:spt="202" path="m,l,21600r21600,l21600,xe">
                <v:stroke joinstyle="miter"/>
                <v:path gradientshapeok="t" o:connecttype="rect"/>
              </v:shapetype>
              <v:shape id="Textfeld 42" o:spid="_x0000_s1060" type="#_x0000_t202" style="position:absolute;margin-left:227.2pt;margin-top:9.8pt;width:53.05pt;height:30.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" fillcolor="window" stroked="f" strokeweight=".5pt">
                <v:textbox>
                  <w:txbxContent>
                    <w:p w14:paraId="546109B6" w14:textId="77777777" w:rsidR="0013623F" w:rsidRDefault="0013623F" w:rsidP="0013623F">
                      <w:pPr>
                        <w:rPr>
                          <w:sz w:val="40"/>
                          <w:szCs w:val="40"/>
                        </w:rPr>
                      </w:pPr>
                      <w:r>
                        <w:rPr>
                          <w:rFonts w:eastAsia="Calibri" w:cs="Arial"/>
                          <w:sz w:val="40"/>
                          <w:szCs w:val="40"/>
                        </w:rPr>
                        <w:t xml:space="preserve">} </w:t>
                      </w:r>
                      <w:r>
                        <w:rPr>
                          <w:rFonts w:eastAsia="Calibri" w:cs="Arial"/>
                          <w:sz w:val="28"/>
                          <w:szCs w:val="28"/>
                        </w:rPr>
                        <w:t>x 4</w:t>
                      </w:r>
                    </w:p>
                    <w:p w14:paraId="29BE731F" w14:textId="77777777" w:rsidR="0013623F" w:rsidRDefault="0013623F" w:rsidP="0013623F">
                      <w:pPr>
                        <w:rPr>
                          <w14:textOutline w14:w="9525" w14:cap="rnd" w14:cmpd="sng" w14:algn="ctr">
                            <w14:solidFill>
                              <w14:srgbClr w14:val="000000"/>
                            </w14:solidFill>
                            <w14:prstDash w14:val="solid"/>
                            <w14:bevel/>
                          </w14:textOutline>
                        </w:rPr>
                      </w:pPr>
                    </w:p>
                  </w:txbxContent>
                </v:textbox>
                <w10:wrap type="through"/>
              </v:shape>
            </w:pict>
          </mc:Fallback>
        </mc:AlternateContent>
      </w:r>
    </w:p>
    <w:p w14:paraId="3F082C96" w14:textId="77777777" w:rsidR="0013623F" w:rsidRPr="0013623F" w:rsidRDefault="0013623F" w:rsidP="0013623F">
      <w:pPr>
        <w:spacing w:line="240" w:lineRule="auto"/>
        <w:jc w:val="left"/>
        <w:rPr>
          <w:rFonts w:ascii="Calibri" w:eastAsia="Calibri" w:hAnsi="Calibri" w:cs="ArialMT-Bold"/>
          <w:b/>
          <w:bCs/>
          <w:szCs w:val="22"/>
          <w:lang w:val="en-GB" w:eastAsia="en-US"/>
        </w:rPr>
      </w:pPr>
      <w:r w:rsidRPr="0013623F">
        <w:rPr>
          <w:rFonts w:ascii="Calibri" w:eastAsia="Calibri" w:hAnsi="Calibri" w:cs="ArialMT-Bold"/>
          <w:b/>
          <w:bCs/>
          <w:szCs w:val="22"/>
          <w:lang w:val="en-GB" w:eastAsia="en-US"/>
        </w:rPr>
        <w:t>Nivolumab 3mg/kg + Ipilimumab 1mg/kg, Tag 1</w:t>
      </w:r>
    </w:p>
    <w:p w14:paraId="37A3435F" w14:textId="77777777" w:rsidR="0013623F" w:rsidRDefault="0013623F" w:rsidP="0013623F">
      <w:pPr>
        <w:spacing w:line="240" w:lineRule="auto"/>
        <w:jc w:val="left"/>
        <w:rPr>
          <w:rFonts w:ascii="Calibri" w:eastAsia="Calibri" w:hAnsi="Calibri" w:cs="ArialMT-Bold"/>
          <w:b/>
          <w:bCs/>
          <w:szCs w:val="22"/>
          <w:lang w:eastAsia="en-US"/>
        </w:rPr>
      </w:pPr>
      <w:r>
        <w:rPr>
          <w:rFonts w:ascii="Calibri" w:eastAsia="Calibri" w:hAnsi="Calibri" w:cs="ArialMT-Bold"/>
          <w:b/>
          <w:bCs/>
          <w:szCs w:val="22"/>
          <w:lang w:eastAsia="en-US"/>
        </w:rPr>
        <w:t>Wiederholung Tag 22</w:t>
      </w:r>
    </w:p>
    <w:p w14:paraId="0D5C54ED" w14:textId="77777777" w:rsidR="0013623F" w:rsidRDefault="0013623F" w:rsidP="0013623F">
      <w:pPr>
        <w:spacing w:line="240" w:lineRule="auto"/>
        <w:jc w:val="left"/>
        <w:rPr>
          <w:rFonts w:ascii="Calibri" w:eastAsia="Calibri" w:hAnsi="Calibri" w:cs="ArialMT-Bold"/>
          <w:b/>
          <w:bCs/>
          <w:szCs w:val="22"/>
          <w:lang w:eastAsia="en-US"/>
        </w:rPr>
      </w:pPr>
      <w:r>
        <w:rPr>
          <w:rFonts w:ascii="Calibri" w:eastAsia="Calibri" w:hAnsi="Calibri" w:cs="ArialMT-Bold"/>
          <w:b/>
          <w:bCs/>
          <w:szCs w:val="22"/>
          <w:lang w:eastAsia="en-US"/>
        </w:rPr>
        <w:t>dann</w:t>
      </w:r>
    </w:p>
    <w:p w14:paraId="2A32D187" w14:textId="77777777" w:rsidR="0013623F" w:rsidRDefault="0013623F" w:rsidP="0013623F">
      <w:pPr>
        <w:spacing w:line="240" w:lineRule="auto"/>
        <w:jc w:val="left"/>
        <w:rPr>
          <w:rFonts w:ascii="Calibri" w:eastAsia="Calibri" w:hAnsi="Calibri" w:cs="ArialMT-Bold"/>
          <w:b/>
          <w:bCs/>
          <w:szCs w:val="22"/>
          <w:lang w:eastAsia="en-US"/>
        </w:rPr>
      </w:pPr>
      <w:r>
        <w:rPr>
          <w:rFonts w:ascii="Calibri" w:eastAsia="Calibri" w:hAnsi="Calibri" w:cs="ArialMT-Bold"/>
          <w:b/>
          <w:bCs/>
          <w:szCs w:val="22"/>
          <w:lang w:eastAsia="en-US"/>
        </w:rPr>
        <w:t>Nivolumab 240mg absolut alle 2 Wochen</w:t>
      </w:r>
    </w:p>
    <w:p w14:paraId="7A9D022E" w14:textId="77777777" w:rsidR="0013623F" w:rsidRDefault="0013623F" w:rsidP="0013623F">
      <w:pPr>
        <w:spacing w:line="240" w:lineRule="auto"/>
        <w:jc w:val="left"/>
        <w:rPr>
          <w:rFonts w:ascii="Calibri" w:eastAsia="Calibri" w:hAnsi="Calibri" w:cs="Arial"/>
          <w:b/>
          <w:bCs/>
          <w:szCs w:val="22"/>
          <w:lang w:eastAsia="en-US"/>
        </w:rPr>
      </w:pPr>
    </w:p>
    <w:bookmarkStart w:id="135" w:name="_Hlk96951892"/>
    <w:p w14:paraId="74698C41" w14:textId="77777777" w:rsidR="0013623F" w:rsidRPr="00C83949" w:rsidRDefault="0013623F" w:rsidP="0013623F">
      <w:pPr>
        <w:spacing w:line="240" w:lineRule="auto"/>
        <w:jc w:val="left"/>
        <w:rPr>
          <w:rFonts w:ascii="Calibri" w:eastAsia="Calibri" w:hAnsi="Calibri" w:cs="Arial"/>
          <w:b/>
          <w:bCs/>
          <w:szCs w:val="22"/>
          <w:lang w:val="en-GB" w:eastAsia="en-US"/>
        </w:rPr>
      </w:pPr>
      <w:r w:rsidRPr="004D6E22">
        <w:rPr>
          <w:rFonts w:ascii="Calibri" w:eastAsia="Calibri" w:hAnsi="Calibri" w:cs="Arial"/>
          <w:b/>
          <w:bCs/>
          <w:noProof/>
          <w:color w:val="9BBB59" w:themeColor="accent3"/>
          <w:szCs w:val="22"/>
          <w:lang w:eastAsia="de-AT"/>
        </w:rPr>
        <mc:AlternateContent>
          <mc:Choice Requires="wps">
            <w:drawing>
              <wp:anchor distT="0" distB="0" distL="114300" distR="114300" simplePos="0" relativeHeight="251682304" behindDoc="1" locked="0" layoutInCell="1" allowOverlap="1" wp14:anchorId="1E4103F4" wp14:editId="3F416827">
                <wp:simplePos x="0" y="0"/>
                <wp:positionH relativeFrom="margin">
                  <wp:posOffset>0</wp:posOffset>
                </wp:positionH>
                <wp:positionV relativeFrom="paragraph">
                  <wp:posOffset>-635</wp:posOffset>
                </wp:positionV>
                <wp:extent cx="6200775" cy="190500"/>
                <wp:effectExtent l="0" t="0" r="28575" b="19050"/>
                <wp:wrapNone/>
                <wp:docPr id="44" name="Rechteck 44"/>
                <wp:cNvGraphicFramePr/>
                <a:graphic xmlns:a="http://schemas.openxmlformats.org/drawingml/2006/main">
                  <a:graphicData uri="http://schemas.microsoft.com/office/word/2010/wordprocessingShape">
                    <wps:wsp>
                      <wps:cNvSpPr/>
                      <wps:spPr>
                        <a:xfrm>
                          <a:off x="0" y="0"/>
                          <a:ext cx="6200775" cy="190500"/>
                        </a:xfrm>
                        <a:prstGeom prst="rect">
                          <a:avLst/>
                        </a:prstGeom>
                        <a:solidFill>
                          <a:srgbClr val="92D050"/>
                        </a:solidFill>
                        <a:ln w="25400" cap="flat" cmpd="sng" algn="ctr">
                          <a:solidFill>
                            <a:srgbClr val="9BBB59">
                              <a:shade val="50000"/>
                            </a:srgbClr>
                          </a:solidFill>
                          <a:prstDash val="solid"/>
                        </a:ln>
                        <a:effectLst/>
                      </wps:spPr>
                      <wps:txbx>
                        <w:txbxContent>
                          <w:p w14:paraId="32A1DF93" w14:textId="77777777" w:rsidR="0013623F" w:rsidRPr="004D6E22" w:rsidRDefault="0013623F" w:rsidP="0013623F">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03F4" id="Rechteck 44" o:spid="_x0000_s1061" style="position:absolute;margin-left:0;margin-top:-.05pt;width:488.25pt;height:1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" fillcolor="#92d050" strokecolor="#71893f" strokeweight="2pt">
                <v:textbox>
                  <w:txbxContent>
                    <w:p w14:paraId="32A1DF93" w14:textId="77777777" w:rsidR="0013623F" w:rsidRPr="004D6E22" w:rsidRDefault="0013623F" w:rsidP="0013623F">
                      <w:pPr>
                        <w:rPr>
                          <w:rFonts w:ascii="Calibri" w:hAnsi="Calibri" w:cs="Calibri"/>
                          <w:sz w:val="24"/>
                          <w:szCs w:val="24"/>
                        </w:rPr>
                      </w:pPr>
                    </w:p>
                  </w:txbxContent>
                </v:textbox>
                <w10:wrap anchorx="margin"/>
              </v:rect>
            </w:pict>
          </mc:Fallback>
        </mc:AlternateContent>
      </w:r>
      <w:r w:rsidRPr="00C83949">
        <w:rPr>
          <w:rFonts w:ascii="Calibri" w:eastAsia="Calibri" w:hAnsi="Calibri" w:cs="Arial"/>
          <w:b/>
          <w:bCs/>
          <w:szCs w:val="22"/>
          <w:lang w:val="en-GB" w:eastAsia="en-US"/>
        </w:rPr>
        <w:t>CRC: Nivolumab (240)d1; q2w</w:t>
      </w:r>
    </w:p>
    <w:bookmarkEnd w:id="135"/>
    <w:p w14:paraId="10368909" w14:textId="77777777" w:rsidR="0013623F" w:rsidRPr="00C83949" w:rsidRDefault="0013623F" w:rsidP="0013623F">
      <w:pPr>
        <w:spacing w:line="240" w:lineRule="auto"/>
        <w:jc w:val="left"/>
        <w:rPr>
          <w:rFonts w:ascii="Calibri" w:eastAsia="Calibri" w:hAnsi="Calibri" w:cs="Arial"/>
          <w:b/>
          <w:bCs/>
          <w:szCs w:val="22"/>
          <w:lang w:val="en-GB" w:eastAsia="en-US"/>
        </w:rPr>
      </w:pPr>
    </w:p>
    <w:p w14:paraId="1733D5A5" w14:textId="77777777" w:rsidR="0013623F" w:rsidRPr="00C83949" w:rsidRDefault="0013623F" w:rsidP="0013623F">
      <w:pPr>
        <w:spacing w:line="240" w:lineRule="auto"/>
        <w:jc w:val="left"/>
        <w:rPr>
          <w:rFonts w:ascii="Calibri" w:eastAsia="Calibri" w:hAnsi="Calibri" w:cs="Arial"/>
          <w:b/>
          <w:bCs/>
          <w:szCs w:val="22"/>
          <w:lang w:val="en-GB" w:eastAsia="en-US"/>
        </w:rPr>
      </w:pPr>
    </w:p>
    <w:p w14:paraId="3A97D756" w14:textId="77777777" w:rsidR="0013623F" w:rsidRPr="00C83949" w:rsidRDefault="0013623F" w:rsidP="0013623F">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line="240" w:lineRule="auto"/>
        <w:rPr>
          <w:rFonts w:ascii="Calibri" w:eastAsia="Calibri" w:hAnsi="Calibri" w:cs="Arial"/>
          <w:b/>
          <w:bCs/>
          <w:sz w:val="24"/>
          <w:szCs w:val="24"/>
          <w:lang w:val="en-GB" w:eastAsia="en-US"/>
        </w:rPr>
      </w:pPr>
      <w:r w:rsidRPr="00C83949">
        <w:rPr>
          <w:rFonts w:ascii="Calibri" w:eastAsia="Calibri" w:hAnsi="Calibri" w:cs="Arial"/>
          <w:b/>
          <w:bCs/>
          <w:sz w:val="24"/>
          <w:szCs w:val="24"/>
          <w:lang w:val="en-GB" w:eastAsia="en-US"/>
        </w:rPr>
        <w:t>Totale neoadjuvante Therapie (Rapido-Schema)</w:t>
      </w:r>
    </w:p>
    <w:p w14:paraId="6E2CC127" w14:textId="77777777" w:rsidR="0013623F" w:rsidRPr="00C83949" w:rsidRDefault="00C83949" w:rsidP="0013623F">
      <w:pPr>
        <w:autoSpaceDE w:val="0"/>
        <w:autoSpaceDN w:val="0"/>
        <w:adjustRightInd w:val="0"/>
        <w:spacing w:line="240" w:lineRule="auto"/>
        <w:rPr>
          <w:rFonts w:ascii="Calibri" w:eastAsia="Calibri" w:hAnsi="Calibri" w:cs="Calibri"/>
          <w:b/>
          <w:bCs/>
          <w:color w:val="231F20"/>
          <w:szCs w:val="22"/>
          <w:lang w:val="en-GB" w:eastAsia="en-US"/>
        </w:rPr>
      </w:pPr>
      <w:r>
        <w:rPr>
          <w:noProof/>
          <w:lang w:eastAsia="de-AT"/>
        </w:rPr>
        <w:drawing>
          <wp:anchor distT="0" distB="0" distL="114300" distR="114300" simplePos="0" relativeHeight="251656704" behindDoc="0" locked="0" layoutInCell="1" allowOverlap="1" wp14:anchorId="4B458911" wp14:editId="45A83667">
            <wp:simplePos x="0" y="0"/>
            <wp:positionH relativeFrom="column">
              <wp:posOffset>158597</wp:posOffset>
            </wp:positionH>
            <wp:positionV relativeFrom="paragraph">
              <wp:posOffset>227016</wp:posOffset>
            </wp:positionV>
            <wp:extent cx="5363210" cy="2985770"/>
            <wp:effectExtent l="0" t="0" r="8890" b="5080"/>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3210"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23F" w:rsidRPr="00C83949">
        <w:rPr>
          <w:rFonts w:ascii="Calibri" w:hAnsi="Calibri" w:cs="Arial"/>
          <w:b/>
          <w:bCs/>
          <w:kern w:val="32"/>
          <w:szCs w:val="32"/>
          <w:lang w:val="en-GB"/>
        </w:rPr>
        <w:br w:type="page"/>
      </w:r>
    </w:p>
    <w:p w14:paraId="45FAD6E0" w14:textId="77777777" w:rsidR="0072215F" w:rsidRPr="00EB7194" w:rsidRDefault="0072215F" w:rsidP="0072215F">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rPr>
          <w:rFonts w:ascii="Calibri" w:hAnsi="Calibri" w:cs="Arial"/>
          <w:b/>
          <w:bCs/>
          <w:kern w:val="32"/>
          <w:szCs w:val="32"/>
        </w:rPr>
      </w:pPr>
      <w:bookmarkStart w:id="136" w:name="_Toc93523323"/>
      <w:bookmarkEnd w:id="123"/>
      <w:bookmarkEnd w:id="124"/>
      <w:r w:rsidRPr="00EB7194">
        <w:rPr>
          <w:rFonts w:ascii="Calibri" w:hAnsi="Calibri" w:cs="Arial"/>
          <w:b/>
          <w:bCs/>
          <w:kern w:val="32"/>
          <w:szCs w:val="32"/>
        </w:rPr>
        <w:lastRenderedPageBreak/>
        <w:t>Anhang: Studienblatt</w:t>
      </w:r>
      <w:bookmarkEnd w:id="136"/>
      <w:r w:rsidRPr="00EB7194">
        <w:rPr>
          <w:rFonts w:ascii="Calibri" w:hAnsi="Calibri" w:cs="Arial"/>
          <w:b/>
          <w:bCs/>
          <w:kern w:val="32"/>
          <w:szCs w:val="32"/>
        </w:rPr>
        <w:t xml:space="preserve"> </w:t>
      </w:r>
    </w:p>
    <w:p w14:paraId="431223D2" w14:textId="77777777" w:rsidR="0072215F" w:rsidRPr="0013623F" w:rsidRDefault="0072215F" w:rsidP="0072215F">
      <w:pPr>
        <w:keepNext/>
        <w:spacing w:before="240" w:after="60" w:line="276" w:lineRule="auto"/>
        <w:jc w:val="left"/>
        <w:outlineLvl w:val="1"/>
        <w:rPr>
          <w:rFonts w:cs="Arial"/>
          <w:b/>
          <w:bCs/>
          <w:i/>
          <w:iCs/>
          <w:sz w:val="24"/>
          <w:szCs w:val="24"/>
          <w:lang w:eastAsia="de-AT"/>
        </w:rPr>
      </w:pPr>
      <w:bookmarkStart w:id="137" w:name="_Toc382815707"/>
      <w:bookmarkStart w:id="138" w:name="_Toc93523324"/>
      <w:bookmarkStart w:id="139" w:name="_Hlk530244357"/>
      <w:r w:rsidRPr="0013623F">
        <w:rPr>
          <w:rFonts w:cs="Arial"/>
          <w:b/>
          <w:bCs/>
          <w:i/>
          <w:iCs/>
          <w:sz w:val="24"/>
          <w:szCs w:val="24"/>
          <w:lang w:eastAsia="de-AT"/>
        </w:rPr>
        <w:t xml:space="preserve">Studie </w:t>
      </w:r>
      <w:bookmarkEnd w:id="137"/>
      <w:r w:rsidRPr="0013623F">
        <w:rPr>
          <w:rFonts w:cs="Arial"/>
          <w:b/>
          <w:bCs/>
          <w:i/>
          <w:iCs/>
          <w:sz w:val="24"/>
          <w:szCs w:val="24"/>
          <w:lang w:eastAsia="de-AT"/>
        </w:rPr>
        <w:t>Fire-4 – AIO-KRK-0114 (</w:t>
      </w:r>
      <w:r w:rsidR="007F743D" w:rsidRPr="0013623F">
        <w:rPr>
          <w:rFonts w:cs="Arial"/>
          <w:b/>
          <w:bCs/>
          <w:i/>
          <w:iCs/>
          <w:sz w:val="24"/>
          <w:szCs w:val="24"/>
          <w:lang w:eastAsia="de-AT"/>
        </w:rPr>
        <w:t>PEK</w:t>
      </w:r>
      <w:r w:rsidRPr="0013623F">
        <w:rPr>
          <w:rFonts w:cs="Arial"/>
          <w:b/>
          <w:bCs/>
          <w:i/>
          <w:iCs/>
          <w:sz w:val="24"/>
          <w:szCs w:val="24"/>
          <w:lang w:eastAsia="de-AT"/>
        </w:rPr>
        <w:t xml:space="preserve"> Steyr)</w:t>
      </w:r>
      <w:bookmarkEnd w:id="138"/>
    </w:p>
    <w:bookmarkEnd w:id="139"/>
    <w:p w14:paraId="29F4FDF7" w14:textId="77777777" w:rsidR="0072215F" w:rsidRPr="00667A57" w:rsidRDefault="0072215F" w:rsidP="0072215F">
      <w:pPr>
        <w:numPr>
          <w:ilvl w:val="0"/>
          <w:numId w:val="3"/>
        </w:numPr>
        <w:spacing w:after="160" w:line="276" w:lineRule="auto"/>
        <w:ind w:left="426" w:hanging="426"/>
        <w:contextualSpacing/>
        <w:jc w:val="left"/>
        <w:rPr>
          <w:rFonts w:ascii="Calibri" w:hAnsi="Calibri" w:cs="Calibri"/>
        </w:rPr>
      </w:pPr>
      <w:r w:rsidRPr="00564EAE">
        <w:rPr>
          <w:rFonts w:ascii="Calibri" w:hAnsi="Calibri" w:cs="Calibri"/>
        </w:rPr>
        <w:t>Randomisierte Studie zur Wirksamkeit einer Cetuximab-Reexposition bei Patienten mit metastasiertem kolorektalem Karzinom (RAS Wildtyp), welche auf eine Erstlinien-Behandlung mit FOLFIRI plus Cetuximab ein Ansprechen zeigten.</w:t>
      </w:r>
    </w:p>
    <w:p w14:paraId="36BFBBEE" w14:textId="77777777" w:rsidR="0072215F" w:rsidRPr="00667A57" w:rsidRDefault="0072215F" w:rsidP="0072215F">
      <w:pPr>
        <w:numPr>
          <w:ilvl w:val="0"/>
          <w:numId w:val="3"/>
        </w:numPr>
        <w:spacing w:after="160" w:line="276" w:lineRule="auto"/>
        <w:ind w:left="426" w:hanging="426"/>
        <w:contextualSpacing/>
        <w:jc w:val="left"/>
        <w:rPr>
          <w:rFonts w:ascii="Calibri" w:hAnsi="Calibri" w:cs="Calibri"/>
        </w:rPr>
      </w:pPr>
      <w:r w:rsidRPr="00564EAE">
        <w:rPr>
          <w:rFonts w:ascii="Calibri" w:hAnsi="Calibri" w:cs="Calibri"/>
        </w:rPr>
        <w:t>Es handelt es sich um eine Studie mit zwei Teilen: Erstlinientherapie und Drittlinientherapie</w:t>
      </w:r>
    </w:p>
    <w:p w14:paraId="74997313" w14:textId="77777777" w:rsidR="0072215F" w:rsidRDefault="0072215F" w:rsidP="0072215F">
      <w:pPr>
        <w:spacing w:after="100" w:afterAutospacing="1" w:line="240" w:lineRule="auto"/>
        <w:jc w:val="left"/>
        <w:rPr>
          <w:rFonts w:cs="Arial"/>
          <w:b/>
          <w:bCs/>
          <w:sz w:val="16"/>
          <w:szCs w:val="16"/>
          <w:lang w:eastAsia="de-AT"/>
        </w:rPr>
      </w:pPr>
      <w:r w:rsidRPr="00760799">
        <w:rPr>
          <w:rFonts w:ascii="Calibri" w:hAnsi="Calibri" w:cs="Calibri"/>
          <w:szCs w:val="22"/>
        </w:rPr>
        <w:br/>
      </w:r>
      <w:r w:rsidRPr="00760799">
        <w:rPr>
          <w:rFonts w:ascii="Calibri" w:eastAsia="Calibri" w:hAnsi="Calibri"/>
          <w:noProof/>
          <w:szCs w:val="22"/>
          <w:lang w:eastAsia="de-AT"/>
        </w:rPr>
        <w:drawing>
          <wp:inline distT="0" distB="0" distL="0" distR="0" wp14:anchorId="613BF677" wp14:editId="546B2665">
            <wp:extent cx="5760085" cy="22402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2240280"/>
                    </a:xfrm>
                    <a:prstGeom prst="rect">
                      <a:avLst/>
                    </a:prstGeom>
                    <a:noFill/>
                    <a:ln>
                      <a:noFill/>
                    </a:ln>
                  </pic:spPr>
                </pic:pic>
              </a:graphicData>
            </a:graphic>
          </wp:inline>
        </w:drawing>
      </w:r>
      <w:r w:rsidRPr="00760799">
        <w:rPr>
          <w:rFonts w:ascii="Calibri" w:hAnsi="Calibri" w:cs="Calibri"/>
          <w:szCs w:val="22"/>
        </w:rPr>
        <w:br/>
      </w:r>
    </w:p>
    <w:p w14:paraId="3DE08308" w14:textId="77777777" w:rsidR="0072215F" w:rsidRPr="00E4567C" w:rsidRDefault="0072215F" w:rsidP="0072215F">
      <w:pPr>
        <w:keepNext/>
        <w:spacing w:before="240" w:after="60" w:line="276" w:lineRule="auto"/>
        <w:jc w:val="left"/>
        <w:outlineLvl w:val="1"/>
        <w:rPr>
          <w:rFonts w:cs="Arial"/>
          <w:b/>
          <w:bCs/>
          <w:sz w:val="16"/>
          <w:szCs w:val="16"/>
          <w:lang w:eastAsia="de-AT"/>
        </w:rPr>
      </w:pPr>
      <w:bookmarkStart w:id="140" w:name="_Toc93523325"/>
      <w:r w:rsidRPr="00E4567C">
        <w:rPr>
          <w:rFonts w:cs="Arial"/>
          <w:b/>
          <w:bCs/>
          <w:i/>
          <w:iCs/>
          <w:sz w:val="24"/>
          <w:szCs w:val="24"/>
          <w:lang w:eastAsia="de-AT"/>
        </w:rPr>
        <w:t xml:space="preserve">Studie </w:t>
      </w:r>
      <w:r w:rsidRPr="00564EAE">
        <w:rPr>
          <w:rFonts w:cs="Arial"/>
          <w:b/>
          <w:bCs/>
          <w:i/>
          <w:iCs/>
          <w:sz w:val="24"/>
          <w:szCs w:val="24"/>
          <w:lang w:eastAsia="de-AT"/>
        </w:rPr>
        <w:t>CheckMate 8HW (</w:t>
      </w:r>
      <w:r w:rsidR="007F743D">
        <w:rPr>
          <w:rFonts w:cs="Arial"/>
          <w:b/>
          <w:bCs/>
          <w:i/>
          <w:iCs/>
          <w:sz w:val="24"/>
          <w:szCs w:val="24"/>
          <w:lang w:eastAsia="de-AT"/>
        </w:rPr>
        <w:t xml:space="preserve">OKL </w:t>
      </w:r>
      <w:r w:rsidRPr="00564EAE">
        <w:rPr>
          <w:rFonts w:cs="Arial"/>
          <w:b/>
          <w:bCs/>
          <w:i/>
          <w:iCs/>
          <w:sz w:val="24"/>
          <w:szCs w:val="24"/>
          <w:lang w:eastAsia="de-AT"/>
        </w:rPr>
        <w:t>BHS)</w:t>
      </w:r>
      <w:bookmarkEnd w:id="140"/>
    </w:p>
    <w:p w14:paraId="690FAFBB" w14:textId="77777777" w:rsidR="0072215F" w:rsidRPr="00E4567C" w:rsidRDefault="0072215F" w:rsidP="0072215F">
      <w:pPr>
        <w:numPr>
          <w:ilvl w:val="0"/>
          <w:numId w:val="3"/>
        </w:numPr>
        <w:spacing w:after="160" w:line="276" w:lineRule="auto"/>
        <w:ind w:left="426" w:hanging="426"/>
        <w:contextualSpacing/>
        <w:jc w:val="left"/>
        <w:rPr>
          <w:rFonts w:ascii="Calibri" w:hAnsi="Calibri" w:cs="Calibri"/>
        </w:rPr>
      </w:pPr>
      <w:bookmarkStart w:id="141" w:name="_Toc367183623"/>
      <w:bookmarkStart w:id="142" w:name="_Toc367183861"/>
      <w:bookmarkStart w:id="143" w:name="_Toc382815708"/>
      <w:r w:rsidRPr="00564EAE">
        <w:rPr>
          <w:rFonts w:ascii="Calibri" w:hAnsi="Calibri" w:cs="Calibri"/>
        </w:rPr>
        <w:t>Randomisierte Phase III-Studie mit Nivolumab (NIVO), NIVO + Ipilimumab (IPI) oder Chemotherapie bei Patienten mit MSI-H/dMMR metastatiertem kolorektalem Karzinom.</w:t>
      </w:r>
    </w:p>
    <w:p w14:paraId="19D5935E" w14:textId="77777777" w:rsidR="0072215F" w:rsidRPr="00E4567C" w:rsidRDefault="0072215F" w:rsidP="0072215F">
      <w:pPr>
        <w:numPr>
          <w:ilvl w:val="0"/>
          <w:numId w:val="3"/>
        </w:numPr>
        <w:spacing w:after="160" w:line="276" w:lineRule="auto"/>
        <w:ind w:left="426" w:hanging="426"/>
        <w:contextualSpacing/>
        <w:jc w:val="left"/>
        <w:rPr>
          <w:rFonts w:ascii="Calibri" w:hAnsi="Calibri" w:cs="Calibri"/>
        </w:rPr>
      </w:pPr>
      <w:r w:rsidRPr="00E4567C">
        <w:rPr>
          <w:noProof/>
          <w:lang w:eastAsia="de-AT"/>
        </w:rPr>
        <w:drawing>
          <wp:anchor distT="0" distB="0" distL="114300" distR="114300" simplePos="0" relativeHeight="251663872" behindDoc="0" locked="0" layoutInCell="1" allowOverlap="1" wp14:anchorId="2DACD180" wp14:editId="59EDE90D">
            <wp:simplePos x="0" y="0"/>
            <wp:positionH relativeFrom="margin">
              <wp:posOffset>-635</wp:posOffset>
            </wp:positionH>
            <wp:positionV relativeFrom="paragraph">
              <wp:posOffset>511810</wp:posOffset>
            </wp:positionV>
            <wp:extent cx="5751195" cy="2263140"/>
            <wp:effectExtent l="0" t="0" r="1905" b="381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119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67C">
        <w:rPr>
          <w:rFonts w:ascii="Calibri" w:hAnsi="Calibri" w:cs="Calibri"/>
        </w:rPr>
        <w:t>Vortherapie mit Chemotherapie +/- Antikörpertherapie ist erlaubt (ausgenommen anti-PD-1,</w:t>
      </w:r>
      <w:r w:rsidRPr="00E4567C">
        <w:rPr>
          <w:rFonts w:ascii="Calibri" w:hAnsi="Calibri" w:cs="Calibri"/>
        </w:rPr>
        <w:br/>
        <w:t>anti-PD-L1, anti-PD-L2 und anti-CTLA-4-Antikörper).</w:t>
      </w:r>
    </w:p>
    <w:p w14:paraId="31834F59" w14:textId="77777777" w:rsidR="0072215F" w:rsidRPr="004211F8" w:rsidRDefault="0072215F" w:rsidP="0072215F">
      <w:pPr>
        <w:spacing w:after="160" w:line="276" w:lineRule="auto"/>
        <w:contextualSpacing/>
        <w:jc w:val="left"/>
        <w:rPr>
          <w:rFonts w:ascii="Calibri" w:hAnsi="Calibri" w:cs="Calibri"/>
        </w:rPr>
      </w:pPr>
    </w:p>
    <w:p w14:paraId="1587C6C7" w14:textId="77777777" w:rsidR="0072215F" w:rsidRDefault="0072215F" w:rsidP="0072215F">
      <w:pPr>
        <w:autoSpaceDE w:val="0"/>
        <w:autoSpaceDN w:val="0"/>
        <w:adjustRightInd w:val="0"/>
        <w:spacing w:line="240" w:lineRule="auto"/>
        <w:jc w:val="left"/>
        <w:rPr>
          <w:rFonts w:cs="Arial"/>
          <w:sz w:val="20"/>
          <w:lang w:val="de-DE" w:eastAsia="en-US"/>
        </w:rPr>
      </w:pPr>
    </w:p>
    <w:p w14:paraId="14E171AC" w14:textId="77777777" w:rsidR="0072215F" w:rsidRPr="00760799" w:rsidRDefault="0072215F" w:rsidP="0072215F">
      <w:pPr>
        <w:autoSpaceDE w:val="0"/>
        <w:autoSpaceDN w:val="0"/>
        <w:adjustRightInd w:val="0"/>
        <w:spacing w:line="240" w:lineRule="auto"/>
        <w:jc w:val="left"/>
        <w:rPr>
          <w:rFonts w:cs="Arial"/>
          <w:sz w:val="20"/>
          <w:lang w:val="de-DE" w:eastAsia="en-US"/>
        </w:rPr>
      </w:pPr>
    </w:p>
    <w:p w14:paraId="27D2A1DC" w14:textId="77777777" w:rsidR="0072215F" w:rsidRPr="00760799" w:rsidRDefault="0072215F" w:rsidP="0072215F">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rPr>
          <w:rFonts w:ascii="Calibri" w:hAnsi="Calibri" w:cs="Arial"/>
          <w:b/>
          <w:bCs/>
          <w:kern w:val="32"/>
          <w:szCs w:val="32"/>
        </w:rPr>
      </w:pPr>
      <w:bookmarkStart w:id="144" w:name="_Toc93523326"/>
      <w:r w:rsidRPr="00760799">
        <w:rPr>
          <w:rFonts w:ascii="Calibri" w:hAnsi="Calibri" w:cs="Arial"/>
          <w:b/>
          <w:bCs/>
          <w:kern w:val="32"/>
          <w:szCs w:val="32"/>
        </w:rPr>
        <w:t>Anhang: Wirtschaftliche Analyse (optional)</w:t>
      </w:r>
      <w:bookmarkEnd w:id="141"/>
      <w:bookmarkEnd w:id="142"/>
      <w:bookmarkEnd w:id="143"/>
      <w:bookmarkEnd w:id="144"/>
    </w:p>
    <w:p w14:paraId="56984E9C" w14:textId="77777777" w:rsidR="0072215F" w:rsidRDefault="0072215F" w:rsidP="0072215F">
      <w:pPr>
        <w:spacing w:after="120" w:line="276" w:lineRule="auto"/>
        <w:jc w:val="both"/>
        <w:rPr>
          <w:rFonts w:ascii="Calibri" w:hAnsi="Calibri" w:cs="Calibri"/>
          <w:szCs w:val="22"/>
        </w:rPr>
      </w:pPr>
      <w:r w:rsidRPr="00760799">
        <w:rPr>
          <w:rFonts w:ascii="Calibri" w:hAnsi="Calibri" w:cs="Calibri"/>
          <w:szCs w:val="22"/>
        </w:rPr>
        <w:t>---</w:t>
      </w:r>
    </w:p>
    <w:p w14:paraId="2C0CA0C6" w14:textId="77777777" w:rsidR="00DF45C4" w:rsidRPr="00A04449" w:rsidRDefault="00DF45C4" w:rsidP="00A04449">
      <w:pPr>
        <w:spacing w:after="120" w:line="276" w:lineRule="auto"/>
        <w:jc w:val="both"/>
        <w:rPr>
          <w:rFonts w:ascii="Calibri" w:hAnsi="Calibri" w:cs="Calibri"/>
          <w:szCs w:val="22"/>
        </w:rPr>
      </w:pPr>
    </w:p>
    <w:sectPr w:rsidR="00DF45C4" w:rsidRPr="00A04449" w:rsidSect="009D23CD">
      <w:headerReference w:type="even" r:id="rId58"/>
      <w:footerReference w:type="even" r:id="rId59"/>
      <w:headerReference w:type="first" r:id="rId60"/>
      <w:footerReference w:type="first" r:id="rId61"/>
      <w:pgSz w:w="11906" w:h="16838"/>
      <w:pgMar w:top="743" w:right="1106" w:bottom="851"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7BE4C" w14:textId="77777777" w:rsidR="009C46C4" w:rsidRDefault="009C46C4">
      <w:r>
        <w:separator/>
      </w:r>
    </w:p>
    <w:p w14:paraId="7EFC3236" w14:textId="77777777" w:rsidR="009C46C4" w:rsidRDefault="009C46C4"/>
  </w:endnote>
  <w:endnote w:type="continuationSeparator" w:id="0">
    <w:p w14:paraId="463B4650" w14:textId="77777777" w:rsidR="009C46C4" w:rsidRDefault="009C46C4">
      <w:r>
        <w:continuationSeparator/>
      </w:r>
    </w:p>
    <w:p w14:paraId="6B055635" w14:textId="77777777" w:rsidR="009C46C4" w:rsidRDefault="009C4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A603" w14:textId="55E2E8AD" w:rsidR="00564EAE" w:rsidRDefault="00564EAE"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820564">
      <w:rPr>
        <w:noProof/>
        <w:sz w:val="18"/>
        <w:szCs w:val="18"/>
      </w:rPr>
      <w:t>1</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820564">
      <w:rPr>
        <w:noProof/>
        <w:sz w:val="18"/>
        <w:szCs w:val="18"/>
      </w:rPr>
      <w:t>51</w:t>
    </w:r>
    <w:r>
      <w:rPr>
        <w:sz w:val="18"/>
        <w:szCs w:val="18"/>
      </w:rPr>
      <w:fldChar w:fldCharType="end"/>
    </w:r>
  </w:p>
  <w:p w14:paraId="1AC1B741" w14:textId="77777777" w:rsidR="00564EAE" w:rsidRPr="00B6342E" w:rsidRDefault="00564EAE"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3DEAF" w14:textId="77777777" w:rsidR="00564EAE" w:rsidRDefault="00564EAE">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C:\Users\Michi\Desktop\X-NEU\2017-11-01 Leitlinie CRC.docx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009C" w14:textId="77777777" w:rsidR="00564EAE" w:rsidRDefault="00564EA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AC6A6" w14:textId="77777777" w:rsidR="00564EAE" w:rsidRDefault="00564E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FD19" w14:textId="77777777" w:rsidR="009C46C4" w:rsidRDefault="009C46C4">
      <w:r>
        <w:separator/>
      </w:r>
    </w:p>
    <w:p w14:paraId="716A5496" w14:textId="77777777" w:rsidR="009C46C4" w:rsidRDefault="009C46C4"/>
  </w:footnote>
  <w:footnote w:type="continuationSeparator" w:id="0">
    <w:p w14:paraId="730B8B64" w14:textId="77777777" w:rsidR="009C46C4" w:rsidRDefault="009C46C4">
      <w:r>
        <w:continuationSeparator/>
      </w:r>
    </w:p>
    <w:p w14:paraId="1CEF7A69" w14:textId="77777777" w:rsidR="009C46C4" w:rsidRDefault="009C46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FCEB" w14:textId="77777777" w:rsidR="00564EAE" w:rsidRDefault="00564EAE">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6579D83" w14:textId="77777777" w:rsidR="00564EAE" w:rsidRDefault="00564EA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50"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9"/>
      <w:gridCol w:w="3544"/>
    </w:tblGrid>
    <w:tr w:rsidR="00564EAE" w14:paraId="4B7E4EA3" w14:textId="77777777" w:rsidTr="00564EAE">
      <w:tc>
        <w:tcPr>
          <w:tcW w:w="3687" w:type="dxa"/>
          <w:tcBorders>
            <w:top w:val="nil"/>
            <w:left w:val="nil"/>
            <w:bottom w:val="single" w:sz="4" w:space="0" w:color="auto"/>
            <w:right w:val="nil"/>
          </w:tcBorders>
          <w:hideMark/>
        </w:tcPr>
        <w:p w14:paraId="421381D6" w14:textId="77777777" w:rsidR="00564EAE" w:rsidRDefault="00564EAE" w:rsidP="00564EAE">
          <w:pPr>
            <w:pStyle w:val="Kopfzeile"/>
            <w:tabs>
              <w:tab w:val="clear" w:pos="4536"/>
              <w:tab w:val="left" w:pos="7537"/>
            </w:tabs>
            <w:spacing w:line="240" w:lineRule="auto"/>
            <w:ind w:left="-74" w:right="357"/>
            <w:jc w:val="left"/>
          </w:pPr>
          <w:r>
            <w:rPr>
              <w:noProof/>
              <w:lang w:eastAsia="de-AT"/>
            </w:rPr>
            <w:drawing>
              <wp:inline distT="0" distB="0" distL="0" distR="0" wp14:anchorId="185844BB" wp14:editId="0D517C79">
                <wp:extent cx="1085850" cy="4667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3312" b="12927"/>
                        <a:stretch>
                          <a:fillRect/>
                        </a:stretch>
                      </pic:blipFill>
                      <pic:spPr bwMode="auto">
                        <a:xfrm>
                          <a:off x="0" y="0"/>
                          <a:ext cx="1085850" cy="466725"/>
                        </a:xfrm>
                        <a:prstGeom prst="rect">
                          <a:avLst/>
                        </a:prstGeom>
                        <a:noFill/>
                        <a:ln>
                          <a:noFill/>
                        </a:ln>
                      </pic:spPr>
                    </pic:pic>
                  </a:graphicData>
                </a:graphic>
              </wp:inline>
            </w:drawing>
          </w:r>
        </w:p>
      </w:tc>
      <w:tc>
        <w:tcPr>
          <w:tcW w:w="3119" w:type="dxa"/>
          <w:tcBorders>
            <w:top w:val="nil"/>
            <w:left w:val="nil"/>
            <w:bottom w:val="single" w:sz="4" w:space="0" w:color="auto"/>
            <w:right w:val="nil"/>
          </w:tcBorders>
          <w:vAlign w:val="center"/>
          <w:hideMark/>
        </w:tcPr>
        <w:p w14:paraId="0168BE78" w14:textId="77777777" w:rsidR="00564EAE" w:rsidRDefault="00564EAE" w:rsidP="00564EAE">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2A5FBF43" w14:textId="77777777" w:rsidR="00564EAE" w:rsidRDefault="00564EAE" w:rsidP="00564EAE">
          <w:pPr>
            <w:tabs>
              <w:tab w:val="center" w:pos="4536"/>
              <w:tab w:val="right" w:pos="9072"/>
            </w:tabs>
            <w:spacing w:line="240" w:lineRule="auto"/>
          </w:pPr>
          <w:r>
            <w:rPr>
              <w:rFonts w:cs="Arial"/>
              <w:b/>
              <w:sz w:val="18"/>
              <w:szCs w:val="18"/>
              <w:lang w:val="de-DE" w:eastAsia="ar-SA"/>
            </w:rPr>
            <w:t>Tumorzentrum Oberösterreich</w:t>
          </w:r>
        </w:p>
      </w:tc>
      <w:tc>
        <w:tcPr>
          <w:tcW w:w="3544" w:type="dxa"/>
          <w:tcBorders>
            <w:top w:val="nil"/>
            <w:left w:val="nil"/>
            <w:bottom w:val="single" w:sz="4" w:space="0" w:color="auto"/>
            <w:right w:val="nil"/>
          </w:tcBorders>
          <w:vAlign w:val="center"/>
          <w:hideMark/>
        </w:tcPr>
        <w:p w14:paraId="363933A0" w14:textId="77777777" w:rsidR="00564EAE" w:rsidRDefault="00564EAE" w:rsidP="00564EAE">
          <w:pPr>
            <w:pStyle w:val="Kopfzeile"/>
            <w:tabs>
              <w:tab w:val="clear" w:pos="4536"/>
              <w:tab w:val="left" w:pos="7537"/>
            </w:tabs>
            <w:spacing w:line="240" w:lineRule="auto"/>
            <w:jc w:val="right"/>
          </w:pPr>
          <w:r>
            <w:rPr>
              <w:rFonts w:cs="Arial"/>
              <w:b/>
              <w:sz w:val="18"/>
              <w:szCs w:val="18"/>
              <w:lang w:val="de-DE" w:eastAsia="ar-SA"/>
            </w:rPr>
            <w:t>Leitlinie</w:t>
          </w:r>
          <w:r>
            <w:rPr>
              <w:rFonts w:cs="Arial"/>
              <w:b/>
              <w:sz w:val="18"/>
              <w:szCs w:val="18"/>
              <w:lang w:val="de-DE" w:eastAsia="ar-SA"/>
            </w:rPr>
            <w:br/>
          </w:r>
          <w:sdt>
            <w:sdtPr>
              <w:rPr>
                <w:rFonts w:cs="Arial"/>
                <w:sz w:val="18"/>
                <w:szCs w:val="18"/>
                <w:lang w:val="de-DE" w:eastAsia="ar-SA"/>
              </w:rPr>
              <w:alias w:val="Tite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Colorektalkarzinom</w:t>
              </w:r>
            </w:sdtContent>
          </w:sdt>
        </w:p>
      </w:tc>
    </w:tr>
  </w:tbl>
  <w:p w14:paraId="479BACB7" w14:textId="77777777" w:rsidR="00564EAE" w:rsidRDefault="00564EAE" w:rsidP="00564EAE">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2248" w14:textId="77777777" w:rsidR="00564EAE" w:rsidRDefault="00564EAE">
    <w:pPr>
      <w:pStyle w:val="Kopfzeile"/>
      <w:jc w:val="right"/>
    </w:pPr>
    <w:r>
      <w:rPr>
        <w:noProof/>
        <w:sz w:val="20"/>
        <w:lang w:eastAsia="de-AT"/>
      </w:rPr>
      <w:drawing>
        <wp:anchor distT="0" distB="0" distL="114300" distR="114300" simplePos="0" relativeHeight="251659264" behindDoc="0" locked="0" layoutInCell="1" allowOverlap="1" wp14:anchorId="0A20ECD3" wp14:editId="2C2A1D57">
          <wp:simplePos x="0" y="0"/>
          <wp:positionH relativeFrom="column">
            <wp:posOffset>-48895</wp:posOffset>
          </wp:positionH>
          <wp:positionV relativeFrom="paragraph">
            <wp:posOffset>-14605</wp:posOffset>
          </wp:positionV>
          <wp:extent cx="1010920" cy="310515"/>
          <wp:effectExtent l="0" t="0" r="0" b="0"/>
          <wp:wrapSquare wrapText="bothSides"/>
          <wp:docPr id="11"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1</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C86C7" w14:textId="77777777" w:rsidR="00564EAE" w:rsidRDefault="00564EA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F940" w14:textId="77777777" w:rsidR="00564EAE" w:rsidRDefault="00564E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7DCD"/>
    <w:multiLevelType w:val="hybridMultilevel"/>
    <w:tmpl w:val="EC40D5A6"/>
    <w:lvl w:ilvl="0" w:tplc="4C780BE2">
      <w:numFmt w:val="bullet"/>
      <w:lvlText w:val="-"/>
      <w:lvlJc w:val="left"/>
      <w:pPr>
        <w:ind w:left="1506" w:hanging="360"/>
      </w:pPr>
      <w:rPr>
        <w:rFonts w:ascii="Calibri" w:eastAsia="Times New Roman" w:hAnsi="Calibri" w:cs="Calibri" w:hint="default"/>
      </w:rPr>
    </w:lvl>
    <w:lvl w:ilvl="1" w:tplc="0C070003" w:tentative="1">
      <w:start w:val="1"/>
      <w:numFmt w:val="bullet"/>
      <w:lvlText w:val="o"/>
      <w:lvlJc w:val="left"/>
      <w:pPr>
        <w:ind w:left="2226" w:hanging="360"/>
      </w:pPr>
      <w:rPr>
        <w:rFonts w:ascii="Courier New" w:hAnsi="Courier New" w:cs="Courier New" w:hint="default"/>
      </w:rPr>
    </w:lvl>
    <w:lvl w:ilvl="2" w:tplc="0C070005" w:tentative="1">
      <w:start w:val="1"/>
      <w:numFmt w:val="bullet"/>
      <w:lvlText w:val=""/>
      <w:lvlJc w:val="left"/>
      <w:pPr>
        <w:ind w:left="2946" w:hanging="360"/>
      </w:pPr>
      <w:rPr>
        <w:rFonts w:ascii="Wingdings" w:hAnsi="Wingdings" w:hint="default"/>
      </w:rPr>
    </w:lvl>
    <w:lvl w:ilvl="3" w:tplc="0C070001" w:tentative="1">
      <w:start w:val="1"/>
      <w:numFmt w:val="bullet"/>
      <w:lvlText w:val=""/>
      <w:lvlJc w:val="left"/>
      <w:pPr>
        <w:ind w:left="3666" w:hanging="360"/>
      </w:pPr>
      <w:rPr>
        <w:rFonts w:ascii="Symbol" w:hAnsi="Symbol" w:hint="default"/>
      </w:rPr>
    </w:lvl>
    <w:lvl w:ilvl="4" w:tplc="0C070003" w:tentative="1">
      <w:start w:val="1"/>
      <w:numFmt w:val="bullet"/>
      <w:lvlText w:val="o"/>
      <w:lvlJc w:val="left"/>
      <w:pPr>
        <w:ind w:left="4386" w:hanging="360"/>
      </w:pPr>
      <w:rPr>
        <w:rFonts w:ascii="Courier New" w:hAnsi="Courier New" w:cs="Courier New" w:hint="default"/>
      </w:rPr>
    </w:lvl>
    <w:lvl w:ilvl="5" w:tplc="0C070005" w:tentative="1">
      <w:start w:val="1"/>
      <w:numFmt w:val="bullet"/>
      <w:lvlText w:val=""/>
      <w:lvlJc w:val="left"/>
      <w:pPr>
        <w:ind w:left="5106" w:hanging="360"/>
      </w:pPr>
      <w:rPr>
        <w:rFonts w:ascii="Wingdings" w:hAnsi="Wingdings" w:hint="default"/>
      </w:rPr>
    </w:lvl>
    <w:lvl w:ilvl="6" w:tplc="0C070001" w:tentative="1">
      <w:start w:val="1"/>
      <w:numFmt w:val="bullet"/>
      <w:lvlText w:val=""/>
      <w:lvlJc w:val="left"/>
      <w:pPr>
        <w:ind w:left="5826" w:hanging="360"/>
      </w:pPr>
      <w:rPr>
        <w:rFonts w:ascii="Symbol" w:hAnsi="Symbol" w:hint="default"/>
      </w:rPr>
    </w:lvl>
    <w:lvl w:ilvl="7" w:tplc="0C070003" w:tentative="1">
      <w:start w:val="1"/>
      <w:numFmt w:val="bullet"/>
      <w:lvlText w:val="o"/>
      <w:lvlJc w:val="left"/>
      <w:pPr>
        <w:ind w:left="6546" w:hanging="360"/>
      </w:pPr>
      <w:rPr>
        <w:rFonts w:ascii="Courier New" w:hAnsi="Courier New" w:cs="Courier New" w:hint="default"/>
      </w:rPr>
    </w:lvl>
    <w:lvl w:ilvl="8" w:tplc="0C070005" w:tentative="1">
      <w:start w:val="1"/>
      <w:numFmt w:val="bullet"/>
      <w:lvlText w:val=""/>
      <w:lvlJc w:val="left"/>
      <w:pPr>
        <w:ind w:left="7266" w:hanging="360"/>
      </w:pPr>
      <w:rPr>
        <w:rFonts w:ascii="Wingdings" w:hAnsi="Wingdings" w:hint="default"/>
      </w:rPr>
    </w:lvl>
  </w:abstractNum>
  <w:abstractNum w:abstractNumId="1" w15:restartNumberingAfterBreak="0">
    <w:nsid w:val="0D731401"/>
    <w:multiLevelType w:val="hybridMultilevel"/>
    <w:tmpl w:val="20F83BB2"/>
    <w:lvl w:ilvl="0" w:tplc="A1DC25C4">
      <w:start w:val="1"/>
      <w:numFmt w:val="decimal"/>
      <w:lvlText w:val="%1)"/>
      <w:lvlJc w:val="left"/>
      <w:pPr>
        <w:ind w:left="704" w:hanging="42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 w15:restartNumberingAfterBreak="0">
    <w:nsid w:val="111E69A7"/>
    <w:multiLevelType w:val="hybridMultilevel"/>
    <w:tmpl w:val="14B25316"/>
    <w:lvl w:ilvl="0" w:tplc="4C780BE2">
      <w:numFmt w:val="bullet"/>
      <w:lvlText w:val="-"/>
      <w:lvlJc w:val="left"/>
      <w:pPr>
        <w:ind w:left="1506" w:hanging="360"/>
      </w:pPr>
      <w:rPr>
        <w:rFonts w:ascii="Calibri" w:eastAsia="Times New Roman" w:hAnsi="Calibri" w:cs="Calibri" w:hint="default"/>
      </w:rPr>
    </w:lvl>
    <w:lvl w:ilvl="1" w:tplc="0C070003" w:tentative="1">
      <w:start w:val="1"/>
      <w:numFmt w:val="bullet"/>
      <w:lvlText w:val="o"/>
      <w:lvlJc w:val="left"/>
      <w:pPr>
        <w:ind w:left="2226" w:hanging="360"/>
      </w:pPr>
      <w:rPr>
        <w:rFonts w:ascii="Courier New" w:hAnsi="Courier New" w:cs="Courier New" w:hint="default"/>
      </w:rPr>
    </w:lvl>
    <w:lvl w:ilvl="2" w:tplc="0C070005" w:tentative="1">
      <w:start w:val="1"/>
      <w:numFmt w:val="bullet"/>
      <w:lvlText w:val=""/>
      <w:lvlJc w:val="left"/>
      <w:pPr>
        <w:ind w:left="2946" w:hanging="360"/>
      </w:pPr>
      <w:rPr>
        <w:rFonts w:ascii="Wingdings" w:hAnsi="Wingdings" w:hint="default"/>
      </w:rPr>
    </w:lvl>
    <w:lvl w:ilvl="3" w:tplc="0C070001" w:tentative="1">
      <w:start w:val="1"/>
      <w:numFmt w:val="bullet"/>
      <w:lvlText w:val=""/>
      <w:lvlJc w:val="left"/>
      <w:pPr>
        <w:ind w:left="3666" w:hanging="360"/>
      </w:pPr>
      <w:rPr>
        <w:rFonts w:ascii="Symbol" w:hAnsi="Symbol" w:hint="default"/>
      </w:rPr>
    </w:lvl>
    <w:lvl w:ilvl="4" w:tplc="0C070003" w:tentative="1">
      <w:start w:val="1"/>
      <w:numFmt w:val="bullet"/>
      <w:lvlText w:val="o"/>
      <w:lvlJc w:val="left"/>
      <w:pPr>
        <w:ind w:left="4386" w:hanging="360"/>
      </w:pPr>
      <w:rPr>
        <w:rFonts w:ascii="Courier New" w:hAnsi="Courier New" w:cs="Courier New" w:hint="default"/>
      </w:rPr>
    </w:lvl>
    <w:lvl w:ilvl="5" w:tplc="0C070005" w:tentative="1">
      <w:start w:val="1"/>
      <w:numFmt w:val="bullet"/>
      <w:lvlText w:val=""/>
      <w:lvlJc w:val="left"/>
      <w:pPr>
        <w:ind w:left="5106" w:hanging="360"/>
      </w:pPr>
      <w:rPr>
        <w:rFonts w:ascii="Wingdings" w:hAnsi="Wingdings" w:hint="default"/>
      </w:rPr>
    </w:lvl>
    <w:lvl w:ilvl="6" w:tplc="0C070001" w:tentative="1">
      <w:start w:val="1"/>
      <w:numFmt w:val="bullet"/>
      <w:lvlText w:val=""/>
      <w:lvlJc w:val="left"/>
      <w:pPr>
        <w:ind w:left="5826" w:hanging="360"/>
      </w:pPr>
      <w:rPr>
        <w:rFonts w:ascii="Symbol" w:hAnsi="Symbol" w:hint="default"/>
      </w:rPr>
    </w:lvl>
    <w:lvl w:ilvl="7" w:tplc="0C070003" w:tentative="1">
      <w:start w:val="1"/>
      <w:numFmt w:val="bullet"/>
      <w:lvlText w:val="o"/>
      <w:lvlJc w:val="left"/>
      <w:pPr>
        <w:ind w:left="6546" w:hanging="360"/>
      </w:pPr>
      <w:rPr>
        <w:rFonts w:ascii="Courier New" w:hAnsi="Courier New" w:cs="Courier New" w:hint="default"/>
      </w:rPr>
    </w:lvl>
    <w:lvl w:ilvl="8" w:tplc="0C070005" w:tentative="1">
      <w:start w:val="1"/>
      <w:numFmt w:val="bullet"/>
      <w:lvlText w:val=""/>
      <w:lvlJc w:val="left"/>
      <w:pPr>
        <w:ind w:left="7266" w:hanging="360"/>
      </w:pPr>
      <w:rPr>
        <w:rFonts w:ascii="Wingdings" w:hAnsi="Wingdings" w:hint="default"/>
      </w:rPr>
    </w:lvl>
  </w:abstractNum>
  <w:abstractNum w:abstractNumId="3" w15:restartNumberingAfterBreak="0">
    <w:nsid w:val="11D60051"/>
    <w:multiLevelType w:val="hybridMultilevel"/>
    <w:tmpl w:val="7624D35A"/>
    <w:lvl w:ilvl="0" w:tplc="0C070005">
      <w:start w:val="1"/>
      <w:numFmt w:val="bullet"/>
      <w:lvlText w:val=""/>
      <w:lvlJc w:val="left"/>
      <w:pPr>
        <w:ind w:left="360" w:hanging="360"/>
      </w:pPr>
      <w:rPr>
        <w:rFonts w:ascii="Wingdings" w:hAnsi="Wingdings" w:hint="default"/>
      </w:rPr>
    </w:lvl>
    <w:lvl w:ilvl="1" w:tplc="C0786404">
      <w:start w:val="1"/>
      <w:numFmt w:val="bullet"/>
      <w:lvlText w:val=""/>
      <w:lvlJc w:val="left"/>
      <w:pPr>
        <w:ind w:left="1080" w:hanging="360"/>
      </w:pPr>
      <w:rPr>
        <w:rFonts w:ascii="Symbol" w:hAnsi="Symbol" w:hint="default"/>
        <w:color w:val="auto"/>
      </w:rPr>
    </w:lvl>
    <w:lvl w:ilvl="2" w:tplc="4C780BE2">
      <w:numFmt w:val="bullet"/>
      <w:lvlText w:val="-"/>
      <w:lvlJc w:val="left"/>
      <w:pPr>
        <w:ind w:left="1800" w:hanging="360"/>
      </w:pPr>
      <w:rPr>
        <w:rFonts w:ascii="Calibri" w:eastAsia="Times New Roman" w:hAnsi="Calibri" w:cs="Calibri"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5" w15:restartNumberingAfterBreak="0">
    <w:nsid w:val="159D6950"/>
    <w:multiLevelType w:val="multilevel"/>
    <w:tmpl w:val="E3DE667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72818D8"/>
    <w:multiLevelType w:val="hybridMultilevel"/>
    <w:tmpl w:val="77B02E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02166D"/>
    <w:multiLevelType w:val="multilevel"/>
    <w:tmpl w:val="0CBE176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E511AE"/>
    <w:multiLevelType w:val="hybridMultilevel"/>
    <w:tmpl w:val="FEAE1736"/>
    <w:lvl w:ilvl="0" w:tplc="4C780BE2">
      <w:numFmt w:val="bullet"/>
      <w:lvlText w:val="-"/>
      <w:lvlJc w:val="left"/>
      <w:pPr>
        <w:ind w:left="2484" w:hanging="360"/>
      </w:pPr>
      <w:rPr>
        <w:rFonts w:ascii="Calibri" w:eastAsia="Times New Roman" w:hAnsi="Calibri" w:cs="Calibri" w:hint="default"/>
      </w:rPr>
    </w:lvl>
    <w:lvl w:ilvl="1" w:tplc="4C780BE2">
      <w:numFmt w:val="bullet"/>
      <w:lvlText w:val="-"/>
      <w:lvlJc w:val="left"/>
      <w:pPr>
        <w:ind w:left="3204" w:hanging="360"/>
      </w:pPr>
      <w:rPr>
        <w:rFonts w:ascii="Calibri" w:eastAsia="Times New Roman" w:hAnsi="Calibri" w:cs="Calibri" w:hint="default"/>
      </w:rPr>
    </w:lvl>
    <w:lvl w:ilvl="2" w:tplc="0C070005" w:tentative="1">
      <w:start w:val="1"/>
      <w:numFmt w:val="bullet"/>
      <w:lvlText w:val=""/>
      <w:lvlJc w:val="left"/>
      <w:pPr>
        <w:ind w:left="3924" w:hanging="360"/>
      </w:pPr>
      <w:rPr>
        <w:rFonts w:ascii="Wingdings" w:hAnsi="Wingdings" w:hint="default"/>
      </w:rPr>
    </w:lvl>
    <w:lvl w:ilvl="3" w:tplc="0C070001" w:tentative="1">
      <w:start w:val="1"/>
      <w:numFmt w:val="bullet"/>
      <w:lvlText w:val=""/>
      <w:lvlJc w:val="left"/>
      <w:pPr>
        <w:ind w:left="4644" w:hanging="360"/>
      </w:pPr>
      <w:rPr>
        <w:rFonts w:ascii="Symbol" w:hAnsi="Symbol" w:hint="default"/>
      </w:rPr>
    </w:lvl>
    <w:lvl w:ilvl="4" w:tplc="0C070003" w:tentative="1">
      <w:start w:val="1"/>
      <w:numFmt w:val="bullet"/>
      <w:lvlText w:val="o"/>
      <w:lvlJc w:val="left"/>
      <w:pPr>
        <w:ind w:left="5364" w:hanging="360"/>
      </w:pPr>
      <w:rPr>
        <w:rFonts w:ascii="Courier New" w:hAnsi="Courier New" w:cs="Courier New" w:hint="default"/>
      </w:rPr>
    </w:lvl>
    <w:lvl w:ilvl="5" w:tplc="0C070005" w:tentative="1">
      <w:start w:val="1"/>
      <w:numFmt w:val="bullet"/>
      <w:lvlText w:val=""/>
      <w:lvlJc w:val="left"/>
      <w:pPr>
        <w:ind w:left="6084" w:hanging="360"/>
      </w:pPr>
      <w:rPr>
        <w:rFonts w:ascii="Wingdings" w:hAnsi="Wingdings" w:hint="default"/>
      </w:rPr>
    </w:lvl>
    <w:lvl w:ilvl="6" w:tplc="0C070001" w:tentative="1">
      <w:start w:val="1"/>
      <w:numFmt w:val="bullet"/>
      <w:lvlText w:val=""/>
      <w:lvlJc w:val="left"/>
      <w:pPr>
        <w:ind w:left="6804" w:hanging="360"/>
      </w:pPr>
      <w:rPr>
        <w:rFonts w:ascii="Symbol" w:hAnsi="Symbol" w:hint="default"/>
      </w:rPr>
    </w:lvl>
    <w:lvl w:ilvl="7" w:tplc="0C070003" w:tentative="1">
      <w:start w:val="1"/>
      <w:numFmt w:val="bullet"/>
      <w:lvlText w:val="o"/>
      <w:lvlJc w:val="left"/>
      <w:pPr>
        <w:ind w:left="7524" w:hanging="360"/>
      </w:pPr>
      <w:rPr>
        <w:rFonts w:ascii="Courier New" w:hAnsi="Courier New" w:cs="Courier New" w:hint="default"/>
      </w:rPr>
    </w:lvl>
    <w:lvl w:ilvl="8" w:tplc="0C070005" w:tentative="1">
      <w:start w:val="1"/>
      <w:numFmt w:val="bullet"/>
      <w:lvlText w:val=""/>
      <w:lvlJc w:val="left"/>
      <w:pPr>
        <w:ind w:left="8244" w:hanging="360"/>
      </w:pPr>
      <w:rPr>
        <w:rFonts w:ascii="Wingdings" w:hAnsi="Wingdings" w:hint="default"/>
      </w:rPr>
    </w:lvl>
  </w:abstractNum>
  <w:abstractNum w:abstractNumId="9" w15:restartNumberingAfterBreak="0">
    <w:nsid w:val="26583F36"/>
    <w:multiLevelType w:val="hybridMultilevel"/>
    <w:tmpl w:val="B8B0CE5A"/>
    <w:lvl w:ilvl="0" w:tplc="0C070005">
      <w:start w:val="1"/>
      <w:numFmt w:val="bullet"/>
      <w:lvlText w:val=""/>
      <w:lvlJc w:val="left"/>
      <w:pPr>
        <w:ind w:left="720" w:hanging="360"/>
      </w:pPr>
      <w:rPr>
        <w:rFonts w:ascii="Wingdings" w:hAnsi="Wingdings" w:hint="default"/>
      </w:rPr>
    </w:lvl>
    <w:lvl w:ilvl="1" w:tplc="4C780BE2">
      <w:numFmt w:val="bullet"/>
      <w:lvlText w:val="-"/>
      <w:lvlJc w:val="left"/>
      <w:pPr>
        <w:ind w:left="1440" w:hanging="360"/>
      </w:pPr>
      <w:rPr>
        <w:rFonts w:ascii="Calibri" w:eastAsia="Times New Roman"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9CD6A50"/>
    <w:multiLevelType w:val="multilevel"/>
    <w:tmpl w:val="8E8E63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696244"/>
    <w:multiLevelType w:val="hybridMultilevel"/>
    <w:tmpl w:val="243EC2C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FF57F2D"/>
    <w:multiLevelType w:val="hybridMultilevel"/>
    <w:tmpl w:val="4AFC2AEA"/>
    <w:lvl w:ilvl="0" w:tplc="4C780BE2">
      <w:numFmt w:val="bullet"/>
      <w:lvlText w:val="-"/>
      <w:lvlJc w:val="left"/>
      <w:pPr>
        <w:ind w:left="2484" w:hanging="360"/>
      </w:pPr>
      <w:rPr>
        <w:rFonts w:ascii="Calibri" w:eastAsia="Times New Roman" w:hAnsi="Calibri" w:cs="Calibri" w:hint="default"/>
      </w:rPr>
    </w:lvl>
    <w:lvl w:ilvl="1" w:tplc="0C070003" w:tentative="1">
      <w:start w:val="1"/>
      <w:numFmt w:val="bullet"/>
      <w:lvlText w:val="o"/>
      <w:lvlJc w:val="left"/>
      <w:pPr>
        <w:ind w:left="3204" w:hanging="360"/>
      </w:pPr>
      <w:rPr>
        <w:rFonts w:ascii="Courier New" w:hAnsi="Courier New" w:cs="Courier New" w:hint="default"/>
      </w:rPr>
    </w:lvl>
    <w:lvl w:ilvl="2" w:tplc="0C070005" w:tentative="1">
      <w:start w:val="1"/>
      <w:numFmt w:val="bullet"/>
      <w:lvlText w:val=""/>
      <w:lvlJc w:val="left"/>
      <w:pPr>
        <w:ind w:left="3924" w:hanging="360"/>
      </w:pPr>
      <w:rPr>
        <w:rFonts w:ascii="Wingdings" w:hAnsi="Wingdings" w:hint="default"/>
      </w:rPr>
    </w:lvl>
    <w:lvl w:ilvl="3" w:tplc="0C070001" w:tentative="1">
      <w:start w:val="1"/>
      <w:numFmt w:val="bullet"/>
      <w:lvlText w:val=""/>
      <w:lvlJc w:val="left"/>
      <w:pPr>
        <w:ind w:left="4644" w:hanging="360"/>
      </w:pPr>
      <w:rPr>
        <w:rFonts w:ascii="Symbol" w:hAnsi="Symbol" w:hint="default"/>
      </w:rPr>
    </w:lvl>
    <w:lvl w:ilvl="4" w:tplc="0C070003" w:tentative="1">
      <w:start w:val="1"/>
      <w:numFmt w:val="bullet"/>
      <w:lvlText w:val="o"/>
      <w:lvlJc w:val="left"/>
      <w:pPr>
        <w:ind w:left="5364" w:hanging="360"/>
      </w:pPr>
      <w:rPr>
        <w:rFonts w:ascii="Courier New" w:hAnsi="Courier New" w:cs="Courier New" w:hint="default"/>
      </w:rPr>
    </w:lvl>
    <w:lvl w:ilvl="5" w:tplc="0C070005" w:tentative="1">
      <w:start w:val="1"/>
      <w:numFmt w:val="bullet"/>
      <w:lvlText w:val=""/>
      <w:lvlJc w:val="left"/>
      <w:pPr>
        <w:ind w:left="6084" w:hanging="360"/>
      </w:pPr>
      <w:rPr>
        <w:rFonts w:ascii="Wingdings" w:hAnsi="Wingdings" w:hint="default"/>
      </w:rPr>
    </w:lvl>
    <w:lvl w:ilvl="6" w:tplc="0C070001" w:tentative="1">
      <w:start w:val="1"/>
      <w:numFmt w:val="bullet"/>
      <w:lvlText w:val=""/>
      <w:lvlJc w:val="left"/>
      <w:pPr>
        <w:ind w:left="6804" w:hanging="360"/>
      </w:pPr>
      <w:rPr>
        <w:rFonts w:ascii="Symbol" w:hAnsi="Symbol" w:hint="default"/>
      </w:rPr>
    </w:lvl>
    <w:lvl w:ilvl="7" w:tplc="0C070003" w:tentative="1">
      <w:start w:val="1"/>
      <w:numFmt w:val="bullet"/>
      <w:lvlText w:val="o"/>
      <w:lvlJc w:val="left"/>
      <w:pPr>
        <w:ind w:left="7524" w:hanging="360"/>
      </w:pPr>
      <w:rPr>
        <w:rFonts w:ascii="Courier New" w:hAnsi="Courier New" w:cs="Courier New" w:hint="default"/>
      </w:rPr>
    </w:lvl>
    <w:lvl w:ilvl="8" w:tplc="0C070005" w:tentative="1">
      <w:start w:val="1"/>
      <w:numFmt w:val="bullet"/>
      <w:lvlText w:val=""/>
      <w:lvlJc w:val="left"/>
      <w:pPr>
        <w:ind w:left="8244" w:hanging="360"/>
      </w:pPr>
      <w:rPr>
        <w:rFonts w:ascii="Wingdings" w:hAnsi="Wingdings" w:hint="default"/>
      </w:rPr>
    </w:lvl>
  </w:abstractNum>
  <w:abstractNum w:abstractNumId="13" w15:restartNumberingAfterBreak="0">
    <w:nsid w:val="31541160"/>
    <w:multiLevelType w:val="hybridMultilevel"/>
    <w:tmpl w:val="61CC3B3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55B14DC"/>
    <w:multiLevelType w:val="hybridMultilevel"/>
    <w:tmpl w:val="C37018B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7AE4E05"/>
    <w:multiLevelType w:val="hybridMultilevel"/>
    <w:tmpl w:val="279613B8"/>
    <w:lvl w:ilvl="0" w:tplc="4C780BE2">
      <w:numFmt w:val="bullet"/>
      <w:lvlText w:val="-"/>
      <w:lvlJc w:val="left"/>
      <w:pPr>
        <w:ind w:left="786" w:hanging="360"/>
      </w:pPr>
      <w:rPr>
        <w:rFonts w:ascii="Calibri" w:eastAsia="Times New Roman" w:hAnsi="Calibri" w:cs="Calibri"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6" w15:restartNumberingAfterBreak="0">
    <w:nsid w:val="39441A70"/>
    <w:multiLevelType w:val="hybridMultilevel"/>
    <w:tmpl w:val="77B02E5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5FD311A"/>
    <w:multiLevelType w:val="hybridMultilevel"/>
    <w:tmpl w:val="9732C148"/>
    <w:lvl w:ilvl="0" w:tplc="ADE8236E">
      <w:start w:val="3"/>
      <w:numFmt w:val="bullet"/>
      <w:lvlText w:val="•"/>
      <w:lvlJc w:val="left"/>
      <w:pPr>
        <w:ind w:left="1080" w:hanging="360"/>
      </w:pPr>
      <w:rPr>
        <w:rFonts w:ascii="Calibri" w:eastAsia="Calibr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8" w15:restartNumberingAfterBreak="0">
    <w:nsid w:val="469F0684"/>
    <w:multiLevelType w:val="hybridMultilevel"/>
    <w:tmpl w:val="AFF25A04"/>
    <w:lvl w:ilvl="0" w:tplc="F398B934">
      <w:numFmt w:val="bullet"/>
      <w:lvlText w:val="-"/>
      <w:lvlJc w:val="left"/>
      <w:pPr>
        <w:ind w:left="644" w:hanging="360"/>
      </w:pPr>
      <w:rPr>
        <w:rFonts w:ascii="Calibri" w:eastAsia="Times New Roman"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9" w15:restartNumberingAfterBreak="0">
    <w:nsid w:val="48077890"/>
    <w:multiLevelType w:val="hybridMultilevel"/>
    <w:tmpl w:val="6CFED962"/>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49161391"/>
    <w:multiLevelType w:val="hybridMultilevel"/>
    <w:tmpl w:val="9BDCB41E"/>
    <w:lvl w:ilvl="0" w:tplc="0C070005">
      <w:start w:val="1"/>
      <w:numFmt w:val="bullet"/>
      <w:lvlText w:val=""/>
      <w:lvlJc w:val="left"/>
      <w:pPr>
        <w:ind w:left="360" w:hanging="360"/>
      </w:pPr>
      <w:rPr>
        <w:rFonts w:ascii="Wingdings" w:hAnsi="Wingdings" w:hint="default"/>
      </w:rPr>
    </w:lvl>
    <w:lvl w:ilvl="1" w:tplc="4C780BE2">
      <w:numFmt w:val="bullet"/>
      <w:lvlText w:val="-"/>
      <w:lvlJc w:val="left"/>
      <w:pPr>
        <w:ind w:left="1080" w:hanging="360"/>
      </w:pPr>
      <w:rPr>
        <w:rFonts w:ascii="Calibri" w:eastAsia="Times New Roman" w:hAnsi="Calibri" w:cs="Calibri"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4D8244C8"/>
    <w:multiLevelType w:val="hybridMultilevel"/>
    <w:tmpl w:val="ACDE5F66"/>
    <w:lvl w:ilvl="0" w:tplc="5100C066">
      <w:start w:val="1"/>
      <w:numFmt w:val="bullet"/>
      <w:lvlText w:val=""/>
      <w:lvlJc w:val="left"/>
      <w:pPr>
        <w:ind w:left="720" w:hanging="360"/>
      </w:pPr>
      <w:rPr>
        <w:rFonts w:ascii="Symbol" w:hAnsi="Symbol" w:hint="default"/>
        <w:sz w:val="24"/>
        <w:szCs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33842B5"/>
    <w:multiLevelType w:val="multilevel"/>
    <w:tmpl w:val="D640F8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8B30F8"/>
    <w:multiLevelType w:val="hybridMultilevel"/>
    <w:tmpl w:val="401009C4"/>
    <w:lvl w:ilvl="0" w:tplc="0C070003">
      <w:start w:val="1"/>
      <w:numFmt w:val="bullet"/>
      <w:lvlText w:val="o"/>
      <w:lvlJc w:val="left"/>
      <w:pPr>
        <w:ind w:left="1866" w:hanging="360"/>
      </w:pPr>
      <w:rPr>
        <w:rFonts w:ascii="Courier New" w:hAnsi="Courier New" w:cs="Courier New" w:hint="default"/>
      </w:rPr>
    </w:lvl>
    <w:lvl w:ilvl="1" w:tplc="0C070003" w:tentative="1">
      <w:start w:val="1"/>
      <w:numFmt w:val="bullet"/>
      <w:lvlText w:val="o"/>
      <w:lvlJc w:val="left"/>
      <w:pPr>
        <w:ind w:left="2586" w:hanging="360"/>
      </w:pPr>
      <w:rPr>
        <w:rFonts w:ascii="Courier New" w:hAnsi="Courier New" w:cs="Courier New" w:hint="default"/>
      </w:rPr>
    </w:lvl>
    <w:lvl w:ilvl="2" w:tplc="0C070005" w:tentative="1">
      <w:start w:val="1"/>
      <w:numFmt w:val="bullet"/>
      <w:lvlText w:val=""/>
      <w:lvlJc w:val="left"/>
      <w:pPr>
        <w:ind w:left="3306" w:hanging="360"/>
      </w:pPr>
      <w:rPr>
        <w:rFonts w:ascii="Wingdings" w:hAnsi="Wingdings" w:hint="default"/>
      </w:rPr>
    </w:lvl>
    <w:lvl w:ilvl="3" w:tplc="0C070001" w:tentative="1">
      <w:start w:val="1"/>
      <w:numFmt w:val="bullet"/>
      <w:lvlText w:val=""/>
      <w:lvlJc w:val="left"/>
      <w:pPr>
        <w:ind w:left="4026" w:hanging="360"/>
      </w:pPr>
      <w:rPr>
        <w:rFonts w:ascii="Symbol" w:hAnsi="Symbol" w:hint="default"/>
      </w:rPr>
    </w:lvl>
    <w:lvl w:ilvl="4" w:tplc="0C070003" w:tentative="1">
      <w:start w:val="1"/>
      <w:numFmt w:val="bullet"/>
      <w:lvlText w:val="o"/>
      <w:lvlJc w:val="left"/>
      <w:pPr>
        <w:ind w:left="4746" w:hanging="360"/>
      </w:pPr>
      <w:rPr>
        <w:rFonts w:ascii="Courier New" w:hAnsi="Courier New" w:cs="Courier New" w:hint="default"/>
      </w:rPr>
    </w:lvl>
    <w:lvl w:ilvl="5" w:tplc="0C070005" w:tentative="1">
      <w:start w:val="1"/>
      <w:numFmt w:val="bullet"/>
      <w:lvlText w:val=""/>
      <w:lvlJc w:val="left"/>
      <w:pPr>
        <w:ind w:left="5466" w:hanging="360"/>
      </w:pPr>
      <w:rPr>
        <w:rFonts w:ascii="Wingdings" w:hAnsi="Wingdings" w:hint="default"/>
      </w:rPr>
    </w:lvl>
    <w:lvl w:ilvl="6" w:tplc="0C070001" w:tentative="1">
      <w:start w:val="1"/>
      <w:numFmt w:val="bullet"/>
      <w:lvlText w:val=""/>
      <w:lvlJc w:val="left"/>
      <w:pPr>
        <w:ind w:left="6186" w:hanging="360"/>
      </w:pPr>
      <w:rPr>
        <w:rFonts w:ascii="Symbol" w:hAnsi="Symbol" w:hint="default"/>
      </w:rPr>
    </w:lvl>
    <w:lvl w:ilvl="7" w:tplc="0C070003" w:tentative="1">
      <w:start w:val="1"/>
      <w:numFmt w:val="bullet"/>
      <w:lvlText w:val="o"/>
      <w:lvlJc w:val="left"/>
      <w:pPr>
        <w:ind w:left="6906" w:hanging="360"/>
      </w:pPr>
      <w:rPr>
        <w:rFonts w:ascii="Courier New" w:hAnsi="Courier New" w:cs="Courier New" w:hint="default"/>
      </w:rPr>
    </w:lvl>
    <w:lvl w:ilvl="8" w:tplc="0C070005" w:tentative="1">
      <w:start w:val="1"/>
      <w:numFmt w:val="bullet"/>
      <w:lvlText w:val=""/>
      <w:lvlJc w:val="left"/>
      <w:pPr>
        <w:ind w:left="7626" w:hanging="360"/>
      </w:pPr>
      <w:rPr>
        <w:rFonts w:ascii="Wingdings" w:hAnsi="Wingdings" w:hint="default"/>
      </w:rPr>
    </w:lvl>
  </w:abstractNum>
  <w:abstractNum w:abstractNumId="24" w15:restartNumberingAfterBreak="0">
    <w:nsid w:val="555322BB"/>
    <w:multiLevelType w:val="hybridMultilevel"/>
    <w:tmpl w:val="E5244E18"/>
    <w:lvl w:ilvl="0" w:tplc="68E0BB3E">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5" w15:restartNumberingAfterBreak="0">
    <w:nsid w:val="59D4634D"/>
    <w:multiLevelType w:val="hybridMultilevel"/>
    <w:tmpl w:val="778CB336"/>
    <w:lvl w:ilvl="0" w:tplc="4C780BE2">
      <w:numFmt w:val="bullet"/>
      <w:lvlText w:val="-"/>
      <w:lvlJc w:val="left"/>
      <w:pPr>
        <w:ind w:left="1506" w:hanging="360"/>
      </w:pPr>
      <w:rPr>
        <w:rFonts w:ascii="Calibri" w:eastAsia="Times New Roman" w:hAnsi="Calibri" w:cs="Calibri" w:hint="default"/>
      </w:rPr>
    </w:lvl>
    <w:lvl w:ilvl="1" w:tplc="0C070003" w:tentative="1">
      <w:start w:val="1"/>
      <w:numFmt w:val="bullet"/>
      <w:lvlText w:val="o"/>
      <w:lvlJc w:val="left"/>
      <w:pPr>
        <w:ind w:left="2226" w:hanging="360"/>
      </w:pPr>
      <w:rPr>
        <w:rFonts w:ascii="Courier New" w:hAnsi="Courier New" w:cs="Courier New" w:hint="default"/>
      </w:rPr>
    </w:lvl>
    <w:lvl w:ilvl="2" w:tplc="0C070005" w:tentative="1">
      <w:start w:val="1"/>
      <w:numFmt w:val="bullet"/>
      <w:lvlText w:val=""/>
      <w:lvlJc w:val="left"/>
      <w:pPr>
        <w:ind w:left="2946" w:hanging="360"/>
      </w:pPr>
      <w:rPr>
        <w:rFonts w:ascii="Wingdings" w:hAnsi="Wingdings" w:hint="default"/>
      </w:rPr>
    </w:lvl>
    <w:lvl w:ilvl="3" w:tplc="0C070001" w:tentative="1">
      <w:start w:val="1"/>
      <w:numFmt w:val="bullet"/>
      <w:lvlText w:val=""/>
      <w:lvlJc w:val="left"/>
      <w:pPr>
        <w:ind w:left="3666" w:hanging="360"/>
      </w:pPr>
      <w:rPr>
        <w:rFonts w:ascii="Symbol" w:hAnsi="Symbol" w:hint="default"/>
      </w:rPr>
    </w:lvl>
    <w:lvl w:ilvl="4" w:tplc="0C070003" w:tentative="1">
      <w:start w:val="1"/>
      <w:numFmt w:val="bullet"/>
      <w:lvlText w:val="o"/>
      <w:lvlJc w:val="left"/>
      <w:pPr>
        <w:ind w:left="4386" w:hanging="360"/>
      </w:pPr>
      <w:rPr>
        <w:rFonts w:ascii="Courier New" w:hAnsi="Courier New" w:cs="Courier New" w:hint="default"/>
      </w:rPr>
    </w:lvl>
    <w:lvl w:ilvl="5" w:tplc="0C070005" w:tentative="1">
      <w:start w:val="1"/>
      <w:numFmt w:val="bullet"/>
      <w:lvlText w:val=""/>
      <w:lvlJc w:val="left"/>
      <w:pPr>
        <w:ind w:left="5106" w:hanging="360"/>
      </w:pPr>
      <w:rPr>
        <w:rFonts w:ascii="Wingdings" w:hAnsi="Wingdings" w:hint="default"/>
      </w:rPr>
    </w:lvl>
    <w:lvl w:ilvl="6" w:tplc="0C070001" w:tentative="1">
      <w:start w:val="1"/>
      <w:numFmt w:val="bullet"/>
      <w:lvlText w:val=""/>
      <w:lvlJc w:val="left"/>
      <w:pPr>
        <w:ind w:left="5826" w:hanging="360"/>
      </w:pPr>
      <w:rPr>
        <w:rFonts w:ascii="Symbol" w:hAnsi="Symbol" w:hint="default"/>
      </w:rPr>
    </w:lvl>
    <w:lvl w:ilvl="7" w:tplc="0C070003" w:tentative="1">
      <w:start w:val="1"/>
      <w:numFmt w:val="bullet"/>
      <w:lvlText w:val="o"/>
      <w:lvlJc w:val="left"/>
      <w:pPr>
        <w:ind w:left="6546" w:hanging="360"/>
      </w:pPr>
      <w:rPr>
        <w:rFonts w:ascii="Courier New" w:hAnsi="Courier New" w:cs="Courier New" w:hint="default"/>
      </w:rPr>
    </w:lvl>
    <w:lvl w:ilvl="8" w:tplc="0C070005" w:tentative="1">
      <w:start w:val="1"/>
      <w:numFmt w:val="bullet"/>
      <w:lvlText w:val=""/>
      <w:lvlJc w:val="left"/>
      <w:pPr>
        <w:ind w:left="7266" w:hanging="360"/>
      </w:pPr>
      <w:rPr>
        <w:rFonts w:ascii="Wingdings" w:hAnsi="Wingdings" w:hint="default"/>
      </w:rPr>
    </w:lvl>
  </w:abstractNum>
  <w:abstractNum w:abstractNumId="26" w15:restartNumberingAfterBreak="0">
    <w:nsid w:val="5F1D1FCC"/>
    <w:multiLevelType w:val="multilevel"/>
    <w:tmpl w:val="5A0AC008"/>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3A878B6"/>
    <w:multiLevelType w:val="hybridMultilevel"/>
    <w:tmpl w:val="451827A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4C64F72"/>
    <w:multiLevelType w:val="hybridMultilevel"/>
    <w:tmpl w:val="4B8C95D4"/>
    <w:lvl w:ilvl="0" w:tplc="04070005">
      <w:start w:val="1"/>
      <w:numFmt w:val="bullet"/>
      <w:lvlText w:val=""/>
      <w:lvlJc w:val="left"/>
      <w:pPr>
        <w:ind w:left="1004" w:hanging="360"/>
      </w:pPr>
      <w:rPr>
        <w:rFonts w:ascii="Wingdings" w:hAnsi="Wingdings" w:hint="default"/>
      </w:rPr>
    </w:lvl>
    <w:lvl w:ilvl="1" w:tplc="04070003">
      <w:start w:val="1"/>
      <w:numFmt w:val="bullet"/>
      <w:lvlText w:val="o"/>
      <w:lvlJc w:val="left"/>
      <w:pPr>
        <w:ind w:left="1724" w:hanging="360"/>
      </w:pPr>
      <w:rPr>
        <w:rFonts w:ascii="Courier New" w:hAnsi="Courier New" w:cs="Courier New" w:hint="default"/>
      </w:rPr>
    </w:lvl>
    <w:lvl w:ilvl="2" w:tplc="04070003">
      <w:start w:val="1"/>
      <w:numFmt w:val="bullet"/>
      <w:lvlText w:val="o"/>
      <w:lvlJc w:val="left"/>
      <w:pPr>
        <w:ind w:left="2444" w:hanging="360"/>
      </w:pPr>
      <w:rPr>
        <w:rFonts w:ascii="Courier New" w:hAnsi="Courier New" w:cs="Courier New"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668B2E44"/>
    <w:multiLevelType w:val="hybridMultilevel"/>
    <w:tmpl w:val="9748216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BB43875"/>
    <w:multiLevelType w:val="hybridMultilevel"/>
    <w:tmpl w:val="58400AF2"/>
    <w:lvl w:ilvl="0" w:tplc="A1DC25C4">
      <w:start w:val="1"/>
      <w:numFmt w:val="decimal"/>
      <w:lvlText w:val="%1)"/>
      <w:lvlJc w:val="left"/>
      <w:pPr>
        <w:ind w:left="704" w:hanging="42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C7E7BBB"/>
    <w:multiLevelType w:val="hybridMultilevel"/>
    <w:tmpl w:val="775EF712"/>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6D046FC7"/>
    <w:multiLevelType w:val="hybridMultilevel"/>
    <w:tmpl w:val="A6522C3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06A713A"/>
    <w:multiLevelType w:val="hybridMultilevel"/>
    <w:tmpl w:val="097A0EA6"/>
    <w:lvl w:ilvl="0" w:tplc="63D4244E">
      <w:start w:val="1"/>
      <w:numFmt w:val="decimal"/>
      <w:lvlText w:val="%1)"/>
      <w:lvlJc w:val="left"/>
      <w:pPr>
        <w:ind w:left="720" w:hanging="360"/>
      </w:pPr>
      <w:rPr>
        <w:rFonts w:hint="default"/>
        <w: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7B1249D"/>
    <w:multiLevelType w:val="multilevel"/>
    <w:tmpl w:val="8442563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9E17BB8"/>
    <w:multiLevelType w:val="hybridMultilevel"/>
    <w:tmpl w:val="77B02E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5612F2"/>
    <w:multiLevelType w:val="hybridMultilevel"/>
    <w:tmpl w:val="1820E02C"/>
    <w:lvl w:ilvl="0" w:tplc="4C780BE2">
      <w:numFmt w:val="bullet"/>
      <w:lvlText w:val="-"/>
      <w:lvlJc w:val="left"/>
      <w:pPr>
        <w:ind w:left="1506" w:hanging="360"/>
      </w:pPr>
      <w:rPr>
        <w:rFonts w:ascii="Calibri" w:eastAsia="Times New Roman" w:hAnsi="Calibri" w:cs="Calibri" w:hint="default"/>
      </w:rPr>
    </w:lvl>
    <w:lvl w:ilvl="1" w:tplc="0C070003" w:tentative="1">
      <w:start w:val="1"/>
      <w:numFmt w:val="bullet"/>
      <w:lvlText w:val="o"/>
      <w:lvlJc w:val="left"/>
      <w:pPr>
        <w:ind w:left="2226" w:hanging="360"/>
      </w:pPr>
      <w:rPr>
        <w:rFonts w:ascii="Courier New" w:hAnsi="Courier New" w:cs="Courier New" w:hint="default"/>
      </w:rPr>
    </w:lvl>
    <w:lvl w:ilvl="2" w:tplc="0C070005" w:tentative="1">
      <w:start w:val="1"/>
      <w:numFmt w:val="bullet"/>
      <w:lvlText w:val=""/>
      <w:lvlJc w:val="left"/>
      <w:pPr>
        <w:ind w:left="2946" w:hanging="360"/>
      </w:pPr>
      <w:rPr>
        <w:rFonts w:ascii="Wingdings" w:hAnsi="Wingdings" w:hint="default"/>
      </w:rPr>
    </w:lvl>
    <w:lvl w:ilvl="3" w:tplc="0C070001" w:tentative="1">
      <w:start w:val="1"/>
      <w:numFmt w:val="bullet"/>
      <w:lvlText w:val=""/>
      <w:lvlJc w:val="left"/>
      <w:pPr>
        <w:ind w:left="3666" w:hanging="360"/>
      </w:pPr>
      <w:rPr>
        <w:rFonts w:ascii="Symbol" w:hAnsi="Symbol" w:hint="default"/>
      </w:rPr>
    </w:lvl>
    <w:lvl w:ilvl="4" w:tplc="0C070003" w:tentative="1">
      <w:start w:val="1"/>
      <w:numFmt w:val="bullet"/>
      <w:lvlText w:val="o"/>
      <w:lvlJc w:val="left"/>
      <w:pPr>
        <w:ind w:left="4386" w:hanging="360"/>
      </w:pPr>
      <w:rPr>
        <w:rFonts w:ascii="Courier New" w:hAnsi="Courier New" w:cs="Courier New" w:hint="default"/>
      </w:rPr>
    </w:lvl>
    <w:lvl w:ilvl="5" w:tplc="0C070005" w:tentative="1">
      <w:start w:val="1"/>
      <w:numFmt w:val="bullet"/>
      <w:lvlText w:val=""/>
      <w:lvlJc w:val="left"/>
      <w:pPr>
        <w:ind w:left="5106" w:hanging="360"/>
      </w:pPr>
      <w:rPr>
        <w:rFonts w:ascii="Wingdings" w:hAnsi="Wingdings" w:hint="default"/>
      </w:rPr>
    </w:lvl>
    <w:lvl w:ilvl="6" w:tplc="0C070001" w:tentative="1">
      <w:start w:val="1"/>
      <w:numFmt w:val="bullet"/>
      <w:lvlText w:val=""/>
      <w:lvlJc w:val="left"/>
      <w:pPr>
        <w:ind w:left="5826" w:hanging="360"/>
      </w:pPr>
      <w:rPr>
        <w:rFonts w:ascii="Symbol" w:hAnsi="Symbol" w:hint="default"/>
      </w:rPr>
    </w:lvl>
    <w:lvl w:ilvl="7" w:tplc="0C070003" w:tentative="1">
      <w:start w:val="1"/>
      <w:numFmt w:val="bullet"/>
      <w:lvlText w:val="o"/>
      <w:lvlJc w:val="left"/>
      <w:pPr>
        <w:ind w:left="6546" w:hanging="360"/>
      </w:pPr>
      <w:rPr>
        <w:rFonts w:ascii="Courier New" w:hAnsi="Courier New" w:cs="Courier New" w:hint="default"/>
      </w:rPr>
    </w:lvl>
    <w:lvl w:ilvl="8" w:tplc="0C070005" w:tentative="1">
      <w:start w:val="1"/>
      <w:numFmt w:val="bullet"/>
      <w:lvlText w:val=""/>
      <w:lvlJc w:val="left"/>
      <w:pPr>
        <w:ind w:left="7266" w:hanging="360"/>
      </w:pPr>
      <w:rPr>
        <w:rFonts w:ascii="Wingdings" w:hAnsi="Wingdings" w:hint="default"/>
      </w:rPr>
    </w:lvl>
  </w:abstractNum>
  <w:abstractNum w:abstractNumId="37" w15:restartNumberingAfterBreak="0">
    <w:nsid w:val="7ABC44F1"/>
    <w:multiLevelType w:val="hybridMultilevel"/>
    <w:tmpl w:val="9954A70C"/>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7AC77676"/>
    <w:multiLevelType w:val="hybridMultilevel"/>
    <w:tmpl w:val="9FC4CCFE"/>
    <w:lvl w:ilvl="0" w:tplc="4C780BE2">
      <w:numFmt w:val="bullet"/>
      <w:lvlText w:val="-"/>
      <w:lvlJc w:val="left"/>
      <w:pPr>
        <w:ind w:left="1776" w:hanging="360"/>
      </w:pPr>
      <w:rPr>
        <w:rFonts w:ascii="Calibri" w:eastAsia="Times New Roman" w:hAnsi="Calibri" w:cs="Calibri"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9" w15:restartNumberingAfterBreak="0">
    <w:nsid w:val="7B90120B"/>
    <w:multiLevelType w:val="hybridMultilevel"/>
    <w:tmpl w:val="4EC2F454"/>
    <w:lvl w:ilvl="0" w:tplc="E3D025D2">
      <w:start w:val="1"/>
      <w:numFmt w:val="decimal"/>
      <w:lvlText w:val="%1."/>
      <w:lvlJc w:val="left"/>
      <w:pPr>
        <w:ind w:left="284" w:hanging="284"/>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26"/>
  </w:num>
  <w:num w:numId="3">
    <w:abstractNumId w:val="9"/>
  </w:num>
  <w:num w:numId="4">
    <w:abstractNumId w:val="11"/>
  </w:num>
  <w:num w:numId="5">
    <w:abstractNumId w:val="39"/>
  </w:num>
  <w:num w:numId="6">
    <w:abstractNumId w:val="3"/>
  </w:num>
  <w:num w:numId="7">
    <w:abstractNumId w:val="37"/>
  </w:num>
  <w:num w:numId="8">
    <w:abstractNumId w:val="32"/>
  </w:num>
  <w:num w:numId="9">
    <w:abstractNumId w:val="15"/>
  </w:num>
  <w:num w:numId="10">
    <w:abstractNumId w:val="33"/>
  </w:num>
  <w:num w:numId="11">
    <w:abstractNumId w:val="21"/>
  </w:num>
  <w:num w:numId="12">
    <w:abstractNumId w:val="20"/>
  </w:num>
  <w:num w:numId="13">
    <w:abstractNumId w:val="23"/>
  </w:num>
  <w:num w:numId="14">
    <w:abstractNumId w:val="19"/>
  </w:num>
  <w:num w:numId="15">
    <w:abstractNumId w:val="8"/>
  </w:num>
  <w:num w:numId="16">
    <w:abstractNumId w:val="2"/>
  </w:num>
  <w:num w:numId="17">
    <w:abstractNumId w:val="0"/>
  </w:num>
  <w:num w:numId="18">
    <w:abstractNumId w:val="12"/>
  </w:num>
  <w:num w:numId="19">
    <w:abstractNumId w:val="25"/>
  </w:num>
  <w:num w:numId="20">
    <w:abstractNumId w:val="36"/>
  </w:num>
  <w:num w:numId="21">
    <w:abstractNumId w:val="38"/>
  </w:num>
  <w:num w:numId="22">
    <w:abstractNumId w:val="17"/>
  </w:num>
  <w:num w:numId="23">
    <w:abstractNumId w:val="31"/>
  </w:num>
  <w:num w:numId="24">
    <w:abstractNumId w:val="28"/>
  </w:num>
  <w:num w:numId="25">
    <w:abstractNumId w:val="18"/>
  </w:num>
  <w:num w:numId="26">
    <w:abstractNumId w:val="30"/>
  </w:num>
  <w:num w:numId="27">
    <w:abstractNumId w:val="1"/>
  </w:num>
  <w:num w:numId="28">
    <w:abstractNumId w:val="24"/>
  </w:num>
  <w:num w:numId="29">
    <w:abstractNumId w:val="19"/>
  </w:num>
  <w:num w:numId="30">
    <w:abstractNumId w:val="9"/>
  </w:num>
  <w:num w:numId="31">
    <w:abstractNumId w:val="28"/>
  </w:num>
  <w:num w:numId="32">
    <w:abstractNumId w:val="1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5"/>
  </w:num>
  <w:num w:numId="37">
    <w:abstractNumId w:val="16"/>
  </w:num>
  <w:num w:numId="38">
    <w:abstractNumId w:val="7"/>
  </w:num>
  <w:num w:numId="39">
    <w:abstractNumId w:val="10"/>
  </w:num>
  <w:num w:numId="40">
    <w:abstractNumId w:val="22"/>
  </w:num>
  <w:num w:numId="41">
    <w:abstractNumId w:val="13"/>
  </w:num>
  <w:num w:numId="42">
    <w:abstractNumId w:val="29"/>
  </w:num>
  <w:num w:numId="43">
    <w:abstractNumId w:val="27"/>
  </w:num>
  <w:num w:numId="44">
    <w:abstractNumId w:val="34"/>
  </w:num>
  <w:num w:numId="45">
    <w:abstractNumId w:val="6"/>
  </w:num>
  <w:num w:numId="46">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656C"/>
    <w:rsid w:val="00007A0D"/>
    <w:rsid w:val="00012976"/>
    <w:rsid w:val="000144C5"/>
    <w:rsid w:val="0002186C"/>
    <w:rsid w:val="000225FC"/>
    <w:rsid w:val="00026697"/>
    <w:rsid w:val="00030D42"/>
    <w:rsid w:val="00033B83"/>
    <w:rsid w:val="000375CF"/>
    <w:rsid w:val="00045ABC"/>
    <w:rsid w:val="00054FBA"/>
    <w:rsid w:val="00065BA4"/>
    <w:rsid w:val="000660ED"/>
    <w:rsid w:val="00067BBF"/>
    <w:rsid w:val="00070642"/>
    <w:rsid w:val="000730F3"/>
    <w:rsid w:val="0007392C"/>
    <w:rsid w:val="00075920"/>
    <w:rsid w:val="000848C0"/>
    <w:rsid w:val="00085DFD"/>
    <w:rsid w:val="000872EE"/>
    <w:rsid w:val="00090105"/>
    <w:rsid w:val="00092213"/>
    <w:rsid w:val="0009476C"/>
    <w:rsid w:val="00094D41"/>
    <w:rsid w:val="000A2694"/>
    <w:rsid w:val="000B1AD6"/>
    <w:rsid w:val="000B2455"/>
    <w:rsid w:val="000B45AB"/>
    <w:rsid w:val="000B705C"/>
    <w:rsid w:val="000C1C85"/>
    <w:rsid w:val="000D3C24"/>
    <w:rsid w:val="000D5A46"/>
    <w:rsid w:val="000D5A7B"/>
    <w:rsid w:val="000D5C01"/>
    <w:rsid w:val="000E3EFA"/>
    <w:rsid w:val="000E4CFF"/>
    <w:rsid w:val="000E7027"/>
    <w:rsid w:val="000E7976"/>
    <w:rsid w:val="00104584"/>
    <w:rsid w:val="001066A3"/>
    <w:rsid w:val="00113FB4"/>
    <w:rsid w:val="00115BB4"/>
    <w:rsid w:val="00122AFA"/>
    <w:rsid w:val="00124A65"/>
    <w:rsid w:val="001311C3"/>
    <w:rsid w:val="00135C74"/>
    <w:rsid w:val="0013623F"/>
    <w:rsid w:val="00137388"/>
    <w:rsid w:val="001417D4"/>
    <w:rsid w:val="0014213F"/>
    <w:rsid w:val="001448E2"/>
    <w:rsid w:val="00156C56"/>
    <w:rsid w:val="001646E6"/>
    <w:rsid w:val="00170FFF"/>
    <w:rsid w:val="001744FB"/>
    <w:rsid w:val="001814FD"/>
    <w:rsid w:val="0018247E"/>
    <w:rsid w:val="00182C12"/>
    <w:rsid w:val="00183CD1"/>
    <w:rsid w:val="001876E7"/>
    <w:rsid w:val="00195521"/>
    <w:rsid w:val="001A0DB7"/>
    <w:rsid w:val="001A1DF8"/>
    <w:rsid w:val="001A336E"/>
    <w:rsid w:val="001A6BDF"/>
    <w:rsid w:val="001B0846"/>
    <w:rsid w:val="001B222A"/>
    <w:rsid w:val="001B720D"/>
    <w:rsid w:val="001C2A6A"/>
    <w:rsid w:val="001D11C7"/>
    <w:rsid w:val="001D34A4"/>
    <w:rsid w:val="001E0F64"/>
    <w:rsid w:val="001F2BEC"/>
    <w:rsid w:val="001F64A0"/>
    <w:rsid w:val="00203CE1"/>
    <w:rsid w:val="00206CAC"/>
    <w:rsid w:val="002179DA"/>
    <w:rsid w:val="00217C51"/>
    <w:rsid w:val="002201ED"/>
    <w:rsid w:val="00223A04"/>
    <w:rsid w:val="00225113"/>
    <w:rsid w:val="00242312"/>
    <w:rsid w:val="00250E53"/>
    <w:rsid w:val="00253FB6"/>
    <w:rsid w:val="00255CBE"/>
    <w:rsid w:val="0026535A"/>
    <w:rsid w:val="002746A4"/>
    <w:rsid w:val="002758C3"/>
    <w:rsid w:val="002807B9"/>
    <w:rsid w:val="00284F99"/>
    <w:rsid w:val="00286267"/>
    <w:rsid w:val="00287F00"/>
    <w:rsid w:val="00295A3F"/>
    <w:rsid w:val="00296C4C"/>
    <w:rsid w:val="00296F21"/>
    <w:rsid w:val="002A0FDF"/>
    <w:rsid w:val="002A2023"/>
    <w:rsid w:val="002A307C"/>
    <w:rsid w:val="002A649F"/>
    <w:rsid w:val="002B3CF5"/>
    <w:rsid w:val="002C5FDB"/>
    <w:rsid w:val="002D1347"/>
    <w:rsid w:val="002D29E6"/>
    <w:rsid w:val="002D7E1A"/>
    <w:rsid w:val="002E158B"/>
    <w:rsid w:val="002E4DD8"/>
    <w:rsid w:val="002E7743"/>
    <w:rsid w:val="002F06F8"/>
    <w:rsid w:val="002F296D"/>
    <w:rsid w:val="002F7D40"/>
    <w:rsid w:val="003050D6"/>
    <w:rsid w:val="00311BDB"/>
    <w:rsid w:val="00313B47"/>
    <w:rsid w:val="00316420"/>
    <w:rsid w:val="00316B13"/>
    <w:rsid w:val="003201B4"/>
    <w:rsid w:val="003264F6"/>
    <w:rsid w:val="00327D55"/>
    <w:rsid w:val="00330AFE"/>
    <w:rsid w:val="00332A40"/>
    <w:rsid w:val="00333C89"/>
    <w:rsid w:val="00334588"/>
    <w:rsid w:val="00337F40"/>
    <w:rsid w:val="00341B1B"/>
    <w:rsid w:val="003441F8"/>
    <w:rsid w:val="00347E95"/>
    <w:rsid w:val="003510A8"/>
    <w:rsid w:val="00356124"/>
    <w:rsid w:val="00356A3F"/>
    <w:rsid w:val="00366DB8"/>
    <w:rsid w:val="00367787"/>
    <w:rsid w:val="00383EC2"/>
    <w:rsid w:val="003906AA"/>
    <w:rsid w:val="00391CB6"/>
    <w:rsid w:val="003A36C1"/>
    <w:rsid w:val="003A70E3"/>
    <w:rsid w:val="003C182E"/>
    <w:rsid w:val="003C1CED"/>
    <w:rsid w:val="003C35C5"/>
    <w:rsid w:val="003C4308"/>
    <w:rsid w:val="003C45D5"/>
    <w:rsid w:val="003C6310"/>
    <w:rsid w:val="003D17B0"/>
    <w:rsid w:val="003D245A"/>
    <w:rsid w:val="003E0705"/>
    <w:rsid w:val="003E138F"/>
    <w:rsid w:val="003E1C8E"/>
    <w:rsid w:val="003E5DF0"/>
    <w:rsid w:val="003F60C7"/>
    <w:rsid w:val="003F79D8"/>
    <w:rsid w:val="004103BF"/>
    <w:rsid w:val="00411926"/>
    <w:rsid w:val="00411EA9"/>
    <w:rsid w:val="0041373A"/>
    <w:rsid w:val="00415570"/>
    <w:rsid w:val="00417ACE"/>
    <w:rsid w:val="00424AC1"/>
    <w:rsid w:val="004252AA"/>
    <w:rsid w:val="00426695"/>
    <w:rsid w:val="004318DC"/>
    <w:rsid w:val="00436CB6"/>
    <w:rsid w:val="00443606"/>
    <w:rsid w:val="00444F1E"/>
    <w:rsid w:val="004510CD"/>
    <w:rsid w:val="004546C0"/>
    <w:rsid w:val="0045594E"/>
    <w:rsid w:val="0046448F"/>
    <w:rsid w:val="00470F84"/>
    <w:rsid w:val="00475424"/>
    <w:rsid w:val="00480033"/>
    <w:rsid w:val="004809AD"/>
    <w:rsid w:val="00481140"/>
    <w:rsid w:val="00486C3A"/>
    <w:rsid w:val="00491093"/>
    <w:rsid w:val="00493E1F"/>
    <w:rsid w:val="004957B1"/>
    <w:rsid w:val="00497107"/>
    <w:rsid w:val="0049768A"/>
    <w:rsid w:val="004A5B8F"/>
    <w:rsid w:val="004B71D2"/>
    <w:rsid w:val="004C1A36"/>
    <w:rsid w:val="004C4692"/>
    <w:rsid w:val="004C5BB6"/>
    <w:rsid w:val="004C5D03"/>
    <w:rsid w:val="004D2FE8"/>
    <w:rsid w:val="004D5CA7"/>
    <w:rsid w:val="004E0BEA"/>
    <w:rsid w:val="004E1253"/>
    <w:rsid w:val="004E3076"/>
    <w:rsid w:val="004E4205"/>
    <w:rsid w:val="004F0D6D"/>
    <w:rsid w:val="004F0EE5"/>
    <w:rsid w:val="005020E4"/>
    <w:rsid w:val="005163F4"/>
    <w:rsid w:val="00516467"/>
    <w:rsid w:val="00516B51"/>
    <w:rsid w:val="00522C48"/>
    <w:rsid w:val="00522FFB"/>
    <w:rsid w:val="00523A0D"/>
    <w:rsid w:val="00524A45"/>
    <w:rsid w:val="00534643"/>
    <w:rsid w:val="00534E41"/>
    <w:rsid w:val="00544259"/>
    <w:rsid w:val="00545067"/>
    <w:rsid w:val="00564EAE"/>
    <w:rsid w:val="00567B1F"/>
    <w:rsid w:val="005712A2"/>
    <w:rsid w:val="005716B3"/>
    <w:rsid w:val="00572DE6"/>
    <w:rsid w:val="00573D73"/>
    <w:rsid w:val="00573F07"/>
    <w:rsid w:val="005847E4"/>
    <w:rsid w:val="005911B5"/>
    <w:rsid w:val="005915C3"/>
    <w:rsid w:val="00592BA2"/>
    <w:rsid w:val="00593B95"/>
    <w:rsid w:val="005973BD"/>
    <w:rsid w:val="005A1017"/>
    <w:rsid w:val="005A3EDD"/>
    <w:rsid w:val="005B6E63"/>
    <w:rsid w:val="005C2135"/>
    <w:rsid w:val="005C28AF"/>
    <w:rsid w:val="005C5568"/>
    <w:rsid w:val="005D23B9"/>
    <w:rsid w:val="005D34B5"/>
    <w:rsid w:val="005D5403"/>
    <w:rsid w:val="005E0058"/>
    <w:rsid w:val="005E0E60"/>
    <w:rsid w:val="005F2AA2"/>
    <w:rsid w:val="005F5129"/>
    <w:rsid w:val="005F7AF7"/>
    <w:rsid w:val="00601C83"/>
    <w:rsid w:val="00612B78"/>
    <w:rsid w:val="00620A8D"/>
    <w:rsid w:val="0062318C"/>
    <w:rsid w:val="00623FCE"/>
    <w:rsid w:val="00632D4B"/>
    <w:rsid w:val="00643783"/>
    <w:rsid w:val="00647A65"/>
    <w:rsid w:val="00650457"/>
    <w:rsid w:val="0066480C"/>
    <w:rsid w:val="00667A57"/>
    <w:rsid w:val="00670B44"/>
    <w:rsid w:val="00670C09"/>
    <w:rsid w:val="0067150E"/>
    <w:rsid w:val="006718B6"/>
    <w:rsid w:val="00671A8B"/>
    <w:rsid w:val="00676B15"/>
    <w:rsid w:val="00684845"/>
    <w:rsid w:val="00685CEB"/>
    <w:rsid w:val="00687A57"/>
    <w:rsid w:val="006929F1"/>
    <w:rsid w:val="006941E0"/>
    <w:rsid w:val="0069468E"/>
    <w:rsid w:val="006A0570"/>
    <w:rsid w:val="006A0D28"/>
    <w:rsid w:val="006A18A4"/>
    <w:rsid w:val="006A3ED2"/>
    <w:rsid w:val="006A5DF9"/>
    <w:rsid w:val="006B3113"/>
    <w:rsid w:val="006B3B79"/>
    <w:rsid w:val="006B574C"/>
    <w:rsid w:val="006C0CAD"/>
    <w:rsid w:val="006C5EB4"/>
    <w:rsid w:val="006D2F89"/>
    <w:rsid w:val="006D4DAC"/>
    <w:rsid w:val="006D6C87"/>
    <w:rsid w:val="006E06F9"/>
    <w:rsid w:val="006E22D6"/>
    <w:rsid w:val="006E5E32"/>
    <w:rsid w:val="00701184"/>
    <w:rsid w:val="00703E2E"/>
    <w:rsid w:val="007068DF"/>
    <w:rsid w:val="00710A4D"/>
    <w:rsid w:val="00712898"/>
    <w:rsid w:val="007132F1"/>
    <w:rsid w:val="007153C6"/>
    <w:rsid w:val="007172A6"/>
    <w:rsid w:val="0072215F"/>
    <w:rsid w:val="00733408"/>
    <w:rsid w:val="00734878"/>
    <w:rsid w:val="00742B4E"/>
    <w:rsid w:val="00744C13"/>
    <w:rsid w:val="007473D9"/>
    <w:rsid w:val="00754A51"/>
    <w:rsid w:val="00760799"/>
    <w:rsid w:val="00762E92"/>
    <w:rsid w:val="00772AEC"/>
    <w:rsid w:val="0078239C"/>
    <w:rsid w:val="00784585"/>
    <w:rsid w:val="00793157"/>
    <w:rsid w:val="00794700"/>
    <w:rsid w:val="007A1596"/>
    <w:rsid w:val="007A790F"/>
    <w:rsid w:val="007B45BC"/>
    <w:rsid w:val="007C18C9"/>
    <w:rsid w:val="007C5CCC"/>
    <w:rsid w:val="007C6560"/>
    <w:rsid w:val="007E41DD"/>
    <w:rsid w:val="007F0A54"/>
    <w:rsid w:val="007F3064"/>
    <w:rsid w:val="007F3799"/>
    <w:rsid w:val="007F5932"/>
    <w:rsid w:val="007F743D"/>
    <w:rsid w:val="00800B21"/>
    <w:rsid w:val="008015F8"/>
    <w:rsid w:val="00817878"/>
    <w:rsid w:val="00820564"/>
    <w:rsid w:val="00822E59"/>
    <w:rsid w:val="00833383"/>
    <w:rsid w:val="00836EC1"/>
    <w:rsid w:val="00837A3B"/>
    <w:rsid w:val="00837FDE"/>
    <w:rsid w:val="008456E6"/>
    <w:rsid w:val="008544D2"/>
    <w:rsid w:val="00856D24"/>
    <w:rsid w:val="008613BE"/>
    <w:rsid w:val="00864E4B"/>
    <w:rsid w:val="00870426"/>
    <w:rsid w:val="00872689"/>
    <w:rsid w:val="00872DAF"/>
    <w:rsid w:val="008772E0"/>
    <w:rsid w:val="008775DC"/>
    <w:rsid w:val="00877E9A"/>
    <w:rsid w:val="00880559"/>
    <w:rsid w:val="00880B3B"/>
    <w:rsid w:val="0088398C"/>
    <w:rsid w:val="008879AD"/>
    <w:rsid w:val="00890AA4"/>
    <w:rsid w:val="008A1E23"/>
    <w:rsid w:val="008A2188"/>
    <w:rsid w:val="008A28CE"/>
    <w:rsid w:val="008A3694"/>
    <w:rsid w:val="008A5515"/>
    <w:rsid w:val="008A7324"/>
    <w:rsid w:val="008B2595"/>
    <w:rsid w:val="008B2917"/>
    <w:rsid w:val="008B6520"/>
    <w:rsid w:val="008C6250"/>
    <w:rsid w:val="008C7127"/>
    <w:rsid w:val="008D1046"/>
    <w:rsid w:val="008D499A"/>
    <w:rsid w:val="008D56AF"/>
    <w:rsid w:val="008D5AFE"/>
    <w:rsid w:val="008D7345"/>
    <w:rsid w:val="008D7EE1"/>
    <w:rsid w:val="008E2288"/>
    <w:rsid w:val="008E2521"/>
    <w:rsid w:val="008E3A2C"/>
    <w:rsid w:val="008F26D9"/>
    <w:rsid w:val="008F3C12"/>
    <w:rsid w:val="008F3C62"/>
    <w:rsid w:val="008F4922"/>
    <w:rsid w:val="008F4D5E"/>
    <w:rsid w:val="00900461"/>
    <w:rsid w:val="0090146F"/>
    <w:rsid w:val="0090443B"/>
    <w:rsid w:val="00913D1D"/>
    <w:rsid w:val="00914B08"/>
    <w:rsid w:val="00916025"/>
    <w:rsid w:val="009163E0"/>
    <w:rsid w:val="00921E05"/>
    <w:rsid w:val="009229DF"/>
    <w:rsid w:val="00924310"/>
    <w:rsid w:val="009247D3"/>
    <w:rsid w:val="009256E9"/>
    <w:rsid w:val="00932521"/>
    <w:rsid w:val="00932ADE"/>
    <w:rsid w:val="00934BAC"/>
    <w:rsid w:val="00934CFE"/>
    <w:rsid w:val="00936213"/>
    <w:rsid w:val="00937761"/>
    <w:rsid w:val="0094285A"/>
    <w:rsid w:val="0095092F"/>
    <w:rsid w:val="00951BE2"/>
    <w:rsid w:val="00953713"/>
    <w:rsid w:val="0096742E"/>
    <w:rsid w:val="00976895"/>
    <w:rsid w:val="00982CEF"/>
    <w:rsid w:val="00987DDB"/>
    <w:rsid w:val="009923AF"/>
    <w:rsid w:val="0099254E"/>
    <w:rsid w:val="009952D0"/>
    <w:rsid w:val="009956AE"/>
    <w:rsid w:val="00996D15"/>
    <w:rsid w:val="009A01D6"/>
    <w:rsid w:val="009B0FAD"/>
    <w:rsid w:val="009C1F85"/>
    <w:rsid w:val="009C39DC"/>
    <w:rsid w:val="009C4529"/>
    <w:rsid w:val="009C46C4"/>
    <w:rsid w:val="009D23CD"/>
    <w:rsid w:val="009E08BF"/>
    <w:rsid w:val="009E21CD"/>
    <w:rsid w:val="009E4D22"/>
    <w:rsid w:val="009F08B2"/>
    <w:rsid w:val="009F76EC"/>
    <w:rsid w:val="00A04449"/>
    <w:rsid w:val="00A13EF1"/>
    <w:rsid w:val="00A151DB"/>
    <w:rsid w:val="00A205EB"/>
    <w:rsid w:val="00A214B1"/>
    <w:rsid w:val="00A24E96"/>
    <w:rsid w:val="00A31531"/>
    <w:rsid w:val="00A34AB1"/>
    <w:rsid w:val="00A41D96"/>
    <w:rsid w:val="00A4297A"/>
    <w:rsid w:val="00A51D11"/>
    <w:rsid w:val="00A5541A"/>
    <w:rsid w:val="00A55E2A"/>
    <w:rsid w:val="00A569F3"/>
    <w:rsid w:val="00A5769C"/>
    <w:rsid w:val="00A6013D"/>
    <w:rsid w:val="00A607EB"/>
    <w:rsid w:val="00A63B09"/>
    <w:rsid w:val="00A6435E"/>
    <w:rsid w:val="00A671BC"/>
    <w:rsid w:val="00A72125"/>
    <w:rsid w:val="00A73F7E"/>
    <w:rsid w:val="00A74CC5"/>
    <w:rsid w:val="00A76551"/>
    <w:rsid w:val="00A7702C"/>
    <w:rsid w:val="00A84EE2"/>
    <w:rsid w:val="00A95F35"/>
    <w:rsid w:val="00AA0D47"/>
    <w:rsid w:val="00AA5041"/>
    <w:rsid w:val="00AA632B"/>
    <w:rsid w:val="00AA724F"/>
    <w:rsid w:val="00AA7B86"/>
    <w:rsid w:val="00AB010D"/>
    <w:rsid w:val="00AB14B9"/>
    <w:rsid w:val="00AB20C4"/>
    <w:rsid w:val="00AB3AE5"/>
    <w:rsid w:val="00AC7335"/>
    <w:rsid w:val="00AD1B8D"/>
    <w:rsid w:val="00AD3053"/>
    <w:rsid w:val="00AD4267"/>
    <w:rsid w:val="00AD4717"/>
    <w:rsid w:val="00AE77EE"/>
    <w:rsid w:val="00AF059E"/>
    <w:rsid w:val="00B00C98"/>
    <w:rsid w:val="00B03050"/>
    <w:rsid w:val="00B03D77"/>
    <w:rsid w:val="00B04D0B"/>
    <w:rsid w:val="00B163F5"/>
    <w:rsid w:val="00B16EF0"/>
    <w:rsid w:val="00B35F99"/>
    <w:rsid w:val="00B42A05"/>
    <w:rsid w:val="00B558AF"/>
    <w:rsid w:val="00B55945"/>
    <w:rsid w:val="00B568F3"/>
    <w:rsid w:val="00B6036E"/>
    <w:rsid w:val="00B6198C"/>
    <w:rsid w:val="00B63247"/>
    <w:rsid w:val="00B6342E"/>
    <w:rsid w:val="00B7004F"/>
    <w:rsid w:val="00B7107B"/>
    <w:rsid w:val="00B76073"/>
    <w:rsid w:val="00B766FF"/>
    <w:rsid w:val="00B76C7B"/>
    <w:rsid w:val="00B80CD1"/>
    <w:rsid w:val="00B8374F"/>
    <w:rsid w:val="00B84482"/>
    <w:rsid w:val="00B84984"/>
    <w:rsid w:val="00B85F62"/>
    <w:rsid w:val="00B87CB9"/>
    <w:rsid w:val="00B932DD"/>
    <w:rsid w:val="00B96F18"/>
    <w:rsid w:val="00B973F2"/>
    <w:rsid w:val="00BA6342"/>
    <w:rsid w:val="00BA6854"/>
    <w:rsid w:val="00BB0871"/>
    <w:rsid w:val="00BB2D1D"/>
    <w:rsid w:val="00BB69E8"/>
    <w:rsid w:val="00BD259B"/>
    <w:rsid w:val="00BD2FE2"/>
    <w:rsid w:val="00BD5438"/>
    <w:rsid w:val="00BD6E6E"/>
    <w:rsid w:val="00BE1E71"/>
    <w:rsid w:val="00BE3811"/>
    <w:rsid w:val="00BE4043"/>
    <w:rsid w:val="00C01078"/>
    <w:rsid w:val="00C0210F"/>
    <w:rsid w:val="00C02676"/>
    <w:rsid w:val="00C074B8"/>
    <w:rsid w:val="00C1060A"/>
    <w:rsid w:val="00C12E87"/>
    <w:rsid w:val="00C13BD2"/>
    <w:rsid w:val="00C155C8"/>
    <w:rsid w:val="00C206CC"/>
    <w:rsid w:val="00C211E4"/>
    <w:rsid w:val="00C232BC"/>
    <w:rsid w:val="00C25AC7"/>
    <w:rsid w:val="00C26F7E"/>
    <w:rsid w:val="00C30AA1"/>
    <w:rsid w:val="00C32190"/>
    <w:rsid w:val="00C41E7B"/>
    <w:rsid w:val="00C43598"/>
    <w:rsid w:val="00C46AF6"/>
    <w:rsid w:val="00C47A83"/>
    <w:rsid w:val="00C47A8B"/>
    <w:rsid w:val="00C529CA"/>
    <w:rsid w:val="00C54DC1"/>
    <w:rsid w:val="00C5792C"/>
    <w:rsid w:val="00C64622"/>
    <w:rsid w:val="00C65FB4"/>
    <w:rsid w:val="00C7062C"/>
    <w:rsid w:val="00C709F4"/>
    <w:rsid w:val="00C74960"/>
    <w:rsid w:val="00C758E7"/>
    <w:rsid w:val="00C80423"/>
    <w:rsid w:val="00C81BA8"/>
    <w:rsid w:val="00C81FC5"/>
    <w:rsid w:val="00C83567"/>
    <w:rsid w:val="00C83949"/>
    <w:rsid w:val="00C85B79"/>
    <w:rsid w:val="00C86255"/>
    <w:rsid w:val="00C86F05"/>
    <w:rsid w:val="00C8710D"/>
    <w:rsid w:val="00C90FB9"/>
    <w:rsid w:val="00C91BFF"/>
    <w:rsid w:val="00CA5AAA"/>
    <w:rsid w:val="00CA75DF"/>
    <w:rsid w:val="00CC172E"/>
    <w:rsid w:val="00CC3133"/>
    <w:rsid w:val="00CD6389"/>
    <w:rsid w:val="00CE09EE"/>
    <w:rsid w:val="00CE4365"/>
    <w:rsid w:val="00CE59DE"/>
    <w:rsid w:val="00CE5A0A"/>
    <w:rsid w:val="00CF0EFD"/>
    <w:rsid w:val="00CF19D1"/>
    <w:rsid w:val="00CF2270"/>
    <w:rsid w:val="00CF3031"/>
    <w:rsid w:val="00CF352A"/>
    <w:rsid w:val="00D02334"/>
    <w:rsid w:val="00D02B71"/>
    <w:rsid w:val="00D03B7B"/>
    <w:rsid w:val="00D04FB8"/>
    <w:rsid w:val="00D103BA"/>
    <w:rsid w:val="00D10D06"/>
    <w:rsid w:val="00D14754"/>
    <w:rsid w:val="00D1765B"/>
    <w:rsid w:val="00D200EA"/>
    <w:rsid w:val="00D469B2"/>
    <w:rsid w:val="00D47587"/>
    <w:rsid w:val="00D54225"/>
    <w:rsid w:val="00D57001"/>
    <w:rsid w:val="00D570DB"/>
    <w:rsid w:val="00D570ED"/>
    <w:rsid w:val="00D57F20"/>
    <w:rsid w:val="00D60E5E"/>
    <w:rsid w:val="00D6108E"/>
    <w:rsid w:val="00D634D6"/>
    <w:rsid w:val="00D777C4"/>
    <w:rsid w:val="00D8168C"/>
    <w:rsid w:val="00D923DA"/>
    <w:rsid w:val="00D960A9"/>
    <w:rsid w:val="00DA1014"/>
    <w:rsid w:val="00DA784B"/>
    <w:rsid w:val="00DB38BC"/>
    <w:rsid w:val="00DB3BD9"/>
    <w:rsid w:val="00DB3EB6"/>
    <w:rsid w:val="00DB67BC"/>
    <w:rsid w:val="00DB6FB6"/>
    <w:rsid w:val="00DC49A2"/>
    <w:rsid w:val="00DC65EB"/>
    <w:rsid w:val="00DD55BD"/>
    <w:rsid w:val="00DD7B03"/>
    <w:rsid w:val="00DE19BB"/>
    <w:rsid w:val="00DE57E2"/>
    <w:rsid w:val="00DE7D56"/>
    <w:rsid w:val="00DF1133"/>
    <w:rsid w:val="00DF1CE2"/>
    <w:rsid w:val="00DF332A"/>
    <w:rsid w:val="00DF45C4"/>
    <w:rsid w:val="00DF62C6"/>
    <w:rsid w:val="00DF7636"/>
    <w:rsid w:val="00E036CC"/>
    <w:rsid w:val="00E12F9B"/>
    <w:rsid w:val="00E1790F"/>
    <w:rsid w:val="00E25E8D"/>
    <w:rsid w:val="00E30549"/>
    <w:rsid w:val="00E344D4"/>
    <w:rsid w:val="00E438B5"/>
    <w:rsid w:val="00E4520A"/>
    <w:rsid w:val="00E4567C"/>
    <w:rsid w:val="00E46F63"/>
    <w:rsid w:val="00E475D2"/>
    <w:rsid w:val="00E55456"/>
    <w:rsid w:val="00E569BD"/>
    <w:rsid w:val="00E5781B"/>
    <w:rsid w:val="00E61CDF"/>
    <w:rsid w:val="00E62655"/>
    <w:rsid w:val="00E63272"/>
    <w:rsid w:val="00E67988"/>
    <w:rsid w:val="00E93716"/>
    <w:rsid w:val="00EA32A9"/>
    <w:rsid w:val="00EB7194"/>
    <w:rsid w:val="00EC122B"/>
    <w:rsid w:val="00EC4F6D"/>
    <w:rsid w:val="00EC5479"/>
    <w:rsid w:val="00EC5624"/>
    <w:rsid w:val="00ED24ED"/>
    <w:rsid w:val="00ED776C"/>
    <w:rsid w:val="00EE7881"/>
    <w:rsid w:val="00EF0F48"/>
    <w:rsid w:val="00EF46F8"/>
    <w:rsid w:val="00EF4933"/>
    <w:rsid w:val="00F10DD8"/>
    <w:rsid w:val="00F31FAD"/>
    <w:rsid w:val="00F352C0"/>
    <w:rsid w:val="00F443D5"/>
    <w:rsid w:val="00F455B6"/>
    <w:rsid w:val="00F45996"/>
    <w:rsid w:val="00F54D35"/>
    <w:rsid w:val="00F55179"/>
    <w:rsid w:val="00F55814"/>
    <w:rsid w:val="00F55B3C"/>
    <w:rsid w:val="00F5611B"/>
    <w:rsid w:val="00F57EAC"/>
    <w:rsid w:val="00F641E8"/>
    <w:rsid w:val="00F67F29"/>
    <w:rsid w:val="00F70285"/>
    <w:rsid w:val="00F72AC8"/>
    <w:rsid w:val="00F73C57"/>
    <w:rsid w:val="00F74762"/>
    <w:rsid w:val="00F74E28"/>
    <w:rsid w:val="00F802B1"/>
    <w:rsid w:val="00F86B01"/>
    <w:rsid w:val="00F93FC4"/>
    <w:rsid w:val="00F97817"/>
    <w:rsid w:val="00FA0781"/>
    <w:rsid w:val="00FA0941"/>
    <w:rsid w:val="00FA5241"/>
    <w:rsid w:val="00FB4765"/>
    <w:rsid w:val="00FC3936"/>
    <w:rsid w:val="00FD6D58"/>
    <w:rsid w:val="00FE3C07"/>
    <w:rsid w:val="00FF0121"/>
    <w:rsid w:val="00FF19CE"/>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CD15C"/>
  <w15:docId w15:val="{9CB613D2-FA2F-421A-86BF-60E0BC4C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646E6"/>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link w:val="berschrift2Zchn"/>
    <w:qFormat/>
    <w:rsid w:val="006C0CAD"/>
    <w:pPr>
      <w:keepNext/>
      <w:spacing w:before="240" w:after="60"/>
      <w:ind w:left="705" w:hanging="705"/>
      <w:jc w:val="left"/>
      <w:outlineLvl w:val="1"/>
    </w:pPr>
    <w:rPr>
      <w:rFonts w:cs="Arial"/>
      <w:b/>
      <w:bCs/>
      <w:i/>
      <w:iCs/>
      <w:sz w:val="24"/>
      <w:szCs w:val="24"/>
    </w:rPr>
  </w:style>
  <w:style w:type="paragraph" w:styleId="berschrift3">
    <w:name w:val="heading 3"/>
    <w:basedOn w:val="Standard"/>
    <w:next w:val="Standard"/>
    <w:link w:val="berschrift3Zchn"/>
    <w:qFormat/>
    <w:rsid w:val="006C0CAD"/>
    <w:pPr>
      <w:keepNext/>
      <w:jc w:val="left"/>
      <w:outlineLvl w:val="2"/>
    </w:pPr>
    <w:rPr>
      <w:b/>
      <w:bCs/>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356A3F"/>
    <w:pPr>
      <w:tabs>
        <w:tab w:val="left" w:pos="993"/>
        <w:tab w:val="right" w:leader="dot" w:pos="9372"/>
      </w:tabs>
      <w:spacing w:after="100" w:line="276" w:lineRule="auto"/>
    </w:pPr>
    <w:rPr>
      <w:rFonts w:asciiTheme="minorHAnsi" w:hAnsiTheme="minorHAnsi" w:cstheme="minorHAnsi"/>
      <w:noProof/>
      <w:kern w:val="32"/>
      <w:szCs w:val="22"/>
      <w:lang w:val="en-GB"/>
    </w:r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6108E"/>
    <w:pPr>
      <w:tabs>
        <w:tab w:val="left" w:pos="993"/>
        <w:tab w:val="right" w:leader="dot" w:pos="9372"/>
      </w:tabs>
      <w:spacing w:after="100" w:line="276" w:lineRule="auto"/>
      <w:ind w:left="993" w:hanging="993"/>
      <w:jc w:val="left"/>
    </w:pPr>
    <w:rPr>
      <w:rFonts w:asciiTheme="minorHAnsi" w:hAnsiTheme="minorHAnsi" w:cs="Arial"/>
      <w:bCs/>
      <w:noProof/>
      <w:szCs w:val="22"/>
      <w:lang w:val="de-DE" w:eastAsia="de-AT"/>
    </w:rPr>
  </w:style>
  <w:style w:type="paragraph" w:styleId="Verzeichnis3">
    <w:name w:val="toc 3"/>
    <w:basedOn w:val="Standard"/>
    <w:next w:val="Standard"/>
    <w:autoRedefine/>
    <w:uiPriority w:val="39"/>
    <w:rsid w:val="006A0D28"/>
    <w:pPr>
      <w:tabs>
        <w:tab w:val="left" w:pos="1134"/>
        <w:tab w:val="right" w:leader="dot" w:pos="9372"/>
      </w:tabs>
      <w:spacing w:after="100" w:line="276" w:lineRule="auto"/>
      <w:ind w:left="440"/>
    </w:pPr>
    <w:rPr>
      <w:rFonts w:asciiTheme="minorHAnsi" w:eastAsia="Calibri" w:hAnsiTheme="minorHAnsi" w:cstheme="minorHAnsi"/>
      <w:noProof/>
      <w:szCs w:val="22"/>
      <w:lang w:eastAsia="de-AT"/>
    </w:rPr>
  </w:style>
  <w:style w:type="table" w:customStyle="1" w:styleId="Tabellenraster2">
    <w:name w:val="Tabellenraster2"/>
    <w:basedOn w:val="NormaleTabelle"/>
    <w:next w:val="Tabellenraster"/>
    <w:uiPriority w:val="59"/>
    <w:rsid w:val="00EF49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4520A"/>
    <w:rPr>
      <w:rFonts w:ascii="Calibri" w:hAnsi="Calibri"/>
      <w:sz w:val="22"/>
      <w:szCs w:val="22"/>
    </w:rPr>
    <w:tblPr>
      <w:tblCellMar>
        <w:top w:w="0" w:type="dxa"/>
        <w:left w:w="0" w:type="dxa"/>
        <w:bottom w:w="0" w:type="dxa"/>
        <w:right w:w="0" w:type="dxa"/>
      </w:tblCellMar>
    </w:tblPr>
  </w:style>
  <w:style w:type="table" w:customStyle="1" w:styleId="Tabellenraster3">
    <w:name w:val="Tabellenraster3"/>
    <w:basedOn w:val="NormaleTabelle"/>
    <w:next w:val="Tabellenraster"/>
    <w:uiPriority w:val="39"/>
    <w:rsid w:val="00333C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2Akzent61">
    <w:name w:val="Gitternetztabelle 2 – Akzent 61"/>
    <w:basedOn w:val="NormaleTabelle"/>
    <w:uiPriority w:val="47"/>
    <w:rsid w:val="000375CF"/>
    <w:rPr>
      <w:rFonts w:asciiTheme="minorHAnsi" w:eastAsiaTheme="minorHAnsi" w:hAnsiTheme="minorHAnsi" w:cstheme="minorBidi"/>
      <w:sz w:val="22"/>
      <w:szCs w:val="22"/>
      <w:lang w:val="en-US"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
    <w:name w:val="TableGrid"/>
    <w:rsid w:val="00E569BD"/>
    <w:rPr>
      <w:rFonts w:ascii="Calibri" w:hAnsi="Calibri"/>
      <w:sz w:val="22"/>
      <w:szCs w:val="22"/>
    </w:rPr>
    <w:tblPr>
      <w:tblCellMar>
        <w:top w:w="0" w:type="dxa"/>
        <w:left w:w="0" w:type="dxa"/>
        <w:bottom w:w="0" w:type="dxa"/>
        <w:right w:w="0" w:type="dxa"/>
      </w:tblCellMar>
    </w:tblPr>
  </w:style>
  <w:style w:type="table" w:customStyle="1" w:styleId="TableGrid1">
    <w:name w:val="TableGrid1"/>
    <w:rsid w:val="00E569BD"/>
    <w:rPr>
      <w:rFonts w:ascii="Calibri" w:hAnsi="Calibri"/>
      <w:sz w:val="22"/>
      <w:szCs w:val="22"/>
    </w:rPr>
    <w:tblPr>
      <w:tblCellMar>
        <w:top w:w="0" w:type="dxa"/>
        <w:left w:w="0" w:type="dxa"/>
        <w:bottom w:w="0" w:type="dxa"/>
        <w:right w:w="0" w:type="dxa"/>
      </w:tblCellMar>
    </w:tblPr>
  </w:style>
  <w:style w:type="table" w:customStyle="1" w:styleId="TableGrid3">
    <w:name w:val="TableGrid3"/>
    <w:rsid w:val="00F57EAC"/>
    <w:rPr>
      <w:rFonts w:ascii="Calibri" w:hAnsi="Calibri"/>
      <w:sz w:val="22"/>
      <w:szCs w:val="22"/>
    </w:rPr>
    <w:tblPr>
      <w:tblCellMar>
        <w:top w:w="0" w:type="dxa"/>
        <w:left w:w="0" w:type="dxa"/>
        <w:bottom w:w="0" w:type="dxa"/>
        <w:right w:w="0" w:type="dxa"/>
      </w:tblCellMar>
    </w:tblPr>
  </w:style>
  <w:style w:type="table" w:customStyle="1" w:styleId="Tabellenraster4">
    <w:name w:val="Tabellenraster4"/>
    <w:basedOn w:val="NormaleTabelle"/>
    <w:next w:val="Tabellenraster"/>
    <w:uiPriority w:val="39"/>
    <w:rsid w:val="00444F1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444F1E"/>
    <w:rPr>
      <w:rFonts w:ascii="Calibri" w:hAnsi="Calibri"/>
      <w:sz w:val="22"/>
      <w:szCs w:val="22"/>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6E22D6"/>
    <w:rPr>
      <w:color w:val="605E5C"/>
      <w:shd w:val="clear" w:color="auto" w:fill="E1DFDD"/>
    </w:rPr>
  </w:style>
  <w:style w:type="character" w:customStyle="1" w:styleId="berschrift3Zchn">
    <w:name w:val="Überschrift 3 Zchn"/>
    <w:basedOn w:val="Absatz-Standardschriftart"/>
    <w:link w:val="berschrift3"/>
    <w:rsid w:val="00A51D11"/>
    <w:rPr>
      <w:rFonts w:ascii="Arial" w:hAnsi="Arial"/>
      <w:b/>
      <w:bCs/>
      <w:sz w:val="22"/>
      <w:lang w:eastAsia="de-DE"/>
    </w:rPr>
  </w:style>
  <w:style w:type="character" w:customStyle="1" w:styleId="berschrift2Zchn">
    <w:name w:val="Überschrift 2 Zchn"/>
    <w:basedOn w:val="Absatz-Standardschriftart"/>
    <w:link w:val="berschrift2"/>
    <w:rsid w:val="00B7107B"/>
    <w:rPr>
      <w:rFonts w:ascii="Arial" w:hAnsi="Arial" w:cs="Arial"/>
      <w:b/>
      <w:bCs/>
      <w:i/>
      <w:iCs/>
      <w:sz w:val="24"/>
      <w:szCs w:val="24"/>
      <w:lang w:eastAsia="de-DE"/>
    </w:rPr>
  </w:style>
  <w:style w:type="character" w:customStyle="1" w:styleId="NichtaufgelsteErwhnung2">
    <w:name w:val="Nicht aufgelöste Erwähnung2"/>
    <w:basedOn w:val="Absatz-Standardschriftart"/>
    <w:uiPriority w:val="99"/>
    <w:semiHidden/>
    <w:unhideWhenUsed/>
    <w:rsid w:val="00C5792C"/>
    <w:rPr>
      <w:color w:val="605E5C"/>
      <w:shd w:val="clear" w:color="auto" w:fill="E1DFDD"/>
    </w:rPr>
  </w:style>
  <w:style w:type="character" w:customStyle="1" w:styleId="KopfzeileZchn">
    <w:name w:val="Kopfzeile Zchn"/>
    <w:basedOn w:val="Absatz-Standardschriftart"/>
    <w:link w:val="Kopfzeile"/>
    <w:rsid w:val="00564EAE"/>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45866">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6399">
      <w:bodyDiv w:val="1"/>
      <w:marLeft w:val="0"/>
      <w:marRight w:val="0"/>
      <w:marTop w:val="0"/>
      <w:marBottom w:val="0"/>
      <w:divBdr>
        <w:top w:val="none" w:sz="0" w:space="0" w:color="auto"/>
        <w:left w:val="none" w:sz="0" w:space="0" w:color="auto"/>
        <w:bottom w:val="none" w:sz="0" w:space="0" w:color="auto"/>
        <w:right w:val="none" w:sz="0" w:space="0" w:color="auto"/>
      </w:divBdr>
    </w:div>
    <w:div w:id="175123019">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8582295">
      <w:bodyDiv w:val="1"/>
      <w:marLeft w:val="0"/>
      <w:marRight w:val="0"/>
      <w:marTop w:val="0"/>
      <w:marBottom w:val="0"/>
      <w:divBdr>
        <w:top w:val="none" w:sz="0" w:space="0" w:color="auto"/>
        <w:left w:val="none" w:sz="0" w:space="0" w:color="auto"/>
        <w:bottom w:val="none" w:sz="0" w:space="0" w:color="auto"/>
        <w:right w:val="none" w:sz="0" w:space="0" w:color="auto"/>
      </w:divBdr>
    </w:div>
    <w:div w:id="455410006">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ncbi.nlm.nih.gov/pmc/articles/PMC5834554/pdf/330_2017_Article_5026.pdf" TargetMode="External"/><Relationship Id="rId39" Type="http://schemas.openxmlformats.org/officeDocument/2006/relationships/image" Target="media/image24.emf"/><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www.esmo.org/Guidelines/Gastrointestinal-Cancers/Rectal-Cancer" TargetMode="External"/><Relationship Id="rId47" Type="http://schemas.openxmlformats.org/officeDocument/2006/relationships/hyperlink" Target="https://ascopubs.org/doi/pdf/10.1200/JGO.19.00367" TargetMode="External"/><Relationship Id="rId50" Type="http://schemas.openxmlformats.org/officeDocument/2006/relationships/hyperlink" Target="https://www.awmf.org/uploads/tx_szleitlinien/021-007OLl_S3_Kolorektales-Karzinom-KRK_2019-01.pdf" TargetMode="External"/><Relationship Id="rId55" Type="http://schemas.openxmlformats.org/officeDocument/2006/relationships/image" Target="media/image25.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cp.eu.com/images/news_and_reports/2018/lars-scoring-tool/German-LARS-Questionnaire.pdf"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s://www.esmo.org/Guidelines/Gastrointestinal-Cancers/Pan-Asian-Adapted-ESMO-Consensus-Guidelines-for-the-Management-of-Patients-with-Metastatic-Colorectal-Cancer" TargetMode="External"/><Relationship Id="rId54" Type="http://schemas.openxmlformats.org/officeDocument/2006/relationships/hyperlink" Target="https://aio-portal.de/index.php/stellungnahmen.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esmo.org/guidelines/gastrointestinal-cancers/localised-colon-cancer/paga-for-localised-colon-cancer-2021" TargetMode="External"/><Relationship Id="rId45" Type="http://schemas.openxmlformats.org/officeDocument/2006/relationships/hyperlink" Target="https://www.nccn.org/professionals/physician_gls/pdf/rectal_blocks.pdf" TargetMode="External"/><Relationship Id="rId53" Type="http://schemas.openxmlformats.org/officeDocument/2006/relationships/hyperlink" Target="https://www.nature.com/articles/s41571-021-00538-5" TargetMode="Externa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onkopedia.com/de/onkopedia/guidelines/rektumkarzinom/@@view/html/index.html" TargetMode="External"/><Relationship Id="rId57" Type="http://schemas.openxmlformats.org/officeDocument/2006/relationships/image" Target="media/image27.png"/><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https://www.nccn.org/professionals/physician_gls/pdf/colon_blocks.pdf" TargetMode="External"/><Relationship Id="rId52" Type="http://schemas.openxmlformats.org/officeDocument/2006/relationships/hyperlink" Target="https://aio-portal.de/index.php/stellungnahmen.html"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esmo.org/Guidelines/Gastrointestinal-Cancers/Hereditary-Gastrointestinal-Cancers" TargetMode="External"/><Relationship Id="rId48" Type="http://schemas.openxmlformats.org/officeDocument/2006/relationships/hyperlink" Target="https://www.onkopedia.com/de/onkopedia/guidelines/kolonkarzinom/@@view/html/index.html" TargetMode="External"/><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ancerstaging.org/Pages/default.asp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yperlink" Target="https://ascopubs.org/doi/pdf/10.1200/JGO.18.00214"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05CA9"/>
    <w:rsid w:val="00026B85"/>
    <w:rsid w:val="00054E31"/>
    <w:rsid w:val="0006793C"/>
    <w:rsid w:val="000926A2"/>
    <w:rsid w:val="000A69F0"/>
    <w:rsid w:val="000C74EA"/>
    <w:rsid w:val="000D6E6F"/>
    <w:rsid w:val="000E3F14"/>
    <w:rsid w:val="000F0598"/>
    <w:rsid w:val="00126E65"/>
    <w:rsid w:val="00131E2D"/>
    <w:rsid w:val="001A2107"/>
    <w:rsid w:val="001A238C"/>
    <w:rsid w:val="001A64DE"/>
    <w:rsid w:val="001B2FC8"/>
    <w:rsid w:val="00233256"/>
    <w:rsid w:val="0026478B"/>
    <w:rsid w:val="00295914"/>
    <w:rsid w:val="00295B17"/>
    <w:rsid w:val="00296D9B"/>
    <w:rsid w:val="002B3923"/>
    <w:rsid w:val="002C27EE"/>
    <w:rsid w:val="002C3CFB"/>
    <w:rsid w:val="002D2D1B"/>
    <w:rsid w:val="003207F8"/>
    <w:rsid w:val="003354F9"/>
    <w:rsid w:val="00354888"/>
    <w:rsid w:val="003A13AC"/>
    <w:rsid w:val="00415CC4"/>
    <w:rsid w:val="0044759D"/>
    <w:rsid w:val="004A3EA1"/>
    <w:rsid w:val="004E653B"/>
    <w:rsid w:val="005006DD"/>
    <w:rsid w:val="00503FCE"/>
    <w:rsid w:val="00522059"/>
    <w:rsid w:val="00541FC2"/>
    <w:rsid w:val="00594AA3"/>
    <w:rsid w:val="005C6297"/>
    <w:rsid w:val="005D003A"/>
    <w:rsid w:val="005E3D0B"/>
    <w:rsid w:val="005E41B9"/>
    <w:rsid w:val="005F148B"/>
    <w:rsid w:val="005F3CA5"/>
    <w:rsid w:val="00611551"/>
    <w:rsid w:val="0061233D"/>
    <w:rsid w:val="00632C99"/>
    <w:rsid w:val="0063418F"/>
    <w:rsid w:val="00677FD3"/>
    <w:rsid w:val="006848E9"/>
    <w:rsid w:val="006B2863"/>
    <w:rsid w:val="006B4518"/>
    <w:rsid w:val="006E4B6B"/>
    <w:rsid w:val="006F3077"/>
    <w:rsid w:val="0073599A"/>
    <w:rsid w:val="00741186"/>
    <w:rsid w:val="00741567"/>
    <w:rsid w:val="0075212C"/>
    <w:rsid w:val="00774E0B"/>
    <w:rsid w:val="00793025"/>
    <w:rsid w:val="007C7560"/>
    <w:rsid w:val="007D2567"/>
    <w:rsid w:val="007E00B9"/>
    <w:rsid w:val="007E1567"/>
    <w:rsid w:val="007E225D"/>
    <w:rsid w:val="007E71B5"/>
    <w:rsid w:val="00814565"/>
    <w:rsid w:val="00865E40"/>
    <w:rsid w:val="00876668"/>
    <w:rsid w:val="00886A05"/>
    <w:rsid w:val="008A3AB0"/>
    <w:rsid w:val="008C1B71"/>
    <w:rsid w:val="008C269D"/>
    <w:rsid w:val="008D5FC1"/>
    <w:rsid w:val="008F2918"/>
    <w:rsid w:val="008F2E0C"/>
    <w:rsid w:val="00923487"/>
    <w:rsid w:val="0095123E"/>
    <w:rsid w:val="00952863"/>
    <w:rsid w:val="009749F7"/>
    <w:rsid w:val="00985A80"/>
    <w:rsid w:val="00995955"/>
    <w:rsid w:val="009D0AE3"/>
    <w:rsid w:val="009F4B74"/>
    <w:rsid w:val="00A10100"/>
    <w:rsid w:val="00A874F3"/>
    <w:rsid w:val="00A9046D"/>
    <w:rsid w:val="00AB5089"/>
    <w:rsid w:val="00AD23CA"/>
    <w:rsid w:val="00AD7590"/>
    <w:rsid w:val="00AE7F1C"/>
    <w:rsid w:val="00AF237F"/>
    <w:rsid w:val="00B03E69"/>
    <w:rsid w:val="00B05F70"/>
    <w:rsid w:val="00B311D5"/>
    <w:rsid w:val="00B35D76"/>
    <w:rsid w:val="00B53D0C"/>
    <w:rsid w:val="00B553CD"/>
    <w:rsid w:val="00B82360"/>
    <w:rsid w:val="00B83779"/>
    <w:rsid w:val="00B85B12"/>
    <w:rsid w:val="00BE1E9F"/>
    <w:rsid w:val="00C06CD9"/>
    <w:rsid w:val="00C24063"/>
    <w:rsid w:val="00C34144"/>
    <w:rsid w:val="00C41949"/>
    <w:rsid w:val="00C53EE2"/>
    <w:rsid w:val="00C61E7E"/>
    <w:rsid w:val="00C76388"/>
    <w:rsid w:val="00C9385A"/>
    <w:rsid w:val="00CA350C"/>
    <w:rsid w:val="00D22548"/>
    <w:rsid w:val="00D51C2B"/>
    <w:rsid w:val="00D9734B"/>
    <w:rsid w:val="00DA55A7"/>
    <w:rsid w:val="00DB1348"/>
    <w:rsid w:val="00DB7C7C"/>
    <w:rsid w:val="00DE4519"/>
    <w:rsid w:val="00E349ED"/>
    <w:rsid w:val="00E34B24"/>
    <w:rsid w:val="00E52E30"/>
    <w:rsid w:val="00E62305"/>
    <w:rsid w:val="00E80CF7"/>
    <w:rsid w:val="00E9358F"/>
    <w:rsid w:val="00ED78A9"/>
    <w:rsid w:val="00EE1651"/>
    <w:rsid w:val="00F1001C"/>
    <w:rsid w:val="00F34FA6"/>
    <w:rsid w:val="00F504AF"/>
    <w:rsid w:val="00F57A73"/>
    <w:rsid w:val="00F86F91"/>
    <w:rsid w:val="00F923AF"/>
    <w:rsid w:val="00FD5A14"/>
    <w:rsid w:val="00FD7174"/>
    <w:rsid w:val="00FF0705"/>
    <w:rsid w:val="00FF45E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finishedorgapprovers xmlns="http://schemas.microsoft.com/sharepoint/v3">
      <UserInfo>
        <DisplayName>Pichler, Thomas</DisplayName>
        <AccountId>28327</AccountId>
        <AccountType/>
      </UserInfo>
    </dfr_finishedorgapprovers>
    <dfr_pendingorgapprovers xmlns="http://schemas.microsoft.com/sharepoint/v3">
      <UserInfo>
        <DisplayName/>
        <AccountId xsi:nil="true"/>
        <AccountType/>
      </UserInfo>
    </dfr_pendingorgapprovers>
    <dfr_comments xmlns="http://schemas.microsoft.com/sharepoint/v3">21.03.2022 07:31:59 Pichler, Thomas (Initiator) : Freigabe der Revision OA Dr. Schiffer per Mail am 20.03.2022
21.03.2022 07:32:12 Pichler, Thomas (Freigeber) : .
</dfr_comments>
    <dfr_orgscope xmlns="http://schemas.microsoft.com/sharepoint/v3">
      <Value>Tumorzentrum</Value>
    </dfr_orgscope>
    <dfr_creator xmlns="http://schemas.microsoft.com/sharepoint/v3">
      <UserInfo>
        <DisplayName>Schiffer, Michael</DisplayName>
        <AccountId>2692</AccountId>
        <AccountType/>
      </UserInfo>
    </dfr_creator>
    <dfr_department xmlns="http://schemas.microsoft.com/sharepoint/v3">Leitlinien solide Tumore</dfr_department>
    <dfr_headernote xmlns="http://schemas.microsoft.com/sharepoint/v3" xsi:nil="true"/>
    <dfr_finishedcheckers xmlns="http://schemas.microsoft.com/sharepoint/v3">
      <UserInfo>
        <DisplayName/>
        <AccountId xsi:nil="true"/>
        <AccountType/>
      </UserInfo>
    </dfr_finishedcheckers>
    <dfr_pendingtecapprovers xmlns="http://schemas.microsoft.com/sharepoint/v3">
      <UserInfo>
        <DisplayName/>
        <AccountId xsi:nil="true"/>
        <AccountType/>
      </UserInfo>
    </dfr_pendingtecapprovers>
    <dfr_taskowner xmlns="http://schemas.microsoft.com/sharepoint/v3">
      <UserInfo>
        <DisplayName/>
        <AccountId xsi:nil="true"/>
        <AccountType/>
      </UserInfo>
    </dfr_taskowner>
    <dfr_pendingcheckers xmlns="http://schemas.microsoft.com/sharepoint/v3">
      <UserInfo>
        <DisplayName/>
        <AccountId xsi:nil="true"/>
        <AccountType/>
      </UserInfo>
    </dfr_pendingcheckers>
    <dfr_taskinitializer xmlns="http://schemas.microsoft.com/sharepoint/v3">
      <UserInfo>
        <DisplayName>Pichler, Thomas</DisplayName>
        <AccountId>28327</AccountId>
        <AccountType/>
      </UserInfo>
    </dfr_taskinitializer>
    <dfr_approvalid xmlns="http://schemas.microsoft.com/sharepoint/v3">2e9fd847-9869-433d-bbac-898b1db7aaec</dfr_approvalid>
    <dfr_contenttype xmlns="http://schemas.microsoft.com/sharepoint/v3">Leitlinie</dfr_contenttype>
    <dfr_prevdepartment xmlns="http://schemas.microsoft.com/sharepoint/v3" xsi:nil="true"/>
    <dfr_archived xmlns="http://schemas.microsoft.com/sharepoint/v3" xsi:nil="true"/>
    <dfr_nextrevision xmlns="http://schemas.microsoft.com/sharepoint/v3">2023-03-21T06:32:15+00:00</dfr_nextrevision>
    <dfr_actionlink xmlns="http://schemas.microsoft.com/sharepoint/v3">https://ooeg.info/dokumente/_layouts/gespag.dfr/revise.aspx?IsDlg=1&amp;listID=18c45198-6fc7-4da6-aad9-951c94b71f4f&amp;itemID=208, revisionieren</dfr_actionlink>
    <dfr_lastrevision xmlns="http://schemas.microsoft.com/sharepoint/v3" xsi:nil="true"/>
    <dfr_lastnotification xmlns="http://schemas.microsoft.com/sharepoint/v3" xsi:nil="true"/>
    <dfr_taskid xmlns="http://schemas.microsoft.com/sharepoint/v3" xsi:nil="true"/>
    <dfr_orgunit xmlns="http://schemas.microsoft.com/sharepoint/v3">Tumorzentrum</dfr_orgunit>
    <dfr_revision xmlns="http://schemas.microsoft.com/sharepoint/v3">0</dfr_revision>
    <dfr_taskownerresponsibility xmlns="http://schemas.microsoft.com/sharepoint/v3" xsi:nil="true"/>
    <dfr_publisheddate xmlns="http://schemas.microsoft.com/sharepoint/v3">2022-03-21T06:32:12+00:00</dfr_publisheddate>
    <dfr_location xmlns="http://schemas.microsoft.com/sharepoint/v3">KH</dfr_location>
    <customfield_majorversion xmlns="http://schemas.microsoft.com/sharepoint/v3" xsi:nil="true"/>
    <dfr_nextasknotification xmlns="18c45198-6fc7-4da6-aad9-951c94b71f4f" xsi:nil="true"/>
    <dfr_inforecipients xmlns="http://schemas.microsoft.com/sharepoint/v3">
      <UserInfo>
        <DisplayName/>
        <AccountId xsi:nil="true"/>
        <AccountType/>
      </UserInfo>
    </dfr_inforecipients>
    <TaxCatchAll xmlns="824990fe-55f0-45e8-a37e-05db7cf8aedc"/>
    <dfr_defaultorgapprovers xmlns="http://schemas.microsoft.com/sharepoint/v3">
      <UserInfo>
        <DisplayName>Pichler, Thomas</DisplayName>
        <AccountId>28327</AccountId>
        <AccountType/>
      </UserInfo>
    </dfr_defaultorgapprovers>
    <dfr_majorversion xmlns="18c45198-6fc7-4da6-aad9-951c94b71f4f">10.0</dfr_majorversion>
    <dfr_defaultcheckers xmlns="http://schemas.microsoft.com/sharepoint/v3">
      <UserInfo>
        <DisplayName/>
        <AccountId xsi:nil="true"/>
        <AccountType/>
      </UserInfo>
    </dfr_defaultcheckers>
    <TaxKeywordTaxHTField xmlns="824990fe-55f0-45e8-a37e-05db7cf8aedc">
      <Terms xmlns="http://schemas.microsoft.com/office/infopath/2007/PartnerControls"/>
    </TaxKeywordTaxHTField>
    <dfr_infodistributionlist xmlns="http://schemas.microsoft.com/sharepoint/v3" xsi:nil="true"/>
    <dfr_classification xmlns="18c45198-6fc7-4da6-aad9-951c94b71f4f">öffentlich</dfr_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D8E8C-A9AB-4510-9717-487534E7862B}"/>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6D5A8232-3ED3-457D-8877-A347BA35FCA2}"/>
</file>

<file path=docProps/app.xml><?xml version="1.0" encoding="utf-8"?>
<Properties xmlns="http://schemas.openxmlformats.org/officeDocument/2006/extended-properties" xmlns:vt="http://schemas.openxmlformats.org/officeDocument/2006/docPropsVTypes">
  <Template>Normal</Template>
  <TotalTime>0</TotalTime>
  <Pages>51</Pages>
  <Words>11053</Words>
  <Characters>69639</Characters>
  <Application>Microsoft Office Word</Application>
  <DocSecurity>0</DocSecurity>
  <Lines>580</Lines>
  <Paragraphs>161</Paragraphs>
  <ScaleCrop>false</ScaleCrop>
  <HeadingPairs>
    <vt:vector size="2" baseType="variant">
      <vt:variant>
        <vt:lpstr>Titel</vt:lpstr>
      </vt:variant>
      <vt:variant>
        <vt:i4>1</vt:i4>
      </vt:variant>
    </vt:vector>
  </HeadingPairs>
  <TitlesOfParts>
    <vt:vector size="1" baseType="lpstr">
      <vt:lpstr>Colorektalkarzinom</vt:lpstr>
    </vt:vector>
  </TitlesOfParts>
  <Company>gespag</Company>
  <LinksUpToDate>false</LinksUpToDate>
  <CharactersWithSpaces>80531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Colorektalkarzinom</dc:title>
  <dc:creator>Mag. Pichler (KI), (71)20090, kipichth</dc:creator>
  <cp:keywords/>
  <cp:lastModifiedBy>Pichler, Thomas</cp:lastModifiedBy>
  <cp:revision>3</cp:revision>
  <cp:lastPrinted>2017-11-02T13:10:00Z</cp:lastPrinted>
  <dcterms:created xsi:type="dcterms:W3CDTF">2022-03-21T06:26:00Z</dcterms:created>
  <dcterms:modified xsi:type="dcterms:W3CDTF">2022-03-21T06:30:00Z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eich">
    <vt:lpwstr>Vorlagen</vt:lpwstr>
  </property>
  <property fmtid="{D5CDD505-2E9C-101B-9397-08002B2CF9AE}" pid="23" name="Archivieren">
    <vt:lpwstr>Nein</vt:lpwstr>
  </property>
  <property fmtid="{D5CDD505-2E9C-101B-9397-08002B2CF9AE}" pid="24" name="läuft ab am">
    <vt:lpwstr>2098-12-31T23:00:00+00:00</vt:lpwstr>
  </property>
  <property fmtid="{D5CDD505-2E9C-101B-9397-08002B2CF9AE}" pid="25" name="TaxKeyword">
    <vt:lpwstr/>
  </property>
  <property fmtid="{D5CDD505-2E9C-101B-9397-08002B2CF9AE}" pid="26" name="Berufsgruppe">
    <vt:lpwstr>2;#;#5;#;#3;#</vt:lpwstr>
  </property>
</Properties>
</file>