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EB18" w14:textId="77777777" w:rsidR="00B6342E" w:rsidRPr="001E1E35" w:rsidRDefault="00B6342E" w:rsidP="000C0C21">
      <w:pPr>
        <w:pStyle w:val="Titel"/>
        <w:jc w:val="both"/>
        <w:rPr>
          <w:rFonts w:asciiTheme="minorHAnsi" w:hAnsiTheme="minorHAnsi" w:cstheme="minorHAnsi"/>
          <w:b/>
          <w:color w:val="000000" w:themeColor="text1"/>
          <w:sz w:val="20"/>
        </w:rPr>
      </w:pPr>
    </w:p>
    <w:p w14:paraId="5389EB19" w14:textId="77777777" w:rsidR="00B6342E" w:rsidRPr="001E1E35" w:rsidRDefault="00B6342E" w:rsidP="000C0C21">
      <w:pPr>
        <w:pStyle w:val="Titel"/>
        <w:jc w:val="both"/>
        <w:rPr>
          <w:rFonts w:asciiTheme="minorHAnsi" w:hAnsiTheme="minorHAnsi" w:cstheme="minorHAnsi"/>
          <w:b/>
          <w:color w:val="000000" w:themeColor="text1"/>
          <w:sz w:val="20"/>
        </w:rPr>
      </w:pPr>
    </w:p>
    <w:p w14:paraId="5389EB1A" w14:textId="77777777" w:rsidR="00B6342E" w:rsidRPr="001E1E35" w:rsidRDefault="00B6342E" w:rsidP="000C0C21">
      <w:pPr>
        <w:pStyle w:val="Titel"/>
        <w:jc w:val="both"/>
        <w:rPr>
          <w:rFonts w:asciiTheme="minorHAnsi" w:hAnsiTheme="minorHAnsi" w:cstheme="minorHAnsi"/>
          <w:b/>
          <w:color w:val="000000" w:themeColor="text1"/>
          <w:sz w:val="20"/>
        </w:rPr>
      </w:pPr>
    </w:p>
    <w:p w14:paraId="5389EB1B" w14:textId="77777777" w:rsidR="00B6342E" w:rsidRPr="001E1E35" w:rsidRDefault="00B6342E" w:rsidP="000C0C21">
      <w:pPr>
        <w:pStyle w:val="Titel"/>
        <w:jc w:val="both"/>
        <w:rPr>
          <w:rFonts w:asciiTheme="minorHAnsi" w:hAnsiTheme="minorHAnsi" w:cstheme="minorHAnsi"/>
          <w:b/>
          <w:color w:val="000000" w:themeColor="text1"/>
          <w:sz w:val="20"/>
        </w:rPr>
      </w:pPr>
    </w:p>
    <w:p w14:paraId="5389EB1C" w14:textId="77777777" w:rsidR="00B6342E" w:rsidRPr="001E1E35" w:rsidRDefault="00B6342E" w:rsidP="000C0C21">
      <w:pPr>
        <w:pStyle w:val="Titel"/>
        <w:jc w:val="both"/>
        <w:rPr>
          <w:rFonts w:asciiTheme="minorHAnsi" w:hAnsiTheme="minorHAnsi" w:cstheme="minorHAnsi"/>
          <w:b/>
          <w:color w:val="000000" w:themeColor="text1"/>
          <w:sz w:val="48"/>
          <w:szCs w:val="48"/>
        </w:rPr>
      </w:pPr>
    </w:p>
    <w:p w14:paraId="5389EB1D" w14:textId="77777777" w:rsidR="00E67988" w:rsidRPr="001E1E35" w:rsidRDefault="00E67988" w:rsidP="000C0C21">
      <w:pPr>
        <w:pStyle w:val="Titel"/>
        <w:jc w:val="both"/>
        <w:rPr>
          <w:rFonts w:asciiTheme="minorHAnsi" w:hAnsiTheme="minorHAnsi" w:cstheme="minorHAnsi"/>
          <w:b/>
          <w:color w:val="000000" w:themeColor="text1"/>
          <w:sz w:val="48"/>
          <w:szCs w:val="48"/>
        </w:rPr>
      </w:pPr>
    </w:p>
    <w:p w14:paraId="5389EB1E" w14:textId="77777777" w:rsidR="00250E53" w:rsidRPr="001E1E35" w:rsidRDefault="00250E53" w:rsidP="000C0C21">
      <w:pPr>
        <w:pStyle w:val="Titel"/>
        <w:jc w:val="both"/>
        <w:rPr>
          <w:rFonts w:asciiTheme="minorHAnsi" w:hAnsiTheme="minorHAnsi" w:cstheme="minorHAnsi"/>
          <w:b/>
          <w:color w:val="000000" w:themeColor="text1"/>
          <w:sz w:val="48"/>
          <w:szCs w:val="48"/>
        </w:rPr>
      </w:pPr>
    </w:p>
    <w:p w14:paraId="5389EB1F" w14:textId="77777777" w:rsidR="008A7324" w:rsidRPr="001E1E35" w:rsidRDefault="00A1778E" w:rsidP="000C0C21">
      <w:pPr>
        <w:pStyle w:val="Titel"/>
        <w:jc w:val="both"/>
        <w:rPr>
          <w:rFonts w:asciiTheme="minorHAnsi" w:hAnsiTheme="minorHAnsi" w:cstheme="minorHAnsi"/>
          <w:b/>
          <w:color w:val="000000" w:themeColor="text1"/>
          <w:sz w:val="48"/>
          <w:szCs w:val="48"/>
        </w:rPr>
      </w:pPr>
      <w:sdt>
        <w:sdtPr>
          <w:rPr>
            <w:rFonts w:asciiTheme="minorHAnsi" w:hAnsiTheme="minorHAnsi" w:cstheme="minorHAnsi"/>
            <w:b/>
            <w:color w:val="000000" w:themeColor="text1"/>
            <w:sz w:val="48"/>
            <w:szCs w:val="48"/>
            <w:lang w:val="de-AT"/>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3655E2" w:rsidRPr="001E1E35">
            <w:rPr>
              <w:rFonts w:asciiTheme="minorHAnsi" w:hAnsiTheme="minorHAnsi" w:cstheme="minorHAnsi"/>
              <w:b/>
              <w:color w:val="000000" w:themeColor="text1"/>
              <w:sz w:val="48"/>
              <w:szCs w:val="48"/>
              <w:lang w:val="de-AT"/>
            </w:rPr>
            <w:t>CLL</w:t>
          </w:r>
        </w:sdtContent>
      </w:sdt>
    </w:p>
    <w:p w14:paraId="5389EB20" w14:textId="77777777" w:rsidR="008A7324" w:rsidRPr="001E1E35" w:rsidRDefault="008A7324" w:rsidP="000C0C21">
      <w:pPr>
        <w:pStyle w:val="Titel"/>
        <w:ind w:left="-56"/>
        <w:jc w:val="both"/>
        <w:rPr>
          <w:rFonts w:asciiTheme="minorHAnsi" w:hAnsiTheme="minorHAnsi" w:cstheme="minorHAnsi"/>
          <w:color w:val="000000" w:themeColor="text1"/>
          <w:sz w:val="28"/>
          <w:szCs w:val="28"/>
        </w:rPr>
      </w:pPr>
    </w:p>
    <w:p w14:paraId="5389EB21" w14:textId="77777777" w:rsidR="003655E2" w:rsidRPr="001E1E35" w:rsidRDefault="003655E2" w:rsidP="000C0C21">
      <w:pPr>
        <w:tabs>
          <w:tab w:val="left" w:pos="1418"/>
        </w:tabs>
        <w:spacing w:line="276" w:lineRule="auto"/>
        <w:jc w:val="both"/>
        <w:rPr>
          <w:rFonts w:asciiTheme="minorHAnsi" w:hAnsiTheme="minorHAnsi" w:cstheme="minorHAnsi"/>
          <w:b/>
          <w:color w:val="000000" w:themeColor="text1"/>
          <w:sz w:val="48"/>
          <w:szCs w:val="48"/>
        </w:rPr>
      </w:pPr>
      <w:r w:rsidRPr="001E1E35">
        <w:rPr>
          <w:rFonts w:asciiTheme="minorHAnsi" w:hAnsiTheme="minorHAnsi" w:cstheme="minorHAnsi"/>
          <w:b/>
          <w:color w:val="000000" w:themeColor="text1"/>
          <w:sz w:val="48"/>
          <w:szCs w:val="48"/>
        </w:rPr>
        <w:t>Chronische lymphatische Leukämie</w:t>
      </w:r>
    </w:p>
    <w:p w14:paraId="5389EB22" w14:textId="77777777" w:rsidR="005163F4" w:rsidRPr="001E1E35" w:rsidRDefault="005163F4" w:rsidP="000C0C21">
      <w:pPr>
        <w:tabs>
          <w:tab w:val="left" w:pos="1418"/>
        </w:tabs>
        <w:spacing w:line="276" w:lineRule="auto"/>
        <w:jc w:val="both"/>
        <w:rPr>
          <w:rFonts w:asciiTheme="minorHAnsi" w:hAnsiTheme="minorHAnsi" w:cstheme="minorHAnsi"/>
          <w:color w:val="000000" w:themeColor="text1"/>
          <w:sz w:val="28"/>
          <w:szCs w:val="28"/>
        </w:rPr>
      </w:pPr>
    </w:p>
    <w:p w14:paraId="5389EB23" w14:textId="77777777" w:rsidR="00B6342E" w:rsidRPr="001E1E35" w:rsidRDefault="00B6342E" w:rsidP="000C0C21">
      <w:pPr>
        <w:tabs>
          <w:tab w:val="left" w:pos="1418"/>
        </w:tabs>
        <w:spacing w:line="276" w:lineRule="auto"/>
        <w:jc w:val="both"/>
        <w:rPr>
          <w:rFonts w:asciiTheme="minorHAnsi" w:hAnsiTheme="minorHAnsi" w:cstheme="minorHAnsi"/>
          <w:color w:val="000000" w:themeColor="text1"/>
          <w:sz w:val="28"/>
          <w:szCs w:val="28"/>
        </w:rPr>
      </w:pPr>
    </w:p>
    <w:p w14:paraId="5389EB24" w14:textId="77777777" w:rsidR="00B6342E" w:rsidRPr="001E1E35" w:rsidRDefault="00A6435E" w:rsidP="000C0C21">
      <w:pPr>
        <w:spacing w:line="276" w:lineRule="auto"/>
        <w:jc w:val="both"/>
        <w:rPr>
          <w:rFonts w:asciiTheme="minorHAnsi" w:hAnsiTheme="minorHAnsi" w:cstheme="minorHAnsi"/>
          <w:b/>
          <w:color w:val="000000" w:themeColor="text1"/>
          <w:sz w:val="40"/>
          <w:szCs w:val="40"/>
        </w:rPr>
      </w:pPr>
      <w:r w:rsidRPr="001E1E35">
        <w:rPr>
          <w:rFonts w:asciiTheme="minorHAnsi" w:hAnsiTheme="minorHAnsi" w:cstheme="minorHAnsi"/>
          <w:b/>
          <w:color w:val="000000" w:themeColor="text1"/>
          <w:sz w:val="40"/>
          <w:szCs w:val="40"/>
        </w:rPr>
        <w:t xml:space="preserve">Medizinische </w:t>
      </w:r>
      <w:r w:rsidR="00B6342E" w:rsidRPr="001E1E35">
        <w:rPr>
          <w:rFonts w:asciiTheme="minorHAnsi" w:hAnsiTheme="minorHAnsi" w:cstheme="minorHAnsi"/>
          <w:b/>
          <w:color w:val="000000" w:themeColor="text1"/>
          <w:sz w:val="40"/>
          <w:szCs w:val="40"/>
        </w:rPr>
        <w:t>Leitlinie</w:t>
      </w:r>
    </w:p>
    <w:p w14:paraId="5389EB27" w14:textId="6D997C0A" w:rsidR="00EB0F6F" w:rsidRPr="001E1E35" w:rsidRDefault="00EB0F6F" w:rsidP="000C0C21">
      <w:pPr>
        <w:spacing w:line="276" w:lineRule="auto"/>
        <w:ind w:left="426"/>
        <w:jc w:val="both"/>
        <w:rPr>
          <w:rFonts w:asciiTheme="minorHAnsi" w:hAnsiTheme="minorHAnsi" w:cstheme="minorHAnsi"/>
          <w:b/>
          <w:color w:val="000000" w:themeColor="text1"/>
          <w:szCs w:val="22"/>
        </w:rPr>
      </w:pPr>
      <w:bookmarkStart w:id="0" w:name="_GoBack"/>
      <w:bookmarkEnd w:id="0"/>
    </w:p>
    <w:p w14:paraId="5389EB28" w14:textId="77777777" w:rsidR="00B6342E" w:rsidRPr="001E1E35" w:rsidRDefault="00B6342E" w:rsidP="000C0C21">
      <w:pPr>
        <w:tabs>
          <w:tab w:val="left" w:pos="1418"/>
        </w:tabs>
        <w:spacing w:line="276" w:lineRule="auto"/>
        <w:jc w:val="both"/>
        <w:rPr>
          <w:rFonts w:asciiTheme="minorHAnsi" w:hAnsiTheme="minorHAnsi" w:cstheme="minorHAnsi"/>
          <w:color w:val="000000" w:themeColor="text1"/>
          <w:sz w:val="28"/>
          <w:szCs w:val="28"/>
        </w:rPr>
      </w:pPr>
    </w:p>
    <w:p w14:paraId="5389EB29" w14:textId="77777777" w:rsidR="00B6342E" w:rsidRPr="001E1E35" w:rsidRDefault="00B6342E" w:rsidP="000C0C21">
      <w:pPr>
        <w:tabs>
          <w:tab w:val="left" w:pos="1418"/>
        </w:tabs>
        <w:spacing w:line="276" w:lineRule="auto"/>
        <w:jc w:val="both"/>
        <w:rPr>
          <w:rFonts w:asciiTheme="minorHAnsi" w:hAnsiTheme="minorHAnsi" w:cstheme="minorHAnsi"/>
          <w:color w:val="000000" w:themeColor="text1"/>
          <w:sz w:val="28"/>
          <w:szCs w:val="28"/>
        </w:rPr>
      </w:pPr>
    </w:p>
    <w:p w14:paraId="5389EB2A" w14:textId="77777777" w:rsidR="005163F4" w:rsidRPr="001E1E35" w:rsidRDefault="005163F4" w:rsidP="000C0C21">
      <w:pPr>
        <w:tabs>
          <w:tab w:val="left" w:pos="1418"/>
        </w:tabs>
        <w:spacing w:line="276" w:lineRule="auto"/>
        <w:jc w:val="both"/>
        <w:rPr>
          <w:rFonts w:asciiTheme="minorHAnsi" w:hAnsiTheme="minorHAnsi" w:cstheme="minorHAnsi"/>
          <w:color w:val="000000" w:themeColor="text1"/>
          <w:sz w:val="28"/>
          <w:szCs w:val="28"/>
        </w:rPr>
      </w:pPr>
    </w:p>
    <w:p w14:paraId="5389EB2B" w14:textId="77777777" w:rsidR="005163F4" w:rsidRPr="001E1E35" w:rsidRDefault="005163F4" w:rsidP="000C0C21">
      <w:pPr>
        <w:tabs>
          <w:tab w:val="left" w:pos="1418"/>
        </w:tabs>
        <w:spacing w:line="276" w:lineRule="auto"/>
        <w:jc w:val="both"/>
        <w:rPr>
          <w:rFonts w:asciiTheme="minorHAnsi" w:hAnsiTheme="minorHAnsi" w:cstheme="minorHAnsi"/>
          <w:color w:val="000000" w:themeColor="text1"/>
          <w:sz w:val="28"/>
          <w:szCs w:val="28"/>
        </w:rPr>
      </w:pPr>
    </w:p>
    <w:p w14:paraId="5389EB2C" w14:textId="77777777" w:rsidR="005163F4" w:rsidRPr="001E1E35" w:rsidRDefault="005163F4" w:rsidP="000C0C21">
      <w:pPr>
        <w:tabs>
          <w:tab w:val="left" w:pos="1418"/>
        </w:tabs>
        <w:spacing w:line="276" w:lineRule="auto"/>
        <w:jc w:val="both"/>
        <w:rPr>
          <w:rFonts w:asciiTheme="minorHAnsi" w:hAnsiTheme="minorHAnsi" w:cstheme="minorHAnsi"/>
          <w:color w:val="000000" w:themeColor="text1"/>
          <w:sz w:val="28"/>
          <w:szCs w:val="28"/>
        </w:rPr>
      </w:pPr>
    </w:p>
    <w:p w14:paraId="5389EB2D" w14:textId="77777777" w:rsidR="005163F4" w:rsidRPr="001E1E35" w:rsidRDefault="005163F4" w:rsidP="000C0C21">
      <w:pPr>
        <w:tabs>
          <w:tab w:val="left" w:pos="1418"/>
        </w:tabs>
        <w:spacing w:line="276" w:lineRule="auto"/>
        <w:jc w:val="both"/>
        <w:rPr>
          <w:rFonts w:asciiTheme="minorHAnsi" w:hAnsiTheme="minorHAnsi" w:cstheme="minorHAnsi"/>
          <w:color w:val="000000" w:themeColor="text1"/>
          <w:sz w:val="28"/>
          <w:szCs w:val="28"/>
        </w:rPr>
      </w:pPr>
    </w:p>
    <w:tbl>
      <w:tblPr>
        <w:tblStyle w:val="Tabellenraster1"/>
        <w:tblW w:w="9690" w:type="dxa"/>
        <w:tblInd w:w="-84" w:type="dxa"/>
        <w:tblLook w:val="04A0" w:firstRow="1" w:lastRow="0" w:firstColumn="1" w:lastColumn="0" w:noHBand="0" w:noVBand="1"/>
      </w:tblPr>
      <w:tblGrid>
        <w:gridCol w:w="2744"/>
        <w:gridCol w:w="6946"/>
      </w:tblGrid>
      <w:tr w:rsidR="001E1E35" w:rsidRPr="001E1E35" w14:paraId="5389EB30" w14:textId="77777777" w:rsidTr="00E94E76">
        <w:trPr>
          <w:trHeight w:val="567"/>
        </w:trPr>
        <w:tc>
          <w:tcPr>
            <w:tcW w:w="2744" w:type="dxa"/>
            <w:vAlign w:val="center"/>
          </w:tcPr>
          <w:p w14:paraId="5389EB2E" w14:textId="77777777" w:rsidR="003655E2" w:rsidRPr="001E1E35" w:rsidRDefault="003655E2" w:rsidP="000C0C21">
            <w:pPr>
              <w:spacing w:line="276" w:lineRule="auto"/>
              <w:jc w:val="both"/>
              <w:rPr>
                <w:rFonts w:asciiTheme="minorHAnsi" w:hAnsiTheme="minorHAnsi" w:cstheme="minorHAnsi"/>
                <w:color w:val="000000" w:themeColor="text1"/>
              </w:rPr>
            </w:pPr>
            <w:r w:rsidRPr="001E1E35">
              <w:rPr>
                <w:rFonts w:asciiTheme="minorHAnsi" w:hAnsiTheme="minorHAnsi" w:cstheme="minorHAnsi"/>
                <w:color w:val="000000" w:themeColor="text1"/>
              </w:rPr>
              <w:t>Leitlinie erstellt von:</w:t>
            </w:r>
          </w:p>
        </w:tc>
        <w:tc>
          <w:tcPr>
            <w:tcW w:w="6946" w:type="dxa"/>
            <w:vAlign w:val="center"/>
          </w:tcPr>
          <w:p w14:paraId="6F6BCCB9" w14:textId="5E03D899" w:rsidR="00085BDC" w:rsidRDefault="00085BDC" w:rsidP="00085BDC">
            <w:p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FA </w:t>
            </w:r>
            <w:r w:rsidRPr="001E1E35">
              <w:rPr>
                <w:rFonts w:asciiTheme="minorHAnsi" w:hAnsiTheme="minorHAnsi" w:cstheme="minorHAnsi"/>
                <w:color w:val="000000" w:themeColor="text1"/>
              </w:rPr>
              <w:t>Dr. Manuel Orlinger (OKL)</w:t>
            </w:r>
            <w:r>
              <w:rPr>
                <w:rFonts w:asciiTheme="minorHAnsi" w:hAnsiTheme="minorHAnsi" w:cstheme="minorHAnsi"/>
                <w:color w:val="000000" w:themeColor="text1"/>
              </w:rPr>
              <w:t xml:space="preserve">; </w:t>
            </w:r>
            <w:r w:rsidR="003655E2" w:rsidRPr="001E1E35">
              <w:rPr>
                <w:rFonts w:asciiTheme="minorHAnsi" w:hAnsiTheme="minorHAnsi" w:cstheme="minorHAnsi"/>
                <w:color w:val="000000" w:themeColor="text1"/>
              </w:rPr>
              <w:t xml:space="preserve">OA Dr. Michael Girschikofsky (OKL); </w:t>
            </w:r>
          </w:p>
          <w:p w14:paraId="5389EB2F" w14:textId="7FEE2E1B" w:rsidR="003655E2" w:rsidRPr="001E1E35" w:rsidRDefault="003655E2" w:rsidP="00085BDC">
            <w:pPr>
              <w:spacing w:line="276" w:lineRule="auto"/>
              <w:jc w:val="both"/>
              <w:rPr>
                <w:rFonts w:asciiTheme="minorHAnsi" w:hAnsiTheme="minorHAnsi" w:cstheme="minorHAnsi"/>
                <w:color w:val="000000" w:themeColor="text1"/>
              </w:rPr>
            </w:pPr>
            <w:r w:rsidRPr="001E1E35">
              <w:rPr>
                <w:rFonts w:asciiTheme="minorHAnsi" w:hAnsiTheme="minorHAnsi" w:cstheme="minorHAnsi"/>
                <w:color w:val="000000" w:themeColor="text1"/>
              </w:rPr>
              <w:t>OA Dr. Michael Schiffer (SK)</w:t>
            </w:r>
          </w:p>
        </w:tc>
      </w:tr>
      <w:tr w:rsidR="001E1E35" w:rsidRPr="001E1E35" w14:paraId="5389EB33" w14:textId="77777777" w:rsidTr="00E94E76">
        <w:trPr>
          <w:trHeight w:val="567"/>
        </w:trPr>
        <w:tc>
          <w:tcPr>
            <w:tcW w:w="2744" w:type="dxa"/>
            <w:vAlign w:val="center"/>
          </w:tcPr>
          <w:p w14:paraId="5389EB31" w14:textId="77777777" w:rsidR="003655E2" w:rsidRPr="001E1E35" w:rsidRDefault="003655E2" w:rsidP="000C0C21">
            <w:pPr>
              <w:spacing w:line="276" w:lineRule="auto"/>
              <w:jc w:val="both"/>
              <w:rPr>
                <w:rFonts w:asciiTheme="minorHAnsi" w:hAnsiTheme="minorHAnsi" w:cstheme="minorHAnsi"/>
                <w:color w:val="000000" w:themeColor="text1"/>
              </w:rPr>
            </w:pPr>
            <w:r w:rsidRPr="001E1E35">
              <w:rPr>
                <w:rFonts w:asciiTheme="minorHAnsi" w:hAnsiTheme="minorHAnsi" w:cstheme="minorHAnsi"/>
                <w:color w:val="000000" w:themeColor="text1"/>
              </w:rPr>
              <w:t>Leitlinie geprüft von:</w:t>
            </w:r>
          </w:p>
        </w:tc>
        <w:tc>
          <w:tcPr>
            <w:tcW w:w="6946" w:type="dxa"/>
            <w:vAlign w:val="center"/>
          </w:tcPr>
          <w:p w14:paraId="5389EB32" w14:textId="511986E4" w:rsidR="003655E2" w:rsidRPr="001E1E35" w:rsidRDefault="003655E2" w:rsidP="000C0C21">
            <w:pPr>
              <w:spacing w:line="276" w:lineRule="auto"/>
              <w:jc w:val="both"/>
              <w:rPr>
                <w:rFonts w:asciiTheme="minorHAnsi" w:hAnsiTheme="minorHAnsi" w:cstheme="minorHAnsi"/>
                <w:color w:val="000000" w:themeColor="text1"/>
              </w:rPr>
            </w:pPr>
            <w:r w:rsidRPr="001E1E35">
              <w:rPr>
                <w:rFonts w:asciiTheme="minorHAnsi" w:hAnsiTheme="minorHAnsi" w:cstheme="minorHAnsi"/>
                <w:color w:val="000000" w:themeColor="text1"/>
              </w:rPr>
              <w:t>Prim. Dr. Ernst Rechberger (RI)</w:t>
            </w:r>
          </w:p>
        </w:tc>
      </w:tr>
      <w:tr w:rsidR="001E1E35" w:rsidRPr="00A1778E" w14:paraId="5389EB38" w14:textId="77777777" w:rsidTr="00E94E76">
        <w:trPr>
          <w:trHeight w:val="567"/>
        </w:trPr>
        <w:tc>
          <w:tcPr>
            <w:tcW w:w="2744" w:type="dxa"/>
            <w:vAlign w:val="center"/>
          </w:tcPr>
          <w:p w14:paraId="5389EB34" w14:textId="77777777" w:rsidR="003655E2" w:rsidRPr="001E1E35" w:rsidRDefault="003655E2" w:rsidP="000C0C21">
            <w:pPr>
              <w:spacing w:line="276" w:lineRule="auto"/>
              <w:jc w:val="both"/>
              <w:rPr>
                <w:rFonts w:asciiTheme="minorHAnsi" w:hAnsiTheme="minorHAnsi" w:cstheme="minorHAnsi"/>
                <w:color w:val="000000" w:themeColor="text1"/>
              </w:rPr>
            </w:pPr>
            <w:r w:rsidRPr="001E1E35">
              <w:rPr>
                <w:rFonts w:asciiTheme="minorHAnsi" w:hAnsiTheme="minorHAnsi" w:cstheme="minorHAnsi"/>
                <w:color w:val="000000" w:themeColor="text1"/>
              </w:rPr>
              <w:t>Fachliche Freigabe:</w:t>
            </w:r>
          </w:p>
        </w:tc>
        <w:tc>
          <w:tcPr>
            <w:tcW w:w="6946" w:type="dxa"/>
            <w:vAlign w:val="center"/>
          </w:tcPr>
          <w:p w14:paraId="03C590F8" w14:textId="77777777" w:rsidR="00085BDC" w:rsidRDefault="00085BDC" w:rsidP="000C0C21">
            <w:pPr>
              <w:spacing w:line="276" w:lineRule="auto"/>
              <w:jc w:val="both"/>
              <w:rPr>
                <w:rFonts w:asciiTheme="minorHAnsi" w:hAnsiTheme="minorHAnsi" w:cstheme="minorHAnsi"/>
                <w:color w:val="000000" w:themeColor="text1"/>
                <w:lang w:val="en-GB"/>
              </w:rPr>
            </w:pPr>
            <w:r w:rsidRPr="00085BDC">
              <w:rPr>
                <w:rFonts w:asciiTheme="minorHAnsi" w:hAnsiTheme="minorHAnsi" w:cstheme="minorHAnsi"/>
                <w:color w:val="000000" w:themeColor="text1"/>
                <w:lang w:val="en-GB"/>
              </w:rPr>
              <w:t xml:space="preserve">FA Dr. Manuel Orlinger </w:t>
            </w:r>
          </w:p>
          <w:p w14:paraId="5389EB37" w14:textId="540127C9" w:rsidR="003655E2" w:rsidRPr="00085BDC" w:rsidRDefault="003655E2" w:rsidP="00A1778E">
            <w:pPr>
              <w:spacing w:line="276" w:lineRule="auto"/>
              <w:jc w:val="both"/>
              <w:rPr>
                <w:rFonts w:asciiTheme="minorHAnsi" w:hAnsiTheme="minorHAnsi" w:cstheme="minorHAnsi"/>
                <w:color w:val="000000" w:themeColor="text1"/>
                <w:lang w:val="en-GB"/>
              </w:rPr>
            </w:pPr>
            <w:r w:rsidRPr="00085BDC">
              <w:rPr>
                <w:rFonts w:asciiTheme="minorHAnsi" w:hAnsiTheme="minorHAnsi" w:cstheme="minorHAnsi"/>
                <w:color w:val="000000" w:themeColor="text1"/>
                <w:lang w:val="en-GB"/>
              </w:rPr>
              <w:t xml:space="preserve">Revision v. </w:t>
            </w:r>
            <w:r w:rsidR="00A1778E">
              <w:rPr>
                <w:rFonts w:asciiTheme="minorHAnsi" w:hAnsiTheme="minorHAnsi" w:cstheme="minorHAnsi"/>
                <w:color w:val="000000" w:themeColor="text1"/>
                <w:lang w:val="en-GB"/>
              </w:rPr>
              <w:t>29.06.2022</w:t>
            </w:r>
          </w:p>
        </w:tc>
      </w:tr>
    </w:tbl>
    <w:p w14:paraId="5389EB39" w14:textId="77777777" w:rsidR="008B2595" w:rsidRPr="00085BDC" w:rsidRDefault="008B2595" w:rsidP="000C0C21">
      <w:pPr>
        <w:spacing w:line="240" w:lineRule="auto"/>
        <w:jc w:val="both"/>
        <w:rPr>
          <w:rFonts w:asciiTheme="minorHAnsi" w:hAnsiTheme="minorHAnsi" w:cstheme="minorHAnsi"/>
          <w:color w:val="000000" w:themeColor="text1"/>
          <w:lang w:val="en-GB"/>
        </w:rPr>
      </w:pPr>
    </w:p>
    <w:p w14:paraId="5389EB3A" w14:textId="77777777" w:rsidR="008B2595" w:rsidRPr="00085BDC" w:rsidRDefault="008B2595" w:rsidP="000C0C21">
      <w:pPr>
        <w:spacing w:line="240" w:lineRule="auto"/>
        <w:jc w:val="both"/>
        <w:rPr>
          <w:rFonts w:asciiTheme="minorHAnsi" w:hAnsiTheme="minorHAnsi" w:cstheme="minorHAnsi"/>
          <w:color w:val="000000" w:themeColor="text1"/>
          <w:lang w:val="en-GB"/>
        </w:rPr>
      </w:pPr>
    </w:p>
    <w:p w14:paraId="5389EB3B" w14:textId="77777777" w:rsidR="00D02334" w:rsidRPr="00085BDC" w:rsidRDefault="00D02334" w:rsidP="000C0C21">
      <w:pPr>
        <w:spacing w:line="240" w:lineRule="auto"/>
        <w:jc w:val="both"/>
        <w:rPr>
          <w:rFonts w:asciiTheme="minorHAnsi" w:hAnsiTheme="minorHAnsi" w:cstheme="minorHAnsi"/>
          <w:color w:val="000000" w:themeColor="text1"/>
          <w:lang w:val="en-GB"/>
        </w:rPr>
      </w:pPr>
    </w:p>
    <w:p w14:paraId="5389EB3C" w14:textId="77777777" w:rsidR="00D02334" w:rsidRPr="00085BDC" w:rsidRDefault="00D02334" w:rsidP="000C0C21">
      <w:pPr>
        <w:spacing w:line="276" w:lineRule="auto"/>
        <w:jc w:val="both"/>
        <w:rPr>
          <w:rFonts w:asciiTheme="minorHAnsi" w:hAnsiTheme="minorHAnsi" w:cstheme="minorHAnsi"/>
          <w:color w:val="000000" w:themeColor="text1"/>
          <w:sz w:val="18"/>
          <w:szCs w:val="18"/>
          <w:lang w:val="en-GB"/>
        </w:rPr>
      </w:pPr>
    </w:p>
    <w:p w14:paraId="5389EB3D" w14:textId="77777777" w:rsidR="00D02334" w:rsidRPr="00085BDC" w:rsidRDefault="00D02334" w:rsidP="000C0C21">
      <w:pPr>
        <w:spacing w:line="276" w:lineRule="auto"/>
        <w:jc w:val="both"/>
        <w:rPr>
          <w:rFonts w:asciiTheme="minorHAnsi" w:hAnsiTheme="minorHAnsi" w:cstheme="minorHAnsi"/>
          <w:color w:val="000000" w:themeColor="text1"/>
          <w:sz w:val="18"/>
          <w:szCs w:val="18"/>
          <w:lang w:val="en-GB"/>
        </w:rPr>
      </w:pPr>
    </w:p>
    <w:p w14:paraId="5389EB3E" w14:textId="54F62EE2" w:rsidR="00D02334" w:rsidRPr="001E1E35" w:rsidRDefault="00D02334" w:rsidP="000C0C21">
      <w:pPr>
        <w:spacing w:line="276" w:lineRule="auto"/>
        <w:jc w:val="both"/>
        <w:rPr>
          <w:rFonts w:asciiTheme="minorHAnsi" w:hAnsiTheme="minorHAnsi" w:cstheme="minorHAnsi"/>
          <w:color w:val="000000" w:themeColor="text1"/>
          <w:sz w:val="18"/>
          <w:szCs w:val="18"/>
        </w:rPr>
      </w:pPr>
      <w:r w:rsidRPr="001E1E35">
        <w:rPr>
          <w:rFonts w:asciiTheme="minorHAnsi" w:hAnsiTheme="minorHAnsi" w:cstheme="minorHAnsi"/>
          <w:color w:val="000000" w:themeColor="text1"/>
          <w:sz w:val="18"/>
          <w:szCs w:val="18"/>
        </w:rPr>
        <w:t xml:space="preserve">Diese Leitlinie ist eine Grundlage für die Diagnostik und Therapie innerhalb </w:t>
      </w:r>
      <w:r w:rsidR="00512312" w:rsidRPr="001E1E35">
        <w:rPr>
          <w:rFonts w:asciiTheme="minorHAnsi" w:hAnsiTheme="minorHAnsi" w:cstheme="minorHAnsi"/>
          <w:color w:val="000000" w:themeColor="text1"/>
          <w:sz w:val="18"/>
          <w:szCs w:val="18"/>
        </w:rPr>
        <w:t>des Tumorzentrums Oberösterreich</w:t>
      </w:r>
      <w:r w:rsidRPr="001E1E35">
        <w:rPr>
          <w:rFonts w:asciiTheme="minorHAnsi" w:hAnsiTheme="minorHAnsi" w:cstheme="minorHAnsi"/>
          <w:color w:val="000000" w:themeColor="text1"/>
          <w:sz w:val="18"/>
          <w:szCs w:val="18"/>
        </w:rPr>
        <w:t xml:space="preserve"> und erhebt nicht den Anspruch auf Vollständigkeit.</w:t>
      </w:r>
    </w:p>
    <w:p w14:paraId="5389EB3F" w14:textId="77777777" w:rsidR="00D02334" w:rsidRPr="001E1E35" w:rsidRDefault="00D02334" w:rsidP="000C0C21">
      <w:pPr>
        <w:spacing w:line="240" w:lineRule="auto"/>
        <w:jc w:val="both"/>
        <w:rPr>
          <w:rFonts w:asciiTheme="minorHAnsi" w:hAnsiTheme="minorHAnsi" w:cstheme="minorHAnsi"/>
          <w:color w:val="000000" w:themeColor="text1"/>
        </w:rPr>
      </w:pPr>
      <w:r w:rsidRPr="001E1E35">
        <w:rPr>
          <w:rFonts w:asciiTheme="minorHAnsi" w:hAnsiTheme="minorHAnsi" w:cstheme="minorHAnsi"/>
          <w:color w:val="000000" w:themeColor="text1"/>
          <w:sz w:val="18"/>
          <w:szCs w:val="18"/>
        </w:rPr>
        <w:t>Darüberhinaus von den jeweiligen Fachgesellschaften festgelegte Qualitätsstandards sind dem Stand der Wissenschaft entsprechend e</w:t>
      </w:r>
      <w:r w:rsidR="00EB0F6F" w:rsidRPr="001E1E35">
        <w:rPr>
          <w:rFonts w:asciiTheme="minorHAnsi" w:hAnsiTheme="minorHAnsi" w:cstheme="minorHAnsi"/>
          <w:color w:val="000000" w:themeColor="text1"/>
          <w:sz w:val="18"/>
          <w:szCs w:val="18"/>
        </w:rPr>
        <w:t>i</w:t>
      </w:r>
      <w:r w:rsidRPr="001E1E35">
        <w:rPr>
          <w:rFonts w:asciiTheme="minorHAnsi" w:hAnsiTheme="minorHAnsi" w:cstheme="minorHAnsi"/>
          <w:color w:val="000000" w:themeColor="text1"/>
          <w:sz w:val="18"/>
          <w:szCs w:val="18"/>
        </w:rPr>
        <w:t>nzubeziehen.</w:t>
      </w:r>
    </w:p>
    <w:p w14:paraId="5389EB40" w14:textId="77777777" w:rsidR="00D02334" w:rsidRPr="001E1E35" w:rsidRDefault="00D02334" w:rsidP="000C0C21">
      <w:pPr>
        <w:spacing w:line="240" w:lineRule="auto"/>
        <w:jc w:val="both"/>
        <w:rPr>
          <w:rFonts w:asciiTheme="minorHAnsi" w:hAnsiTheme="minorHAnsi" w:cstheme="minorHAnsi"/>
          <w:color w:val="000000" w:themeColor="text1"/>
        </w:rPr>
      </w:pPr>
    </w:p>
    <w:p w14:paraId="5389EB41" w14:textId="77777777" w:rsidR="00D02334" w:rsidRPr="001E1E35" w:rsidRDefault="00D02334" w:rsidP="000C0C21">
      <w:pPr>
        <w:spacing w:line="276" w:lineRule="auto"/>
        <w:jc w:val="both"/>
        <w:rPr>
          <w:rFonts w:asciiTheme="minorHAnsi" w:hAnsiTheme="minorHAnsi" w:cstheme="minorHAnsi"/>
          <w:color w:val="000000" w:themeColor="text1"/>
          <w:sz w:val="18"/>
          <w:szCs w:val="18"/>
        </w:rPr>
      </w:pPr>
    </w:p>
    <w:p w14:paraId="5389EB42" w14:textId="77777777" w:rsidR="006B1652" w:rsidRPr="001E1E35" w:rsidRDefault="006B1652" w:rsidP="000C0C21">
      <w:pPr>
        <w:spacing w:line="276" w:lineRule="auto"/>
        <w:jc w:val="both"/>
        <w:rPr>
          <w:rFonts w:asciiTheme="minorHAnsi" w:hAnsiTheme="minorHAnsi" w:cstheme="minorHAnsi"/>
          <w:color w:val="000000" w:themeColor="text1"/>
          <w:sz w:val="18"/>
          <w:szCs w:val="18"/>
        </w:rPr>
      </w:pPr>
    </w:p>
    <w:p w14:paraId="5389EB43" w14:textId="77777777" w:rsidR="006B1652" w:rsidRPr="001E1E35" w:rsidRDefault="006B1652" w:rsidP="000C0C21">
      <w:pPr>
        <w:spacing w:line="276" w:lineRule="auto"/>
        <w:jc w:val="both"/>
        <w:rPr>
          <w:rFonts w:asciiTheme="minorHAnsi" w:hAnsiTheme="minorHAnsi" w:cstheme="minorHAnsi"/>
          <w:color w:val="000000" w:themeColor="text1"/>
          <w:sz w:val="18"/>
          <w:szCs w:val="18"/>
        </w:rPr>
      </w:pPr>
    </w:p>
    <w:p w14:paraId="3F7D7CAE" w14:textId="23C27D69" w:rsidR="003A772A" w:rsidRPr="001E1E35" w:rsidRDefault="003A772A" w:rsidP="000C0C21">
      <w:pPr>
        <w:tabs>
          <w:tab w:val="center" w:pos="4691"/>
        </w:tabs>
        <w:jc w:val="both"/>
        <w:rPr>
          <w:rFonts w:asciiTheme="minorHAnsi" w:hAnsiTheme="minorHAnsi" w:cstheme="minorHAnsi"/>
          <w:color w:val="000000" w:themeColor="text1"/>
          <w:sz w:val="24"/>
          <w:szCs w:val="24"/>
        </w:rPr>
        <w:sectPr w:rsidR="003A772A" w:rsidRPr="001E1E35"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Theme="minorHAnsi" w:eastAsia="Times New Roman" w:hAnsiTheme="minorHAnsi" w:cstheme="minorHAnsi"/>
          <w:b w:val="0"/>
          <w:bCs w:val="0"/>
          <w:color w:val="000000" w:themeColor="text1"/>
          <w:szCs w:val="20"/>
          <w:lang w:val="de-DE" w:eastAsia="de-DE"/>
        </w:rPr>
        <w:id w:val="-1099178055"/>
        <w:docPartObj>
          <w:docPartGallery w:val="Table of Contents"/>
          <w:docPartUnique/>
        </w:docPartObj>
      </w:sdtPr>
      <w:sdtEndPr/>
      <w:sdtContent>
        <w:p w14:paraId="5389EB45" w14:textId="77777777" w:rsidR="007F3064" w:rsidRPr="001E1E35" w:rsidRDefault="007F3064" w:rsidP="000C0C21">
          <w:pPr>
            <w:pStyle w:val="Inhaltsverzeichnisberschrift"/>
            <w:shd w:val="clear" w:color="auto" w:fill="FFFFFF" w:themeFill="background1"/>
            <w:jc w:val="both"/>
            <w:rPr>
              <w:rFonts w:asciiTheme="minorHAnsi" w:hAnsiTheme="minorHAnsi" w:cstheme="minorHAnsi"/>
              <w:color w:val="000000" w:themeColor="text1"/>
              <w:sz w:val="28"/>
              <w:lang w:val="de-DE"/>
            </w:rPr>
          </w:pPr>
          <w:r w:rsidRPr="001E1E35">
            <w:rPr>
              <w:rFonts w:asciiTheme="minorHAnsi" w:hAnsiTheme="minorHAnsi" w:cstheme="minorHAnsi"/>
              <w:color w:val="000000" w:themeColor="text1"/>
              <w:sz w:val="28"/>
              <w:lang w:val="de-DE"/>
            </w:rPr>
            <w:t>Inhalt</w:t>
          </w:r>
          <w:r w:rsidR="00EB0F6F" w:rsidRPr="001E1E35">
            <w:rPr>
              <w:rFonts w:asciiTheme="minorHAnsi" w:hAnsiTheme="minorHAnsi" w:cstheme="minorHAnsi"/>
              <w:color w:val="000000" w:themeColor="text1"/>
              <w:sz w:val="28"/>
              <w:lang w:val="de-DE"/>
            </w:rPr>
            <w:t>s</w:t>
          </w:r>
          <w:r w:rsidRPr="001E1E35">
            <w:rPr>
              <w:rFonts w:asciiTheme="minorHAnsi" w:hAnsiTheme="minorHAnsi" w:cstheme="minorHAnsi"/>
              <w:color w:val="000000" w:themeColor="text1"/>
              <w:sz w:val="28"/>
              <w:lang w:val="de-DE"/>
            </w:rPr>
            <w:t>verzeichnis</w:t>
          </w:r>
        </w:p>
        <w:p w14:paraId="5389EB46" w14:textId="77777777" w:rsidR="007F3064" w:rsidRPr="001E1E35" w:rsidRDefault="007F3064" w:rsidP="000C0C21">
          <w:pPr>
            <w:spacing w:line="276" w:lineRule="auto"/>
            <w:jc w:val="both"/>
            <w:rPr>
              <w:rFonts w:asciiTheme="minorHAnsi" w:hAnsiTheme="minorHAnsi" w:cstheme="minorHAnsi"/>
              <w:color w:val="000000" w:themeColor="text1"/>
              <w:lang w:val="de-DE" w:eastAsia="de-AT"/>
            </w:rPr>
          </w:pPr>
        </w:p>
        <w:p w14:paraId="7FF0B932" w14:textId="3B4C8FA8" w:rsidR="00085BDC" w:rsidRPr="00085BDC" w:rsidRDefault="00822E59">
          <w:pPr>
            <w:pStyle w:val="Verzeichnis1"/>
            <w:tabs>
              <w:tab w:val="left" w:pos="440"/>
              <w:tab w:val="right" w:leader="dot" w:pos="9372"/>
            </w:tabs>
            <w:rPr>
              <w:rFonts w:asciiTheme="minorHAnsi" w:eastAsiaTheme="minorEastAsia" w:hAnsiTheme="minorHAnsi" w:cstheme="minorHAnsi"/>
              <w:noProof/>
              <w:szCs w:val="22"/>
              <w:lang w:eastAsia="de-AT"/>
            </w:rPr>
          </w:pPr>
          <w:r w:rsidRPr="001E1E35">
            <w:rPr>
              <w:rFonts w:asciiTheme="minorHAnsi" w:hAnsiTheme="minorHAnsi" w:cstheme="minorHAnsi"/>
              <w:color w:val="000000" w:themeColor="text1"/>
            </w:rPr>
            <w:fldChar w:fldCharType="begin"/>
          </w:r>
          <w:r w:rsidR="007F3064" w:rsidRPr="001E1E35">
            <w:rPr>
              <w:rFonts w:asciiTheme="minorHAnsi" w:hAnsiTheme="minorHAnsi" w:cstheme="minorHAnsi"/>
              <w:color w:val="000000" w:themeColor="text1"/>
            </w:rPr>
            <w:instrText xml:space="preserve"> TOC \o "1-3" \h \z \u </w:instrText>
          </w:r>
          <w:r w:rsidRPr="001E1E35">
            <w:rPr>
              <w:rFonts w:asciiTheme="minorHAnsi" w:hAnsiTheme="minorHAnsi" w:cstheme="minorHAnsi"/>
              <w:color w:val="000000" w:themeColor="text1"/>
            </w:rPr>
            <w:fldChar w:fldCharType="separate"/>
          </w:r>
          <w:hyperlink w:anchor="_Toc66727225" w:history="1">
            <w:r w:rsidR="00085BDC" w:rsidRPr="00085BDC">
              <w:rPr>
                <w:rStyle w:val="Hyperlink"/>
                <w:rFonts w:asciiTheme="minorHAnsi" w:hAnsiTheme="minorHAnsi" w:cstheme="minorHAnsi"/>
                <w:noProof/>
              </w:rPr>
              <w:t>1</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Allgemeines</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_Toc66727225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3</w:t>
            </w:r>
            <w:r w:rsidR="00085BDC" w:rsidRPr="00085BDC">
              <w:rPr>
                <w:rFonts w:asciiTheme="minorHAnsi" w:hAnsiTheme="minorHAnsi" w:cstheme="minorHAnsi"/>
                <w:noProof/>
                <w:webHidden/>
              </w:rPr>
              <w:fldChar w:fldCharType="end"/>
            </w:r>
          </w:hyperlink>
        </w:p>
        <w:p w14:paraId="50FDAC2C" w14:textId="0958C05D" w:rsidR="00085BDC" w:rsidRPr="00085BDC" w:rsidRDefault="00A1778E">
          <w:pPr>
            <w:pStyle w:val="Verzeichnis1"/>
            <w:tabs>
              <w:tab w:val="left" w:pos="440"/>
              <w:tab w:val="right" w:leader="dot" w:pos="9372"/>
            </w:tabs>
            <w:rPr>
              <w:rFonts w:asciiTheme="minorHAnsi" w:eastAsiaTheme="minorEastAsia" w:hAnsiTheme="minorHAnsi" w:cstheme="minorHAnsi"/>
              <w:noProof/>
              <w:szCs w:val="22"/>
              <w:lang w:eastAsia="de-AT"/>
            </w:rPr>
          </w:pPr>
          <w:hyperlink w:anchor="_Toc66727226" w:history="1">
            <w:r w:rsidR="00085BDC" w:rsidRPr="00085BDC">
              <w:rPr>
                <w:rStyle w:val="Hyperlink"/>
                <w:rFonts w:asciiTheme="minorHAnsi" w:hAnsiTheme="minorHAnsi" w:cstheme="minorHAnsi"/>
                <w:noProof/>
              </w:rPr>
              <w:t>2</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Diagnostik und Scoring</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_Toc66727226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3</w:t>
            </w:r>
            <w:r w:rsidR="00085BDC" w:rsidRPr="00085BDC">
              <w:rPr>
                <w:rFonts w:asciiTheme="minorHAnsi" w:hAnsiTheme="minorHAnsi" w:cstheme="minorHAnsi"/>
                <w:noProof/>
                <w:webHidden/>
              </w:rPr>
              <w:fldChar w:fldCharType="end"/>
            </w:r>
          </w:hyperlink>
        </w:p>
        <w:p w14:paraId="2EC2FB50" w14:textId="7B284928"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27" w:history="1">
            <w:r w:rsidR="00085BDC" w:rsidRPr="00085BDC">
              <w:rPr>
                <w:rStyle w:val="Hyperlink"/>
                <w:rFonts w:asciiTheme="minorHAnsi" w:hAnsiTheme="minorHAnsi" w:cstheme="minorHAnsi"/>
                <w:noProof/>
              </w:rPr>
              <w:t>2.1</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Diagnostik</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_Toc66727227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3</w:t>
            </w:r>
            <w:r w:rsidR="00085BDC" w:rsidRPr="00085BDC">
              <w:rPr>
                <w:rFonts w:asciiTheme="minorHAnsi" w:hAnsiTheme="minorHAnsi" w:cstheme="minorHAnsi"/>
                <w:noProof/>
                <w:webHidden/>
              </w:rPr>
              <w:fldChar w:fldCharType="end"/>
            </w:r>
          </w:hyperlink>
        </w:p>
        <w:p w14:paraId="092FF20D" w14:textId="0CA90FE2"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28" w:history="1">
            <w:r w:rsidR="00085BDC" w:rsidRPr="00085BDC">
              <w:rPr>
                <w:rStyle w:val="Hyperlink"/>
                <w:rFonts w:asciiTheme="minorHAnsi" w:hAnsiTheme="minorHAnsi" w:cstheme="minorHAnsi"/>
                <w:noProof/>
              </w:rPr>
              <w:t>2.1</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Therapieindikationen</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_Toc66727228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3</w:t>
            </w:r>
            <w:r w:rsidR="00085BDC" w:rsidRPr="00085BDC">
              <w:rPr>
                <w:rFonts w:asciiTheme="minorHAnsi" w:hAnsiTheme="minorHAnsi" w:cstheme="minorHAnsi"/>
                <w:noProof/>
                <w:webHidden/>
              </w:rPr>
              <w:fldChar w:fldCharType="end"/>
            </w:r>
          </w:hyperlink>
        </w:p>
        <w:p w14:paraId="0F6582DD" w14:textId="455B55BE"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29" w:history="1">
            <w:r w:rsidR="00085BDC" w:rsidRPr="00085BDC">
              <w:rPr>
                <w:rStyle w:val="Hyperlink"/>
                <w:rFonts w:asciiTheme="minorHAnsi" w:hAnsiTheme="minorHAnsi" w:cstheme="minorHAnsi"/>
                <w:noProof/>
              </w:rPr>
              <w:t>2.3</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Risikoeinschätzung – Prognose Score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_Toc66727229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4</w:t>
            </w:r>
            <w:r w:rsidR="00085BDC" w:rsidRPr="00085BDC">
              <w:rPr>
                <w:rFonts w:asciiTheme="minorHAnsi" w:hAnsiTheme="minorHAnsi" w:cstheme="minorHAnsi"/>
                <w:noProof/>
                <w:webHidden/>
              </w:rPr>
              <w:fldChar w:fldCharType="end"/>
            </w:r>
          </w:hyperlink>
        </w:p>
        <w:p w14:paraId="445A1D38" w14:textId="708CB8C4"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0" w:history="1">
            <w:r w:rsidR="00085BDC" w:rsidRPr="00085BDC">
              <w:rPr>
                <w:rStyle w:val="Hyperlink"/>
                <w:rFonts w:asciiTheme="minorHAnsi" w:hAnsiTheme="minorHAnsi" w:cstheme="minorHAnsi"/>
                <w:noProof/>
              </w:rPr>
              <w:t>2.4</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Klonale B-Zell Lymphozytose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_Toc66727230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5</w:t>
            </w:r>
            <w:r w:rsidR="00085BDC" w:rsidRPr="00085BDC">
              <w:rPr>
                <w:rFonts w:asciiTheme="minorHAnsi" w:hAnsiTheme="minorHAnsi" w:cstheme="minorHAnsi"/>
                <w:noProof/>
                <w:webHidden/>
              </w:rPr>
              <w:fldChar w:fldCharType="end"/>
            </w:r>
          </w:hyperlink>
        </w:p>
        <w:p w14:paraId="501FCB61" w14:textId="13F61B83"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1" w:history="1">
            <w:r w:rsidR="00085BDC" w:rsidRPr="00085BDC">
              <w:rPr>
                <w:rStyle w:val="Hyperlink"/>
                <w:rFonts w:asciiTheme="minorHAnsi" w:hAnsiTheme="minorHAnsi" w:cstheme="minorHAnsi"/>
                <w:noProof/>
              </w:rPr>
              <w:t>2.5</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Stadieneinteilung nach Binet</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_Toc66727231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5</w:t>
            </w:r>
            <w:r w:rsidR="00085BDC" w:rsidRPr="00085BDC">
              <w:rPr>
                <w:rFonts w:asciiTheme="minorHAnsi" w:hAnsiTheme="minorHAnsi" w:cstheme="minorHAnsi"/>
                <w:noProof/>
                <w:webHidden/>
              </w:rPr>
              <w:fldChar w:fldCharType="end"/>
            </w:r>
          </w:hyperlink>
        </w:p>
        <w:p w14:paraId="6ECA2080" w14:textId="18E1BD35" w:rsidR="00085BDC" w:rsidRPr="00085BDC" w:rsidRDefault="00A1778E">
          <w:pPr>
            <w:pStyle w:val="Verzeichnis1"/>
            <w:tabs>
              <w:tab w:val="left" w:pos="440"/>
              <w:tab w:val="right" w:leader="dot" w:pos="9372"/>
            </w:tabs>
            <w:rPr>
              <w:rFonts w:asciiTheme="minorHAnsi" w:eastAsiaTheme="minorEastAsia" w:hAnsiTheme="minorHAnsi" w:cstheme="minorHAnsi"/>
              <w:noProof/>
              <w:szCs w:val="22"/>
              <w:lang w:eastAsia="de-AT"/>
            </w:rPr>
          </w:pPr>
          <w:hyperlink w:anchor="_Toc66727232" w:history="1">
            <w:r w:rsidR="00085BDC" w:rsidRPr="00085BDC">
              <w:rPr>
                <w:rStyle w:val="Hyperlink"/>
                <w:rFonts w:asciiTheme="minorHAnsi" w:hAnsiTheme="minorHAnsi" w:cstheme="minorHAnsi"/>
                <w:noProof/>
              </w:rPr>
              <w:t>3</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Behandlungsplan</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_Toc66727232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6</w:t>
            </w:r>
            <w:r w:rsidR="00085BDC" w:rsidRPr="00085BDC">
              <w:rPr>
                <w:rFonts w:asciiTheme="minorHAnsi" w:hAnsiTheme="minorHAnsi" w:cstheme="minorHAnsi"/>
                <w:noProof/>
                <w:webHidden/>
              </w:rPr>
              <w:fldChar w:fldCharType="end"/>
            </w:r>
          </w:hyperlink>
        </w:p>
        <w:p w14:paraId="5B4DCDA7" w14:textId="0248B157"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3" w:history="1">
            <w:r w:rsidR="00085BDC" w:rsidRPr="00085BDC">
              <w:rPr>
                <w:rStyle w:val="Hyperlink"/>
                <w:rFonts w:asciiTheme="minorHAnsi" w:hAnsiTheme="minorHAnsi" w:cstheme="minorHAnsi"/>
                <w:noProof/>
              </w:rPr>
              <w:t>3.1</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Erstlinientherapie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_Toc66727233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7</w:t>
            </w:r>
            <w:r w:rsidR="00085BDC" w:rsidRPr="00085BDC">
              <w:rPr>
                <w:rFonts w:asciiTheme="minorHAnsi" w:hAnsiTheme="minorHAnsi" w:cstheme="minorHAnsi"/>
                <w:noProof/>
                <w:webHidden/>
              </w:rPr>
              <w:fldChar w:fldCharType="end"/>
            </w:r>
          </w:hyperlink>
        </w:p>
        <w:p w14:paraId="52D762F2" w14:textId="44E58020"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4" w:history="1">
            <w:r w:rsidR="00085BDC" w:rsidRPr="00085BDC">
              <w:rPr>
                <w:rStyle w:val="Hyperlink"/>
                <w:rFonts w:asciiTheme="minorHAnsi" w:hAnsiTheme="minorHAnsi" w:cstheme="minorHAnsi"/>
                <w:noProof/>
              </w:rPr>
              <w:t>3.2</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Zweitlinientherapie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_Toc66727234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8</w:t>
            </w:r>
            <w:r w:rsidR="00085BDC" w:rsidRPr="00085BDC">
              <w:rPr>
                <w:rFonts w:asciiTheme="minorHAnsi" w:hAnsiTheme="minorHAnsi" w:cstheme="minorHAnsi"/>
                <w:noProof/>
                <w:webHidden/>
              </w:rPr>
              <w:fldChar w:fldCharType="end"/>
            </w:r>
          </w:hyperlink>
        </w:p>
        <w:p w14:paraId="2BFBD19B" w14:textId="3F14739A"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5" w:history="1">
            <w:r w:rsidR="00085BDC" w:rsidRPr="00085BDC">
              <w:rPr>
                <w:rStyle w:val="Hyperlink"/>
                <w:rFonts w:asciiTheme="minorHAnsi" w:hAnsiTheme="minorHAnsi" w:cstheme="minorHAnsi"/>
                <w:noProof/>
              </w:rPr>
              <w:t>3.3</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Response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_Toc66727235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9</w:t>
            </w:r>
            <w:r w:rsidR="00085BDC" w:rsidRPr="00085BDC">
              <w:rPr>
                <w:rFonts w:asciiTheme="minorHAnsi" w:hAnsiTheme="minorHAnsi" w:cstheme="minorHAnsi"/>
                <w:noProof/>
                <w:webHidden/>
              </w:rPr>
              <w:fldChar w:fldCharType="end"/>
            </w:r>
          </w:hyperlink>
        </w:p>
        <w:p w14:paraId="76A4EC2A" w14:textId="30F4704D" w:rsidR="00085BDC" w:rsidRPr="00085BDC" w:rsidRDefault="00A1778E">
          <w:pPr>
            <w:pStyle w:val="Verzeichnis3"/>
            <w:tabs>
              <w:tab w:val="left" w:pos="1320"/>
              <w:tab w:val="right" w:leader="dot" w:pos="9372"/>
            </w:tabs>
            <w:rPr>
              <w:rFonts w:asciiTheme="minorHAnsi" w:eastAsiaTheme="minorEastAsia" w:hAnsiTheme="minorHAnsi" w:cstheme="minorHAnsi"/>
              <w:noProof/>
              <w:szCs w:val="22"/>
              <w:lang w:eastAsia="de-AT"/>
            </w:rPr>
          </w:pPr>
          <w:hyperlink w:anchor="_Toc66727236" w:history="1">
            <w:r w:rsidR="00085BDC" w:rsidRPr="00085BDC">
              <w:rPr>
                <w:rStyle w:val="Hyperlink"/>
                <w:rFonts w:asciiTheme="minorHAnsi" w:hAnsiTheme="minorHAnsi" w:cstheme="minorHAnsi"/>
                <w:noProof/>
              </w:rPr>
              <w:t>3.3.1</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Definition lt. Studien</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_Toc66727236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9</w:t>
            </w:r>
            <w:r w:rsidR="00085BDC" w:rsidRPr="00085BDC">
              <w:rPr>
                <w:rFonts w:asciiTheme="minorHAnsi" w:hAnsiTheme="minorHAnsi" w:cstheme="minorHAnsi"/>
                <w:noProof/>
                <w:webHidden/>
              </w:rPr>
              <w:fldChar w:fldCharType="end"/>
            </w:r>
          </w:hyperlink>
        </w:p>
        <w:p w14:paraId="300504B0" w14:textId="41B866DA" w:rsidR="00085BDC" w:rsidRPr="00085BDC" w:rsidRDefault="00A1778E">
          <w:pPr>
            <w:pStyle w:val="Verzeichnis3"/>
            <w:tabs>
              <w:tab w:val="left" w:pos="1320"/>
              <w:tab w:val="right" w:leader="dot" w:pos="9372"/>
            </w:tabs>
            <w:rPr>
              <w:rFonts w:asciiTheme="minorHAnsi" w:eastAsiaTheme="minorEastAsia" w:hAnsiTheme="minorHAnsi" w:cstheme="minorHAnsi"/>
              <w:noProof/>
              <w:szCs w:val="22"/>
              <w:lang w:eastAsia="de-AT"/>
            </w:rPr>
          </w:pPr>
          <w:hyperlink w:anchor="_Toc66727237" w:history="1">
            <w:r w:rsidR="00085BDC" w:rsidRPr="00085BDC">
              <w:rPr>
                <w:rStyle w:val="Hyperlink"/>
                <w:rFonts w:asciiTheme="minorHAnsi" w:hAnsiTheme="minorHAnsi" w:cstheme="minorHAnsi"/>
                <w:noProof/>
              </w:rPr>
              <w:t>3.3.2</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Response nach Substanz/Schema - 1</w:t>
            </w:r>
            <w:r w:rsidR="00085BDC" w:rsidRPr="00085BDC">
              <w:rPr>
                <w:rStyle w:val="Hyperlink"/>
                <w:rFonts w:asciiTheme="minorHAnsi" w:hAnsiTheme="minorHAnsi" w:cstheme="minorHAnsi"/>
                <w:noProof/>
                <w:vertAlign w:val="superscript"/>
              </w:rPr>
              <w:t>st</w:t>
            </w:r>
            <w:r w:rsidR="00085BDC" w:rsidRPr="00085BDC">
              <w:rPr>
                <w:rStyle w:val="Hyperlink"/>
                <w:rFonts w:asciiTheme="minorHAnsi" w:hAnsiTheme="minorHAnsi" w:cstheme="minorHAnsi"/>
                <w:noProof/>
              </w:rPr>
              <w:t xml:space="preserve"> line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_Toc66727237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9</w:t>
            </w:r>
            <w:r w:rsidR="00085BDC" w:rsidRPr="00085BDC">
              <w:rPr>
                <w:rFonts w:asciiTheme="minorHAnsi" w:hAnsiTheme="minorHAnsi" w:cstheme="minorHAnsi"/>
                <w:noProof/>
                <w:webHidden/>
              </w:rPr>
              <w:fldChar w:fldCharType="end"/>
            </w:r>
          </w:hyperlink>
        </w:p>
        <w:p w14:paraId="4B91B079" w14:textId="62EB39D8"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8" w:history="1">
            <w:r w:rsidR="00085BDC" w:rsidRPr="00085BDC">
              <w:rPr>
                <w:rStyle w:val="Hyperlink"/>
                <w:rFonts w:asciiTheme="minorHAnsi" w:hAnsiTheme="minorHAnsi" w:cstheme="minorHAnsi"/>
                <w:noProof/>
              </w:rPr>
              <w:t>3.4</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Molekulare Remission - MRD</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_Toc66727238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10</w:t>
            </w:r>
            <w:r w:rsidR="00085BDC" w:rsidRPr="00085BDC">
              <w:rPr>
                <w:rFonts w:asciiTheme="minorHAnsi" w:hAnsiTheme="minorHAnsi" w:cstheme="minorHAnsi"/>
                <w:noProof/>
                <w:webHidden/>
              </w:rPr>
              <w:fldChar w:fldCharType="end"/>
            </w:r>
          </w:hyperlink>
        </w:p>
        <w:p w14:paraId="2F2BF84F" w14:textId="78EAA10A"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39" w:history="1">
            <w:r w:rsidR="00085BDC" w:rsidRPr="00085BDC">
              <w:rPr>
                <w:rStyle w:val="Hyperlink"/>
                <w:rFonts w:asciiTheme="minorHAnsi" w:hAnsiTheme="minorHAnsi" w:cstheme="minorHAnsi"/>
                <w:noProof/>
              </w:rPr>
              <w:t>3.5</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Stammzelltransplantation</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_Toc66727239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10</w:t>
            </w:r>
            <w:r w:rsidR="00085BDC" w:rsidRPr="00085BDC">
              <w:rPr>
                <w:rFonts w:asciiTheme="minorHAnsi" w:hAnsiTheme="minorHAnsi" w:cstheme="minorHAnsi"/>
                <w:noProof/>
                <w:webHidden/>
              </w:rPr>
              <w:fldChar w:fldCharType="end"/>
            </w:r>
          </w:hyperlink>
        </w:p>
        <w:p w14:paraId="44E1CD2F" w14:textId="19D2125A"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40" w:history="1">
            <w:r w:rsidR="00085BDC" w:rsidRPr="00085BDC">
              <w:rPr>
                <w:rStyle w:val="Hyperlink"/>
                <w:rFonts w:asciiTheme="minorHAnsi" w:hAnsiTheme="minorHAnsi" w:cstheme="minorHAnsi"/>
                <w:noProof/>
              </w:rPr>
              <w:t>3.6</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CAR-T-Zell-Therapie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_Toc66727240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11</w:t>
            </w:r>
            <w:r w:rsidR="00085BDC" w:rsidRPr="00085BDC">
              <w:rPr>
                <w:rFonts w:asciiTheme="minorHAnsi" w:hAnsiTheme="minorHAnsi" w:cstheme="minorHAnsi"/>
                <w:noProof/>
                <w:webHidden/>
              </w:rPr>
              <w:fldChar w:fldCharType="end"/>
            </w:r>
          </w:hyperlink>
        </w:p>
        <w:p w14:paraId="25895FCA" w14:textId="36759FE5" w:rsidR="00085BDC" w:rsidRPr="00085BDC" w:rsidRDefault="00A1778E">
          <w:pPr>
            <w:pStyle w:val="Verzeichnis1"/>
            <w:tabs>
              <w:tab w:val="left" w:pos="440"/>
              <w:tab w:val="right" w:leader="dot" w:pos="9372"/>
            </w:tabs>
            <w:rPr>
              <w:rFonts w:asciiTheme="minorHAnsi" w:eastAsiaTheme="minorEastAsia" w:hAnsiTheme="minorHAnsi" w:cstheme="minorHAnsi"/>
              <w:noProof/>
              <w:szCs w:val="22"/>
              <w:lang w:eastAsia="de-AT"/>
            </w:rPr>
          </w:pPr>
          <w:hyperlink w:anchor="_Toc66727241" w:history="1">
            <w:r w:rsidR="00085BDC" w:rsidRPr="00085BDC">
              <w:rPr>
                <w:rStyle w:val="Hyperlink"/>
                <w:rFonts w:asciiTheme="minorHAnsi" w:hAnsiTheme="minorHAnsi" w:cstheme="minorHAnsi"/>
                <w:noProof/>
              </w:rPr>
              <w:t>4</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Besondere klinische Situationen</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_Toc66727241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11</w:t>
            </w:r>
            <w:r w:rsidR="00085BDC" w:rsidRPr="00085BDC">
              <w:rPr>
                <w:rFonts w:asciiTheme="minorHAnsi" w:hAnsiTheme="minorHAnsi" w:cstheme="minorHAnsi"/>
                <w:noProof/>
                <w:webHidden/>
              </w:rPr>
              <w:fldChar w:fldCharType="end"/>
            </w:r>
          </w:hyperlink>
        </w:p>
        <w:p w14:paraId="222C8873" w14:textId="36CC4D25" w:rsidR="00085BDC" w:rsidRPr="00085BDC" w:rsidRDefault="00A1778E">
          <w:pPr>
            <w:pStyle w:val="Verzeichnis1"/>
            <w:tabs>
              <w:tab w:val="left" w:pos="440"/>
              <w:tab w:val="right" w:leader="dot" w:pos="9372"/>
            </w:tabs>
            <w:rPr>
              <w:rFonts w:asciiTheme="minorHAnsi" w:eastAsiaTheme="minorEastAsia" w:hAnsiTheme="minorHAnsi" w:cstheme="minorHAnsi"/>
              <w:noProof/>
              <w:szCs w:val="22"/>
              <w:lang w:eastAsia="de-AT"/>
            </w:rPr>
          </w:pPr>
          <w:hyperlink w:anchor="_Toc66727242" w:history="1">
            <w:r w:rsidR="00085BDC" w:rsidRPr="00085BDC">
              <w:rPr>
                <w:rStyle w:val="Hyperlink"/>
                <w:rFonts w:asciiTheme="minorHAnsi" w:hAnsiTheme="minorHAnsi" w:cstheme="minorHAnsi"/>
                <w:noProof/>
              </w:rPr>
              <w:t>5</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Verlaufskontrolle und Nachsorge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_Toc66727242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11</w:t>
            </w:r>
            <w:r w:rsidR="00085BDC" w:rsidRPr="00085BDC">
              <w:rPr>
                <w:rFonts w:asciiTheme="minorHAnsi" w:hAnsiTheme="minorHAnsi" w:cstheme="minorHAnsi"/>
                <w:noProof/>
                <w:webHidden/>
              </w:rPr>
              <w:fldChar w:fldCharType="end"/>
            </w:r>
          </w:hyperlink>
        </w:p>
        <w:p w14:paraId="217B62DF" w14:textId="2846232B"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43" w:history="1">
            <w:r w:rsidR="00085BDC" w:rsidRPr="00085BDC">
              <w:rPr>
                <w:rStyle w:val="Hyperlink"/>
                <w:rFonts w:asciiTheme="minorHAnsi" w:hAnsiTheme="minorHAnsi" w:cstheme="minorHAnsi"/>
                <w:noProof/>
              </w:rPr>
              <w:t>5.1</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watch &amp; wait</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_Toc66727243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11</w:t>
            </w:r>
            <w:r w:rsidR="00085BDC" w:rsidRPr="00085BDC">
              <w:rPr>
                <w:rFonts w:asciiTheme="minorHAnsi" w:hAnsiTheme="minorHAnsi" w:cstheme="minorHAnsi"/>
                <w:noProof/>
                <w:webHidden/>
              </w:rPr>
              <w:fldChar w:fldCharType="end"/>
            </w:r>
          </w:hyperlink>
        </w:p>
        <w:p w14:paraId="158CB63E" w14:textId="104AA1EA" w:rsidR="00085BDC" w:rsidRPr="00085BDC" w:rsidRDefault="00A1778E">
          <w:pPr>
            <w:pStyle w:val="Verzeichnis2"/>
            <w:tabs>
              <w:tab w:val="left" w:pos="880"/>
              <w:tab w:val="right" w:leader="dot" w:pos="9372"/>
            </w:tabs>
            <w:rPr>
              <w:rFonts w:asciiTheme="minorHAnsi" w:eastAsiaTheme="minorEastAsia" w:hAnsiTheme="minorHAnsi" w:cstheme="minorHAnsi"/>
              <w:noProof/>
              <w:szCs w:val="22"/>
              <w:lang w:eastAsia="de-AT"/>
            </w:rPr>
          </w:pPr>
          <w:hyperlink w:anchor="_Toc66727244" w:history="1">
            <w:r w:rsidR="00085BDC" w:rsidRPr="00085BDC">
              <w:rPr>
                <w:rStyle w:val="Hyperlink"/>
                <w:rFonts w:asciiTheme="minorHAnsi" w:hAnsiTheme="minorHAnsi" w:cstheme="minorHAnsi"/>
                <w:noProof/>
              </w:rPr>
              <w:t>5.2</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Nachsorge</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_Toc66727244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12</w:t>
            </w:r>
            <w:r w:rsidR="00085BDC" w:rsidRPr="00085BDC">
              <w:rPr>
                <w:rFonts w:asciiTheme="minorHAnsi" w:hAnsiTheme="minorHAnsi" w:cstheme="minorHAnsi"/>
                <w:noProof/>
                <w:webHidden/>
              </w:rPr>
              <w:fldChar w:fldCharType="end"/>
            </w:r>
          </w:hyperlink>
        </w:p>
        <w:p w14:paraId="523828F6" w14:textId="5594C0DE" w:rsidR="00085BDC" w:rsidRPr="00085BDC" w:rsidRDefault="00A1778E">
          <w:pPr>
            <w:pStyle w:val="Verzeichnis1"/>
            <w:tabs>
              <w:tab w:val="left" w:pos="440"/>
              <w:tab w:val="right" w:leader="dot" w:pos="9372"/>
            </w:tabs>
            <w:rPr>
              <w:rFonts w:asciiTheme="minorHAnsi" w:eastAsiaTheme="minorEastAsia" w:hAnsiTheme="minorHAnsi" w:cstheme="minorHAnsi"/>
              <w:noProof/>
              <w:szCs w:val="22"/>
              <w:lang w:eastAsia="de-AT"/>
            </w:rPr>
          </w:pPr>
          <w:hyperlink w:anchor="_Toc66727245" w:history="1">
            <w:r w:rsidR="00085BDC" w:rsidRPr="00085BDC">
              <w:rPr>
                <w:rStyle w:val="Hyperlink"/>
                <w:rFonts w:asciiTheme="minorHAnsi" w:hAnsiTheme="minorHAnsi" w:cstheme="minorHAnsi"/>
                <w:noProof/>
              </w:rPr>
              <w:t>6</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Dokumentation und Qualitätsparameter</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_Toc66727245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12</w:t>
            </w:r>
            <w:r w:rsidR="00085BDC" w:rsidRPr="00085BDC">
              <w:rPr>
                <w:rFonts w:asciiTheme="minorHAnsi" w:hAnsiTheme="minorHAnsi" w:cstheme="minorHAnsi"/>
                <w:noProof/>
                <w:webHidden/>
              </w:rPr>
              <w:fldChar w:fldCharType="end"/>
            </w:r>
          </w:hyperlink>
        </w:p>
        <w:p w14:paraId="4F88474C" w14:textId="679DB765" w:rsidR="00085BDC" w:rsidRPr="00085BDC" w:rsidRDefault="00A1778E">
          <w:pPr>
            <w:pStyle w:val="Verzeichnis1"/>
            <w:tabs>
              <w:tab w:val="left" w:pos="440"/>
              <w:tab w:val="right" w:leader="dot" w:pos="9372"/>
            </w:tabs>
            <w:rPr>
              <w:rFonts w:asciiTheme="minorHAnsi" w:eastAsiaTheme="minorEastAsia" w:hAnsiTheme="minorHAnsi" w:cstheme="minorHAnsi"/>
              <w:noProof/>
              <w:szCs w:val="22"/>
              <w:lang w:eastAsia="de-AT"/>
            </w:rPr>
          </w:pPr>
          <w:hyperlink w:anchor="_Toc66727246" w:history="1">
            <w:r w:rsidR="00085BDC" w:rsidRPr="00085BDC">
              <w:rPr>
                <w:rStyle w:val="Hyperlink"/>
                <w:rFonts w:asciiTheme="minorHAnsi" w:hAnsiTheme="minorHAnsi" w:cstheme="minorHAnsi"/>
                <w:noProof/>
              </w:rPr>
              <w:t>7</w:t>
            </w:r>
            <w:r w:rsidR="00085BDC" w:rsidRPr="00085BDC">
              <w:rPr>
                <w:rFonts w:asciiTheme="minorHAnsi" w:eastAsiaTheme="minorEastAsia" w:hAnsiTheme="minorHAnsi" w:cstheme="minorHAnsi"/>
                <w:noProof/>
                <w:szCs w:val="22"/>
                <w:lang w:eastAsia="de-AT"/>
              </w:rPr>
              <w:tab/>
            </w:r>
            <w:r w:rsidR="00085BDC" w:rsidRPr="00085BDC">
              <w:rPr>
                <w:rStyle w:val="Hyperlink"/>
                <w:rFonts w:asciiTheme="minorHAnsi" w:hAnsiTheme="minorHAnsi" w:cstheme="minorHAnsi"/>
                <w:noProof/>
              </w:rPr>
              <w:t>Literatur/Quellenangaben</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_Toc66727246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13</w:t>
            </w:r>
            <w:r w:rsidR="00085BDC" w:rsidRPr="00085BDC">
              <w:rPr>
                <w:rFonts w:asciiTheme="minorHAnsi" w:hAnsiTheme="minorHAnsi" w:cstheme="minorHAnsi"/>
                <w:noProof/>
                <w:webHidden/>
              </w:rPr>
              <w:fldChar w:fldCharType="end"/>
            </w:r>
          </w:hyperlink>
        </w:p>
        <w:p w14:paraId="3A2417F6" w14:textId="657A3813" w:rsidR="00085BDC" w:rsidRPr="00085BDC" w:rsidRDefault="00A1778E">
          <w:pPr>
            <w:pStyle w:val="Verzeichnis1"/>
            <w:tabs>
              <w:tab w:val="right" w:leader="dot" w:pos="9372"/>
            </w:tabs>
            <w:rPr>
              <w:rFonts w:asciiTheme="minorHAnsi" w:eastAsiaTheme="minorEastAsia" w:hAnsiTheme="minorHAnsi" w:cstheme="minorHAnsi"/>
              <w:noProof/>
              <w:szCs w:val="22"/>
              <w:lang w:eastAsia="de-AT"/>
            </w:rPr>
          </w:pPr>
          <w:hyperlink w:anchor="_Toc66727247" w:history="1">
            <w:r w:rsidR="00085BDC" w:rsidRPr="00085BDC">
              <w:rPr>
                <w:rStyle w:val="Hyperlink"/>
                <w:rFonts w:asciiTheme="minorHAnsi" w:hAnsiTheme="minorHAnsi" w:cstheme="minorHAnsi"/>
                <w:noProof/>
              </w:rPr>
              <w:t>Anhang: Studienblatt (optional)</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_Toc66727247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13</w:t>
            </w:r>
            <w:r w:rsidR="00085BDC" w:rsidRPr="00085BDC">
              <w:rPr>
                <w:rFonts w:asciiTheme="minorHAnsi" w:hAnsiTheme="minorHAnsi" w:cstheme="minorHAnsi"/>
                <w:noProof/>
                <w:webHidden/>
              </w:rPr>
              <w:fldChar w:fldCharType="end"/>
            </w:r>
          </w:hyperlink>
        </w:p>
        <w:p w14:paraId="15B7FAAE" w14:textId="30C5C3A8" w:rsidR="00085BDC" w:rsidRDefault="00A1778E">
          <w:pPr>
            <w:pStyle w:val="Verzeichnis1"/>
            <w:tabs>
              <w:tab w:val="right" w:leader="dot" w:pos="9372"/>
            </w:tabs>
            <w:rPr>
              <w:rFonts w:asciiTheme="minorHAnsi" w:eastAsiaTheme="minorEastAsia" w:hAnsiTheme="minorHAnsi" w:cstheme="minorBidi"/>
              <w:noProof/>
              <w:szCs w:val="22"/>
              <w:lang w:eastAsia="de-AT"/>
            </w:rPr>
          </w:pPr>
          <w:hyperlink w:anchor="_Toc66727248" w:history="1">
            <w:r w:rsidR="00085BDC" w:rsidRPr="00085BDC">
              <w:rPr>
                <w:rStyle w:val="Hyperlink"/>
                <w:rFonts w:asciiTheme="minorHAnsi" w:hAnsiTheme="minorHAnsi" w:cstheme="minorHAnsi"/>
                <w:noProof/>
              </w:rPr>
              <w:t>Anhang: Wirtschaftliche Analyse (optional)</w:t>
            </w:r>
            <w:r w:rsidR="00085BDC" w:rsidRPr="00085BDC">
              <w:rPr>
                <w:rFonts w:asciiTheme="minorHAnsi" w:hAnsiTheme="minorHAnsi" w:cstheme="minorHAnsi"/>
                <w:noProof/>
                <w:webHidden/>
              </w:rPr>
              <w:tab/>
            </w:r>
            <w:r w:rsidR="00085BDC" w:rsidRPr="00085BDC">
              <w:rPr>
                <w:rFonts w:asciiTheme="minorHAnsi" w:hAnsiTheme="minorHAnsi" w:cstheme="minorHAnsi"/>
                <w:noProof/>
                <w:webHidden/>
              </w:rPr>
              <w:fldChar w:fldCharType="begin"/>
            </w:r>
            <w:r w:rsidR="00085BDC" w:rsidRPr="00085BDC">
              <w:rPr>
                <w:rFonts w:asciiTheme="minorHAnsi" w:hAnsiTheme="minorHAnsi" w:cstheme="minorHAnsi"/>
                <w:noProof/>
                <w:webHidden/>
              </w:rPr>
              <w:instrText xml:space="preserve"> PAGEREF _Toc66727248 \h </w:instrText>
            </w:r>
            <w:r w:rsidR="00085BDC" w:rsidRPr="00085BDC">
              <w:rPr>
                <w:rFonts w:asciiTheme="minorHAnsi" w:hAnsiTheme="minorHAnsi" w:cstheme="minorHAnsi"/>
                <w:noProof/>
                <w:webHidden/>
              </w:rPr>
            </w:r>
            <w:r w:rsidR="00085BDC" w:rsidRPr="00085BDC">
              <w:rPr>
                <w:rFonts w:asciiTheme="minorHAnsi" w:hAnsiTheme="minorHAnsi" w:cstheme="minorHAnsi"/>
                <w:noProof/>
                <w:webHidden/>
              </w:rPr>
              <w:fldChar w:fldCharType="separate"/>
            </w:r>
            <w:r w:rsidR="00085BDC" w:rsidRPr="00085BDC">
              <w:rPr>
                <w:rFonts w:asciiTheme="minorHAnsi" w:hAnsiTheme="minorHAnsi" w:cstheme="minorHAnsi"/>
                <w:noProof/>
                <w:webHidden/>
              </w:rPr>
              <w:t>13</w:t>
            </w:r>
            <w:r w:rsidR="00085BDC" w:rsidRPr="00085BDC">
              <w:rPr>
                <w:rFonts w:asciiTheme="minorHAnsi" w:hAnsiTheme="minorHAnsi" w:cstheme="minorHAnsi"/>
                <w:noProof/>
                <w:webHidden/>
              </w:rPr>
              <w:fldChar w:fldCharType="end"/>
            </w:r>
          </w:hyperlink>
        </w:p>
        <w:p w14:paraId="5389EB5E" w14:textId="53C5F68E" w:rsidR="007F3064" w:rsidRPr="001E1E35" w:rsidRDefault="00822E59" w:rsidP="000C0C21">
          <w:pPr>
            <w:spacing w:line="276" w:lineRule="auto"/>
            <w:jc w:val="both"/>
            <w:rPr>
              <w:rFonts w:asciiTheme="minorHAnsi" w:hAnsiTheme="minorHAnsi" w:cstheme="minorHAnsi"/>
              <w:color w:val="000000" w:themeColor="text1"/>
            </w:rPr>
          </w:pPr>
          <w:r w:rsidRPr="001E1E35">
            <w:rPr>
              <w:rFonts w:asciiTheme="minorHAnsi" w:hAnsiTheme="minorHAnsi" w:cstheme="minorHAnsi"/>
              <w:b/>
              <w:bCs/>
              <w:color w:val="000000" w:themeColor="text1"/>
              <w:lang w:val="de-DE"/>
            </w:rPr>
            <w:fldChar w:fldCharType="end"/>
          </w:r>
        </w:p>
      </w:sdtContent>
    </w:sdt>
    <w:p w14:paraId="5389EB5F" w14:textId="77777777" w:rsidR="007F3064" w:rsidRPr="001E1E35" w:rsidRDefault="007F3064" w:rsidP="000C0C21">
      <w:pPr>
        <w:jc w:val="both"/>
        <w:rPr>
          <w:rFonts w:asciiTheme="minorHAnsi" w:hAnsiTheme="minorHAnsi" w:cstheme="minorHAnsi"/>
          <w:color w:val="000000" w:themeColor="text1"/>
        </w:rPr>
      </w:pPr>
    </w:p>
    <w:p w14:paraId="5389EB65" w14:textId="73663A76" w:rsidR="00713504" w:rsidRPr="001E1E35" w:rsidRDefault="00085BDC" w:rsidP="00085BDC">
      <w:pPr>
        <w:pStyle w:val="berschrift1"/>
        <w:jc w:val="both"/>
        <w:rPr>
          <w:rFonts w:cstheme="minorHAnsi"/>
          <w:color w:val="000000" w:themeColor="text1"/>
        </w:rPr>
      </w:pPr>
      <w:bookmarkStart w:id="1" w:name="_Toc66727225"/>
      <w:r>
        <w:rPr>
          <w:rFonts w:cstheme="minorHAnsi"/>
          <w:color w:val="000000" w:themeColor="text1"/>
        </w:rPr>
        <w:lastRenderedPageBreak/>
        <w:t>1</w:t>
      </w:r>
      <w:r>
        <w:rPr>
          <w:rFonts w:cstheme="minorHAnsi"/>
          <w:color w:val="000000" w:themeColor="text1"/>
        </w:rPr>
        <w:tab/>
        <w:t>Allgemeines</w:t>
      </w:r>
      <w:bookmarkEnd w:id="1"/>
    </w:p>
    <w:p w14:paraId="5389EB66" w14:textId="7465559D" w:rsidR="00713504" w:rsidRDefault="00085BDC" w:rsidP="000C0C21">
      <w:pPr>
        <w:jc w:val="both"/>
        <w:rPr>
          <w:rFonts w:asciiTheme="minorHAnsi" w:hAnsiTheme="minorHAnsi" w:cstheme="minorHAnsi"/>
          <w:color w:val="000000" w:themeColor="text1"/>
        </w:rPr>
      </w:pPr>
      <w:r>
        <w:rPr>
          <w:rFonts w:asciiTheme="minorHAnsi" w:hAnsiTheme="minorHAnsi" w:cstheme="minorHAnsi"/>
          <w:color w:val="000000" w:themeColor="text1"/>
        </w:rPr>
        <w:t>---</w:t>
      </w:r>
    </w:p>
    <w:p w14:paraId="6E924D56" w14:textId="77777777" w:rsidR="00085BDC" w:rsidRPr="001E1E35" w:rsidRDefault="00085BDC" w:rsidP="000C0C21">
      <w:pPr>
        <w:jc w:val="both"/>
        <w:rPr>
          <w:rFonts w:asciiTheme="minorHAnsi" w:hAnsiTheme="minorHAnsi" w:cstheme="minorHAnsi"/>
          <w:color w:val="000000" w:themeColor="text1"/>
        </w:rPr>
      </w:pPr>
    </w:p>
    <w:p w14:paraId="5389EB6D" w14:textId="4F24C450" w:rsidR="003655E2" w:rsidRPr="001E1E35" w:rsidRDefault="00085BDC" w:rsidP="00085BDC">
      <w:pPr>
        <w:pStyle w:val="berschrift1"/>
        <w:jc w:val="both"/>
        <w:rPr>
          <w:rFonts w:cstheme="minorHAnsi"/>
          <w:color w:val="000000" w:themeColor="text1"/>
        </w:rPr>
      </w:pPr>
      <w:bookmarkStart w:id="2" w:name="_Toc408380469"/>
      <w:bookmarkStart w:id="3" w:name="_Toc66727226"/>
      <w:r>
        <w:rPr>
          <w:rFonts w:cstheme="minorHAnsi"/>
          <w:color w:val="000000" w:themeColor="text1"/>
        </w:rPr>
        <w:t>2</w:t>
      </w:r>
      <w:r>
        <w:rPr>
          <w:rFonts w:cstheme="minorHAnsi"/>
          <w:color w:val="000000" w:themeColor="text1"/>
        </w:rPr>
        <w:tab/>
      </w:r>
      <w:r w:rsidR="003655E2" w:rsidRPr="001E1E35">
        <w:rPr>
          <w:rFonts w:cstheme="minorHAnsi"/>
          <w:color w:val="000000" w:themeColor="text1"/>
        </w:rPr>
        <w:t>Diagnostik und Scoring</w:t>
      </w:r>
      <w:bookmarkEnd w:id="2"/>
      <w:bookmarkEnd w:id="3"/>
    </w:p>
    <w:p w14:paraId="5389EB6E" w14:textId="5292019D" w:rsidR="003655E2" w:rsidRPr="001E1E35" w:rsidRDefault="00085BDC" w:rsidP="00085BDC">
      <w:pPr>
        <w:pStyle w:val="berschrift2"/>
        <w:numPr>
          <w:ilvl w:val="0"/>
          <w:numId w:val="0"/>
        </w:numPr>
      </w:pPr>
      <w:bookmarkStart w:id="4" w:name="_Toc408380470"/>
      <w:bookmarkStart w:id="5" w:name="_Toc66727227"/>
      <w:r>
        <w:t>2.1</w:t>
      </w:r>
      <w:r>
        <w:tab/>
      </w:r>
      <w:r w:rsidR="003655E2" w:rsidRPr="001E1E35">
        <w:t>Diagnostik</w:t>
      </w:r>
      <w:bookmarkEnd w:id="4"/>
      <w:bookmarkEnd w:id="5"/>
    </w:p>
    <w:p w14:paraId="5389EB6F"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p>
    <w:p w14:paraId="5389EB70" w14:textId="77777777" w:rsidR="003655E2" w:rsidRPr="001E1E35" w:rsidRDefault="003655E2" w:rsidP="000C0C21">
      <w:pPr>
        <w:pStyle w:val="Textkrper-Einzug2"/>
        <w:spacing w:after="0" w:line="276" w:lineRule="auto"/>
        <w:ind w:left="0"/>
        <w:rPr>
          <w:rFonts w:asciiTheme="minorHAnsi" w:hAnsiTheme="minorHAnsi" w:cstheme="minorHAnsi"/>
          <w:color w:val="000000" w:themeColor="text1"/>
          <w:szCs w:val="22"/>
        </w:rPr>
      </w:pPr>
      <w:r w:rsidRPr="001E1E35">
        <w:rPr>
          <w:rFonts w:asciiTheme="minorHAnsi" w:hAnsiTheme="minorHAnsi" w:cstheme="minorHAnsi"/>
          <w:noProof/>
          <w:color w:val="000000" w:themeColor="text1"/>
          <w:szCs w:val="22"/>
          <w:lang w:eastAsia="de-AT"/>
        </w:rPr>
        <w:drawing>
          <wp:inline distT="0" distB="0" distL="0" distR="0" wp14:anchorId="5389ECD4" wp14:editId="5389ECD5">
            <wp:extent cx="4345854" cy="24591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L Visio.gif"/>
                    <pic:cNvPicPr/>
                  </pic:nvPicPr>
                  <pic:blipFill>
                    <a:blip r:embed="rId16">
                      <a:extLst>
                        <a:ext uri="{28A0092B-C50C-407E-A947-70E740481C1C}">
                          <a14:useLocalDpi xmlns:a14="http://schemas.microsoft.com/office/drawing/2010/main" val="0"/>
                        </a:ext>
                      </a:extLst>
                    </a:blip>
                    <a:stretch>
                      <a:fillRect/>
                    </a:stretch>
                  </pic:blipFill>
                  <pic:spPr>
                    <a:xfrm>
                      <a:off x="0" y="0"/>
                      <a:ext cx="4348055" cy="2460427"/>
                    </a:xfrm>
                    <a:prstGeom prst="rect">
                      <a:avLst/>
                    </a:prstGeom>
                  </pic:spPr>
                </pic:pic>
              </a:graphicData>
            </a:graphic>
          </wp:inline>
        </w:drawing>
      </w:r>
    </w:p>
    <w:p w14:paraId="5389EB71"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p>
    <w:p w14:paraId="5389EB72" w14:textId="77777777" w:rsidR="003655E2" w:rsidRPr="001E1E35" w:rsidRDefault="003655E2" w:rsidP="000C0C21">
      <w:pPr>
        <w:pStyle w:val="Textkrper-Einzug2"/>
        <w:spacing w:after="0" w:line="276" w:lineRule="auto"/>
        <w:ind w:left="991" w:firstLine="285"/>
        <w:jc w:val="both"/>
        <w:rPr>
          <w:rFonts w:asciiTheme="minorHAnsi" w:hAnsiTheme="minorHAnsi" w:cstheme="minorHAnsi"/>
          <w:color w:val="000000" w:themeColor="text1"/>
          <w:sz w:val="18"/>
          <w:szCs w:val="18"/>
        </w:rPr>
      </w:pPr>
      <w:r w:rsidRPr="001E1E35">
        <w:rPr>
          <w:rFonts w:asciiTheme="minorHAnsi" w:hAnsiTheme="minorHAnsi" w:cstheme="minorHAnsi"/>
          <w:color w:val="000000" w:themeColor="text1"/>
          <w:sz w:val="18"/>
          <w:szCs w:val="18"/>
        </w:rPr>
        <w:t>Virusdiagnostik: Hep B+C, HIV, CMV</w:t>
      </w:r>
    </w:p>
    <w:p w14:paraId="5389EB73" w14:textId="77777777" w:rsidR="003655E2" w:rsidRPr="001E1E35" w:rsidRDefault="003655E2" w:rsidP="000C0C21">
      <w:pPr>
        <w:pStyle w:val="Textkrper-Einzug2"/>
        <w:spacing w:after="0" w:line="276" w:lineRule="auto"/>
        <w:ind w:left="0" w:firstLine="708"/>
        <w:jc w:val="both"/>
        <w:rPr>
          <w:rFonts w:asciiTheme="minorHAnsi" w:hAnsiTheme="minorHAnsi" w:cstheme="minorHAnsi"/>
          <w:color w:val="000000" w:themeColor="text1"/>
          <w:sz w:val="18"/>
          <w:szCs w:val="18"/>
        </w:rPr>
      </w:pPr>
    </w:p>
    <w:p w14:paraId="5389EB74" w14:textId="50618BC3" w:rsidR="003655E2" w:rsidRPr="001E1E35" w:rsidRDefault="00085BDC" w:rsidP="00085BDC">
      <w:pPr>
        <w:pStyle w:val="berschrift2"/>
        <w:numPr>
          <w:ilvl w:val="0"/>
          <w:numId w:val="0"/>
        </w:numPr>
      </w:pPr>
      <w:bookmarkStart w:id="6" w:name="_Toc408380471"/>
      <w:bookmarkStart w:id="7" w:name="_Toc66727228"/>
      <w:r>
        <w:t>2.1</w:t>
      </w:r>
      <w:r>
        <w:tab/>
      </w:r>
      <w:r w:rsidR="003655E2" w:rsidRPr="001E1E35">
        <w:t>Therapieindikationen</w:t>
      </w:r>
      <w:bookmarkEnd w:id="6"/>
      <w:bookmarkEnd w:id="7"/>
    </w:p>
    <w:p w14:paraId="5389EB75"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RAI III-IV bzw. BINET C (RAI I/II oder BINET B optional) oder</w:t>
      </w:r>
    </w:p>
    <w:p w14:paraId="5389EB76"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progrediente Markinfiltration - Zytopenie </w:t>
      </w:r>
    </w:p>
    <w:p w14:paraId="5389EB77"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massive (&gt; 6 cm unter Ribo) oder sympt. Splenomegalie </w:t>
      </w:r>
    </w:p>
    <w:p w14:paraId="5389EB78"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massive (&gt; 10 cm LDM) oder sympt. Lymphadenopathie </w:t>
      </w:r>
    </w:p>
    <w:p w14:paraId="5389EB79"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progressive Lymphozytose: &gt;50% in 2 Mo, LDT &lt; 6 Mo (ab &gt; 30.000)</w:t>
      </w:r>
    </w:p>
    <w:p w14:paraId="5389EB7A"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Autoimmunzytopenien </w:t>
      </w:r>
    </w:p>
    <w:p w14:paraId="5389EB7B"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Allgemeinsymptome:</w:t>
      </w:r>
    </w:p>
    <w:p w14:paraId="5389EB7C" w14:textId="77777777" w:rsidR="003655E2" w:rsidRPr="001E1E35" w:rsidRDefault="003655E2" w:rsidP="0064398F">
      <w:pPr>
        <w:pStyle w:val="Listenabsatz"/>
        <w:numPr>
          <w:ilvl w:val="0"/>
          <w:numId w:val="3"/>
        </w:numPr>
        <w:spacing w:line="276" w:lineRule="auto"/>
        <w:ind w:left="993"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 10% Gewichtsverlust in 6 Mo</w:t>
      </w:r>
    </w:p>
    <w:p w14:paraId="5389EB7D" w14:textId="77777777" w:rsidR="003655E2" w:rsidRPr="001E1E35" w:rsidRDefault="003655E2" w:rsidP="0064398F">
      <w:pPr>
        <w:pStyle w:val="Listenabsatz"/>
        <w:numPr>
          <w:ilvl w:val="0"/>
          <w:numId w:val="3"/>
        </w:numPr>
        <w:spacing w:line="276" w:lineRule="auto"/>
        <w:ind w:left="993"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 Fatique &gt; ECOG PS 2</w:t>
      </w:r>
    </w:p>
    <w:p w14:paraId="5389EB7E" w14:textId="77777777" w:rsidR="003655E2" w:rsidRPr="001E1E35" w:rsidRDefault="003655E2" w:rsidP="0064398F">
      <w:pPr>
        <w:pStyle w:val="Listenabsatz"/>
        <w:numPr>
          <w:ilvl w:val="0"/>
          <w:numId w:val="3"/>
        </w:numPr>
        <w:spacing w:line="276" w:lineRule="auto"/>
        <w:ind w:left="993"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 Fieber &gt; 38 C° für &gt; 2 Wo</w:t>
      </w:r>
    </w:p>
    <w:p w14:paraId="5389EB7F" w14:textId="77777777" w:rsidR="003655E2" w:rsidRPr="001E1E35" w:rsidRDefault="003655E2" w:rsidP="0064398F">
      <w:pPr>
        <w:pStyle w:val="Listenabsatz"/>
        <w:numPr>
          <w:ilvl w:val="0"/>
          <w:numId w:val="3"/>
        </w:numPr>
        <w:spacing w:line="276" w:lineRule="auto"/>
        <w:ind w:left="993"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 Nachtschweiß &gt; 1 Mo</w:t>
      </w:r>
    </w:p>
    <w:p w14:paraId="52607004" w14:textId="3672EE95" w:rsidR="006407F4" w:rsidRPr="001E1E35" w:rsidRDefault="006407F4"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Leukozytose &gt;200</w:t>
      </w:r>
      <w:r w:rsidR="005F00D9" w:rsidRPr="001E1E35">
        <w:rPr>
          <w:rFonts w:asciiTheme="minorHAnsi" w:hAnsiTheme="minorHAnsi" w:cstheme="minorHAnsi"/>
          <w:noProof/>
          <w:color w:val="000000" w:themeColor="text1"/>
          <w:szCs w:val="22"/>
        </w:rPr>
        <w:t>.</w:t>
      </w:r>
      <w:r w:rsidRPr="001E1E35">
        <w:rPr>
          <w:rFonts w:asciiTheme="minorHAnsi" w:hAnsiTheme="minorHAnsi" w:cstheme="minorHAnsi"/>
          <w:noProof/>
          <w:color w:val="000000" w:themeColor="text1"/>
          <w:szCs w:val="22"/>
        </w:rPr>
        <w:t>000</w:t>
      </w:r>
      <w:r w:rsidR="00D43CBD" w:rsidRPr="001E1E35">
        <w:rPr>
          <w:rFonts w:asciiTheme="minorHAnsi" w:hAnsiTheme="minorHAnsi" w:cstheme="minorHAnsi"/>
          <w:noProof/>
          <w:color w:val="000000" w:themeColor="text1"/>
          <w:szCs w:val="22"/>
        </w:rPr>
        <w:t>/microL (Gefahr des Leukostasesyndroms/Hyperviskosität)</w:t>
      </w:r>
    </w:p>
    <w:p w14:paraId="5389EB80"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Hypogammoglobulinämie stellt keine Indikation dar! </w:t>
      </w:r>
    </w:p>
    <w:p w14:paraId="5389EB81" w14:textId="013A7685" w:rsidR="000C0C21"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negative prognostische Faktoren stellen alleine keine Indikation dar!</w:t>
      </w:r>
    </w:p>
    <w:p w14:paraId="13DF8693" w14:textId="4A2FEE45" w:rsidR="003655E2" w:rsidRPr="000C0C21" w:rsidRDefault="000C0C21" w:rsidP="000C0C21">
      <w:pPr>
        <w:spacing w:line="240" w:lineRule="auto"/>
        <w:jc w:val="left"/>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br w:type="page"/>
      </w:r>
    </w:p>
    <w:p w14:paraId="5389EB82" w14:textId="58BB7D1E" w:rsidR="003655E2" w:rsidRPr="001E1E35" w:rsidRDefault="00085BDC" w:rsidP="00085BDC">
      <w:pPr>
        <w:pStyle w:val="berschrift2"/>
        <w:numPr>
          <w:ilvl w:val="0"/>
          <w:numId w:val="0"/>
        </w:numPr>
      </w:pPr>
      <w:bookmarkStart w:id="8" w:name="_Toc408380472"/>
      <w:bookmarkStart w:id="9" w:name="_Toc66727229"/>
      <w:r>
        <w:lastRenderedPageBreak/>
        <w:t>2.3</w:t>
      </w:r>
      <w:r>
        <w:tab/>
      </w:r>
      <w:r w:rsidR="003655E2" w:rsidRPr="001E1E35">
        <w:t>Risikoeinschätzung</w:t>
      </w:r>
      <w:bookmarkEnd w:id="8"/>
      <w:r w:rsidR="003655E2" w:rsidRPr="001E1E35">
        <w:t xml:space="preserve"> – Prognose Score</w:t>
      </w:r>
      <w:bookmarkEnd w:id="9"/>
    </w:p>
    <w:p w14:paraId="5389EB87" w14:textId="77777777" w:rsidR="003655E2" w:rsidRPr="001E1E35" w:rsidRDefault="003655E2" w:rsidP="000C0C21">
      <w:pPr>
        <w:spacing w:line="276" w:lineRule="auto"/>
        <w:jc w:val="both"/>
        <w:rPr>
          <w:rFonts w:asciiTheme="minorHAnsi" w:hAnsiTheme="minorHAnsi" w:cstheme="minorHAnsi"/>
          <w:b/>
          <w:noProof/>
          <w:color w:val="000000" w:themeColor="text1"/>
          <w:szCs w:val="22"/>
        </w:rPr>
      </w:pPr>
    </w:p>
    <w:p w14:paraId="5389EB88" w14:textId="77777777" w:rsidR="003655E2" w:rsidRPr="001E1E35" w:rsidRDefault="003655E2" w:rsidP="000C0C21">
      <w:pPr>
        <w:spacing w:line="276" w:lineRule="auto"/>
        <w:jc w:val="both"/>
        <w:rPr>
          <w:rFonts w:asciiTheme="minorHAnsi" w:hAnsiTheme="minorHAnsi" w:cstheme="minorHAnsi"/>
          <w:b/>
          <w:noProof/>
          <w:color w:val="000000" w:themeColor="text1"/>
          <w:szCs w:val="22"/>
        </w:rPr>
      </w:pPr>
      <w:r w:rsidRPr="001E1E35">
        <w:rPr>
          <w:rFonts w:asciiTheme="minorHAnsi" w:hAnsiTheme="minorHAnsi" w:cstheme="minorHAnsi"/>
          <w:b/>
          <w:noProof/>
          <w:color w:val="000000" w:themeColor="text1"/>
          <w:szCs w:val="22"/>
        </w:rPr>
        <w:t>CLL-IPI Prognose Score</w:t>
      </w:r>
    </w:p>
    <w:p w14:paraId="5389EB89" w14:textId="77777777" w:rsidR="003655E2" w:rsidRPr="001E1E35" w:rsidRDefault="003655E2" w:rsidP="000C0C21">
      <w:pPr>
        <w:spacing w:line="276" w:lineRule="auto"/>
        <w:jc w:val="both"/>
        <w:rPr>
          <w:rFonts w:asciiTheme="minorHAnsi" w:hAnsiTheme="minorHAnsi" w:cstheme="minorHAnsi"/>
          <w:b/>
          <w:noProof/>
          <w:color w:val="000000" w:themeColor="text1"/>
          <w:szCs w:val="22"/>
        </w:rPr>
      </w:pPr>
    </w:p>
    <w:tbl>
      <w:tblPr>
        <w:tblStyle w:val="Tabellenraster"/>
        <w:tblW w:w="0" w:type="auto"/>
        <w:tblLook w:val="04A0" w:firstRow="1" w:lastRow="0" w:firstColumn="1" w:lastColumn="0" w:noHBand="0" w:noVBand="1"/>
      </w:tblPr>
      <w:tblGrid>
        <w:gridCol w:w="2802"/>
        <w:gridCol w:w="3685"/>
        <w:gridCol w:w="851"/>
      </w:tblGrid>
      <w:tr w:rsidR="001E1E35" w:rsidRPr="001E1E35" w14:paraId="5389EB8B" w14:textId="77777777" w:rsidTr="00E94E76">
        <w:tc>
          <w:tcPr>
            <w:tcW w:w="7338" w:type="dxa"/>
            <w:gridSpan w:val="3"/>
            <w:shd w:val="clear" w:color="auto" w:fill="948A54" w:themeFill="background2" w:themeFillShade="80"/>
          </w:tcPr>
          <w:p w14:paraId="5389EB8A" w14:textId="77777777" w:rsidR="003655E2" w:rsidRPr="001E1E35" w:rsidRDefault="003655E2" w:rsidP="000C0C21">
            <w:pPr>
              <w:spacing w:line="276" w:lineRule="auto"/>
              <w:jc w:val="both"/>
              <w:rPr>
                <w:rFonts w:asciiTheme="minorHAnsi" w:hAnsiTheme="minorHAnsi" w:cstheme="minorHAnsi"/>
                <w:b/>
                <w:noProof/>
                <w:color w:val="000000" w:themeColor="text1"/>
                <w:sz w:val="20"/>
              </w:rPr>
            </w:pPr>
            <w:r w:rsidRPr="001E1E35">
              <w:rPr>
                <w:rFonts w:asciiTheme="minorHAnsi" w:hAnsiTheme="minorHAnsi" w:cstheme="minorHAnsi"/>
                <w:b/>
                <w:noProof/>
                <w:color w:val="000000" w:themeColor="text1"/>
                <w:sz w:val="20"/>
              </w:rPr>
              <w:t xml:space="preserve">Punkte     </w:t>
            </w:r>
          </w:p>
        </w:tc>
      </w:tr>
      <w:tr w:rsidR="001E1E35" w:rsidRPr="001E1E35" w14:paraId="5389EB8F" w14:textId="77777777" w:rsidTr="00E94E76">
        <w:tc>
          <w:tcPr>
            <w:tcW w:w="2802" w:type="dxa"/>
          </w:tcPr>
          <w:p w14:paraId="5389EB8C"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TP53 status</w:t>
            </w:r>
          </w:p>
        </w:tc>
        <w:tc>
          <w:tcPr>
            <w:tcW w:w="3685" w:type="dxa"/>
          </w:tcPr>
          <w:p w14:paraId="5389EB8D"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Deleted or mutated</w:t>
            </w:r>
          </w:p>
        </w:tc>
        <w:tc>
          <w:tcPr>
            <w:tcW w:w="851" w:type="dxa"/>
          </w:tcPr>
          <w:p w14:paraId="5389EB8E"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4</w:t>
            </w:r>
          </w:p>
        </w:tc>
      </w:tr>
      <w:tr w:rsidR="001E1E35" w:rsidRPr="001E1E35" w14:paraId="5389EB93" w14:textId="77777777" w:rsidTr="00E94E76">
        <w:tc>
          <w:tcPr>
            <w:tcW w:w="2802" w:type="dxa"/>
            <w:shd w:val="clear" w:color="auto" w:fill="F2F2F2" w:themeFill="background1" w:themeFillShade="F2"/>
          </w:tcPr>
          <w:p w14:paraId="5389EB90"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IGHV mutational status</w:t>
            </w:r>
          </w:p>
        </w:tc>
        <w:tc>
          <w:tcPr>
            <w:tcW w:w="3685" w:type="dxa"/>
            <w:shd w:val="clear" w:color="auto" w:fill="F2F2F2" w:themeFill="background1" w:themeFillShade="F2"/>
          </w:tcPr>
          <w:p w14:paraId="5389EB91"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Unmutated</w:t>
            </w:r>
          </w:p>
        </w:tc>
        <w:tc>
          <w:tcPr>
            <w:tcW w:w="851" w:type="dxa"/>
            <w:shd w:val="clear" w:color="auto" w:fill="F2F2F2" w:themeFill="background1" w:themeFillShade="F2"/>
          </w:tcPr>
          <w:p w14:paraId="5389EB92"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2</w:t>
            </w:r>
          </w:p>
        </w:tc>
      </w:tr>
      <w:tr w:rsidR="001E1E35" w:rsidRPr="001E1E35" w14:paraId="5389EB97" w14:textId="77777777" w:rsidTr="00E94E76">
        <w:tc>
          <w:tcPr>
            <w:tcW w:w="2802" w:type="dxa"/>
          </w:tcPr>
          <w:p w14:paraId="5389EB94"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β</w:t>
            </w:r>
            <w:r w:rsidRPr="001E1E35">
              <w:rPr>
                <w:rFonts w:asciiTheme="minorHAnsi" w:hAnsiTheme="minorHAnsi" w:cstheme="minorHAnsi"/>
                <w:noProof/>
                <w:color w:val="000000" w:themeColor="text1"/>
                <w:sz w:val="20"/>
                <w:vertAlign w:val="subscript"/>
              </w:rPr>
              <w:t>2</w:t>
            </w:r>
            <w:r w:rsidRPr="001E1E35">
              <w:rPr>
                <w:rFonts w:asciiTheme="minorHAnsi" w:hAnsiTheme="minorHAnsi" w:cstheme="minorHAnsi"/>
                <w:noProof/>
                <w:color w:val="000000" w:themeColor="text1"/>
                <w:sz w:val="20"/>
              </w:rPr>
              <w:t>-microglobulin</w:t>
            </w:r>
            <w:r w:rsidRPr="001E1E35">
              <w:rPr>
                <w:rFonts w:asciiTheme="minorHAnsi" w:hAnsiTheme="minorHAnsi" w:cstheme="minorHAnsi"/>
                <w:noProof/>
                <w:color w:val="000000" w:themeColor="text1"/>
                <w:sz w:val="20"/>
                <w:vertAlign w:val="subscript"/>
              </w:rPr>
              <w:t xml:space="preserve"> </w:t>
            </w:r>
            <w:r w:rsidRPr="001E1E35">
              <w:rPr>
                <w:rFonts w:asciiTheme="minorHAnsi" w:hAnsiTheme="minorHAnsi" w:cstheme="minorHAnsi"/>
                <w:noProof/>
                <w:color w:val="000000" w:themeColor="text1"/>
                <w:sz w:val="20"/>
              </w:rPr>
              <w:t>concentration</w:t>
            </w:r>
          </w:p>
        </w:tc>
        <w:tc>
          <w:tcPr>
            <w:tcW w:w="3685" w:type="dxa"/>
          </w:tcPr>
          <w:p w14:paraId="5389EB95" w14:textId="766F673F" w:rsidR="003655E2" w:rsidRPr="001E1E35" w:rsidRDefault="001B2A23"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 xml:space="preserve">&gt; </w:t>
            </w:r>
            <w:r w:rsidR="003655E2" w:rsidRPr="001E1E35">
              <w:rPr>
                <w:rFonts w:asciiTheme="minorHAnsi" w:hAnsiTheme="minorHAnsi" w:cstheme="minorHAnsi"/>
                <w:noProof/>
                <w:color w:val="000000" w:themeColor="text1"/>
                <w:sz w:val="20"/>
              </w:rPr>
              <w:t>3,5mg/L</w:t>
            </w:r>
          </w:p>
        </w:tc>
        <w:tc>
          <w:tcPr>
            <w:tcW w:w="851" w:type="dxa"/>
          </w:tcPr>
          <w:p w14:paraId="5389EB96"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2</w:t>
            </w:r>
          </w:p>
        </w:tc>
      </w:tr>
      <w:tr w:rsidR="001E1E35" w:rsidRPr="001E1E35" w14:paraId="5389EB9B" w14:textId="77777777" w:rsidTr="00E94E76">
        <w:tc>
          <w:tcPr>
            <w:tcW w:w="2802" w:type="dxa"/>
            <w:shd w:val="clear" w:color="auto" w:fill="F2F2F2" w:themeFill="background1" w:themeFillShade="F2"/>
          </w:tcPr>
          <w:p w14:paraId="5389EB98"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Clinical Stage</w:t>
            </w:r>
          </w:p>
        </w:tc>
        <w:tc>
          <w:tcPr>
            <w:tcW w:w="3685" w:type="dxa"/>
            <w:shd w:val="clear" w:color="auto" w:fill="F2F2F2" w:themeFill="background1" w:themeFillShade="F2"/>
          </w:tcPr>
          <w:p w14:paraId="5389EB99"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RaI I-VI or Binet B-C</w:t>
            </w:r>
          </w:p>
        </w:tc>
        <w:tc>
          <w:tcPr>
            <w:tcW w:w="851" w:type="dxa"/>
            <w:shd w:val="clear" w:color="auto" w:fill="F2F2F2" w:themeFill="background1" w:themeFillShade="F2"/>
          </w:tcPr>
          <w:p w14:paraId="5389EB9A"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1</w:t>
            </w:r>
          </w:p>
        </w:tc>
      </w:tr>
      <w:tr w:rsidR="003655E2" w:rsidRPr="001E1E35" w14:paraId="5389EB9F" w14:textId="77777777" w:rsidTr="00E94E76">
        <w:tc>
          <w:tcPr>
            <w:tcW w:w="2802" w:type="dxa"/>
          </w:tcPr>
          <w:p w14:paraId="5389EB9C" w14:textId="77777777" w:rsidR="003655E2" w:rsidRPr="001E1E35" w:rsidRDefault="003655E2" w:rsidP="000C0C21">
            <w:pPr>
              <w:spacing w:line="276" w:lineRule="auto"/>
              <w:jc w:val="both"/>
              <w:rPr>
                <w:rFonts w:asciiTheme="minorHAnsi" w:hAnsiTheme="minorHAnsi" w:cstheme="minorHAnsi"/>
                <w:noProof/>
                <w:color w:val="000000" w:themeColor="text1"/>
                <w:sz w:val="20"/>
              </w:rPr>
            </w:pPr>
            <w:r w:rsidRPr="001E1E35">
              <w:rPr>
                <w:rFonts w:asciiTheme="minorHAnsi" w:hAnsiTheme="minorHAnsi" w:cstheme="minorHAnsi"/>
                <w:noProof/>
                <w:color w:val="000000" w:themeColor="text1"/>
                <w:sz w:val="20"/>
              </w:rPr>
              <w:t>Age</w:t>
            </w:r>
          </w:p>
        </w:tc>
        <w:tc>
          <w:tcPr>
            <w:tcW w:w="3685" w:type="dxa"/>
          </w:tcPr>
          <w:p w14:paraId="5389EB9D" w14:textId="2AD8D6FF"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&gt;</w:t>
            </w:r>
            <w:r w:rsidR="001B2A23" w:rsidRPr="001E1E35">
              <w:rPr>
                <w:rFonts w:asciiTheme="minorHAnsi" w:hAnsiTheme="minorHAnsi" w:cstheme="minorHAnsi"/>
                <w:noProof/>
                <w:color w:val="000000" w:themeColor="text1"/>
                <w:sz w:val="20"/>
                <w:lang w:val="en-US"/>
              </w:rPr>
              <w:t xml:space="preserve"> </w:t>
            </w:r>
            <w:r w:rsidRPr="001E1E35">
              <w:rPr>
                <w:rFonts w:asciiTheme="minorHAnsi" w:hAnsiTheme="minorHAnsi" w:cstheme="minorHAnsi"/>
                <w:noProof/>
                <w:color w:val="000000" w:themeColor="text1"/>
                <w:sz w:val="20"/>
                <w:lang w:val="en-US"/>
              </w:rPr>
              <w:t>65 years</w:t>
            </w:r>
          </w:p>
        </w:tc>
        <w:tc>
          <w:tcPr>
            <w:tcW w:w="851" w:type="dxa"/>
          </w:tcPr>
          <w:p w14:paraId="5389EB9E"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1</w:t>
            </w:r>
          </w:p>
        </w:tc>
      </w:tr>
    </w:tbl>
    <w:p w14:paraId="5389EBA0" w14:textId="77777777" w:rsidR="003655E2" w:rsidRPr="001E1E35" w:rsidRDefault="003655E2" w:rsidP="000C0C21">
      <w:pPr>
        <w:spacing w:line="276" w:lineRule="auto"/>
        <w:jc w:val="both"/>
        <w:rPr>
          <w:rFonts w:asciiTheme="minorHAnsi" w:hAnsiTheme="minorHAnsi" w:cstheme="minorHAnsi"/>
          <w:b/>
          <w:noProof/>
          <w:color w:val="000000" w:themeColor="text1"/>
          <w:szCs w:val="22"/>
          <w:lang w:val="en-US"/>
        </w:rPr>
      </w:pPr>
    </w:p>
    <w:p w14:paraId="5389EBA1" w14:textId="77777777" w:rsidR="003655E2" w:rsidRPr="001E1E35" w:rsidRDefault="003655E2" w:rsidP="000C0C21">
      <w:pPr>
        <w:spacing w:line="276" w:lineRule="auto"/>
        <w:jc w:val="both"/>
        <w:rPr>
          <w:rFonts w:asciiTheme="minorHAnsi" w:hAnsiTheme="minorHAnsi" w:cstheme="minorHAnsi"/>
          <w:b/>
          <w:noProof/>
          <w:color w:val="000000" w:themeColor="text1"/>
          <w:szCs w:val="22"/>
          <w:lang w:val="en-US"/>
        </w:rPr>
      </w:pPr>
    </w:p>
    <w:tbl>
      <w:tblPr>
        <w:tblStyle w:val="Tabellenraster"/>
        <w:tblW w:w="0" w:type="auto"/>
        <w:tblLook w:val="04A0" w:firstRow="1" w:lastRow="0" w:firstColumn="1" w:lastColumn="0" w:noHBand="0" w:noVBand="1"/>
      </w:tblPr>
      <w:tblGrid>
        <w:gridCol w:w="675"/>
        <w:gridCol w:w="2104"/>
        <w:gridCol w:w="1673"/>
        <w:gridCol w:w="4920"/>
      </w:tblGrid>
      <w:tr w:rsidR="001E1E35" w:rsidRPr="001E1E35" w14:paraId="5389EBA6" w14:textId="77777777" w:rsidTr="00E94E76">
        <w:tc>
          <w:tcPr>
            <w:tcW w:w="675" w:type="dxa"/>
            <w:shd w:val="clear" w:color="auto" w:fill="948A54" w:themeFill="background2" w:themeFillShade="80"/>
          </w:tcPr>
          <w:p w14:paraId="5389EBA2" w14:textId="77777777" w:rsidR="003655E2" w:rsidRPr="001E1E35" w:rsidRDefault="003655E2" w:rsidP="000C0C21">
            <w:pPr>
              <w:spacing w:line="276" w:lineRule="auto"/>
              <w:jc w:val="both"/>
              <w:rPr>
                <w:rFonts w:asciiTheme="minorHAnsi" w:hAnsiTheme="minorHAnsi" w:cstheme="minorHAnsi"/>
                <w:b/>
                <w:noProof/>
                <w:color w:val="000000" w:themeColor="text1"/>
                <w:sz w:val="20"/>
                <w:lang w:val="en-US"/>
              </w:rPr>
            </w:pPr>
            <w:r w:rsidRPr="001E1E35">
              <w:rPr>
                <w:rFonts w:asciiTheme="minorHAnsi" w:hAnsiTheme="minorHAnsi" w:cstheme="minorHAnsi"/>
                <w:b/>
                <w:noProof/>
                <w:color w:val="000000" w:themeColor="text1"/>
                <w:sz w:val="20"/>
                <w:lang w:val="en-US"/>
              </w:rPr>
              <w:t>Score</w:t>
            </w:r>
          </w:p>
        </w:tc>
        <w:tc>
          <w:tcPr>
            <w:tcW w:w="2127" w:type="dxa"/>
            <w:shd w:val="clear" w:color="auto" w:fill="948A54" w:themeFill="background2" w:themeFillShade="80"/>
          </w:tcPr>
          <w:p w14:paraId="5389EBA3" w14:textId="77777777" w:rsidR="003655E2" w:rsidRPr="001E1E35" w:rsidRDefault="003655E2" w:rsidP="000C0C21">
            <w:pPr>
              <w:spacing w:line="276" w:lineRule="auto"/>
              <w:jc w:val="both"/>
              <w:rPr>
                <w:rFonts w:asciiTheme="minorHAnsi" w:hAnsiTheme="minorHAnsi" w:cstheme="minorHAnsi"/>
                <w:b/>
                <w:noProof/>
                <w:color w:val="000000" w:themeColor="text1"/>
                <w:sz w:val="20"/>
                <w:lang w:val="en-US"/>
              </w:rPr>
            </w:pPr>
            <w:r w:rsidRPr="001E1E35">
              <w:rPr>
                <w:rFonts w:asciiTheme="minorHAnsi" w:hAnsiTheme="minorHAnsi" w:cstheme="minorHAnsi"/>
                <w:b/>
                <w:noProof/>
                <w:color w:val="000000" w:themeColor="text1"/>
                <w:sz w:val="20"/>
                <w:lang w:val="en-US"/>
              </w:rPr>
              <w:t>CLL-IPI category</w:t>
            </w:r>
          </w:p>
        </w:tc>
        <w:tc>
          <w:tcPr>
            <w:tcW w:w="1701" w:type="dxa"/>
            <w:shd w:val="clear" w:color="auto" w:fill="948A54" w:themeFill="background2" w:themeFillShade="80"/>
          </w:tcPr>
          <w:p w14:paraId="5389EBA4" w14:textId="77777777" w:rsidR="003655E2" w:rsidRPr="001E1E35" w:rsidRDefault="003655E2" w:rsidP="000C0C21">
            <w:pPr>
              <w:spacing w:line="276" w:lineRule="auto"/>
              <w:jc w:val="both"/>
              <w:rPr>
                <w:rFonts w:asciiTheme="minorHAnsi" w:hAnsiTheme="minorHAnsi" w:cstheme="minorHAnsi"/>
                <w:b/>
                <w:noProof/>
                <w:color w:val="000000" w:themeColor="text1"/>
                <w:sz w:val="20"/>
                <w:lang w:val="en-US"/>
              </w:rPr>
            </w:pPr>
            <w:r w:rsidRPr="001E1E35">
              <w:rPr>
                <w:rFonts w:asciiTheme="minorHAnsi" w:hAnsiTheme="minorHAnsi" w:cstheme="minorHAnsi"/>
                <w:b/>
                <w:noProof/>
                <w:color w:val="000000" w:themeColor="text1"/>
                <w:sz w:val="20"/>
                <w:lang w:val="en-US"/>
              </w:rPr>
              <w:t>OS at 5 years (%)</w:t>
            </w:r>
          </w:p>
        </w:tc>
        <w:tc>
          <w:tcPr>
            <w:tcW w:w="5019" w:type="dxa"/>
            <w:shd w:val="clear" w:color="auto" w:fill="948A54" w:themeFill="background2" w:themeFillShade="80"/>
          </w:tcPr>
          <w:p w14:paraId="5389EBA5" w14:textId="77777777" w:rsidR="003655E2" w:rsidRPr="001E1E35" w:rsidRDefault="003655E2" w:rsidP="000C0C21">
            <w:pPr>
              <w:spacing w:line="276" w:lineRule="auto"/>
              <w:jc w:val="both"/>
              <w:rPr>
                <w:rFonts w:asciiTheme="minorHAnsi" w:hAnsiTheme="minorHAnsi" w:cstheme="minorHAnsi"/>
                <w:b/>
                <w:noProof/>
                <w:color w:val="000000" w:themeColor="text1"/>
                <w:sz w:val="20"/>
                <w:lang w:val="en-US"/>
              </w:rPr>
            </w:pPr>
            <w:r w:rsidRPr="001E1E35">
              <w:rPr>
                <w:rFonts w:asciiTheme="minorHAnsi" w:hAnsiTheme="minorHAnsi" w:cstheme="minorHAnsi"/>
                <w:b/>
                <w:noProof/>
                <w:color w:val="000000" w:themeColor="text1"/>
                <w:sz w:val="20"/>
                <w:lang w:val="en-US"/>
              </w:rPr>
              <w:t>Potential clinical consequence</w:t>
            </w:r>
          </w:p>
        </w:tc>
      </w:tr>
      <w:tr w:rsidR="001E1E35" w:rsidRPr="001E1E35" w14:paraId="5389EBAB" w14:textId="77777777" w:rsidTr="00E94E76">
        <w:tc>
          <w:tcPr>
            <w:tcW w:w="675" w:type="dxa"/>
            <w:shd w:val="clear" w:color="auto" w:fill="F2F2F2" w:themeFill="background1" w:themeFillShade="F2"/>
          </w:tcPr>
          <w:p w14:paraId="5389EBA7"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1</w:t>
            </w:r>
          </w:p>
        </w:tc>
        <w:tc>
          <w:tcPr>
            <w:tcW w:w="2127" w:type="dxa"/>
            <w:shd w:val="clear" w:color="auto" w:fill="F2F2F2" w:themeFill="background1" w:themeFillShade="F2"/>
          </w:tcPr>
          <w:p w14:paraId="5389EBA8"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Low risk</w:t>
            </w:r>
          </w:p>
        </w:tc>
        <w:tc>
          <w:tcPr>
            <w:tcW w:w="1701" w:type="dxa"/>
            <w:shd w:val="clear" w:color="auto" w:fill="F2F2F2" w:themeFill="background1" w:themeFillShade="F2"/>
          </w:tcPr>
          <w:p w14:paraId="5389EBA9"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93,2</w:t>
            </w:r>
          </w:p>
        </w:tc>
        <w:tc>
          <w:tcPr>
            <w:tcW w:w="5019" w:type="dxa"/>
            <w:shd w:val="clear" w:color="auto" w:fill="F2F2F2" w:themeFill="background1" w:themeFillShade="F2"/>
          </w:tcPr>
          <w:p w14:paraId="5389EBAA"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Do not treat</w:t>
            </w:r>
          </w:p>
        </w:tc>
      </w:tr>
      <w:tr w:rsidR="001E1E35" w:rsidRPr="00A1778E" w14:paraId="5389EBB0" w14:textId="77777777" w:rsidTr="00E94E76">
        <w:tc>
          <w:tcPr>
            <w:tcW w:w="675" w:type="dxa"/>
            <w:shd w:val="clear" w:color="auto" w:fill="D9D9D9" w:themeFill="background1" w:themeFillShade="D9"/>
          </w:tcPr>
          <w:p w14:paraId="5389EBAC"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2-3</w:t>
            </w:r>
          </w:p>
        </w:tc>
        <w:tc>
          <w:tcPr>
            <w:tcW w:w="2127" w:type="dxa"/>
            <w:shd w:val="clear" w:color="auto" w:fill="D9D9D9" w:themeFill="background1" w:themeFillShade="D9"/>
          </w:tcPr>
          <w:p w14:paraId="5389EBAD"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Intermediate risk</w:t>
            </w:r>
          </w:p>
        </w:tc>
        <w:tc>
          <w:tcPr>
            <w:tcW w:w="1701" w:type="dxa"/>
            <w:shd w:val="clear" w:color="auto" w:fill="D9D9D9" w:themeFill="background1" w:themeFillShade="D9"/>
          </w:tcPr>
          <w:p w14:paraId="5389EBAE"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79,3</w:t>
            </w:r>
          </w:p>
        </w:tc>
        <w:tc>
          <w:tcPr>
            <w:tcW w:w="5019" w:type="dxa"/>
            <w:shd w:val="clear" w:color="auto" w:fill="D9D9D9" w:themeFill="background1" w:themeFillShade="D9"/>
          </w:tcPr>
          <w:p w14:paraId="5389EBAF"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Do not treat except if the disease is really symptomatic</w:t>
            </w:r>
          </w:p>
        </w:tc>
      </w:tr>
      <w:tr w:rsidR="001E1E35" w:rsidRPr="00A1778E" w14:paraId="5389EBB5" w14:textId="77777777" w:rsidTr="00E94E76">
        <w:tc>
          <w:tcPr>
            <w:tcW w:w="675" w:type="dxa"/>
            <w:shd w:val="clear" w:color="auto" w:fill="BFBFBF" w:themeFill="background1" w:themeFillShade="BF"/>
          </w:tcPr>
          <w:p w14:paraId="5389EBB1"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4-6</w:t>
            </w:r>
          </w:p>
        </w:tc>
        <w:tc>
          <w:tcPr>
            <w:tcW w:w="2127" w:type="dxa"/>
            <w:shd w:val="clear" w:color="auto" w:fill="BFBFBF" w:themeFill="background1" w:themeFillShade="BF"/>
          </w:tcPr>
          <w:p w14:paraId="5389EBB2"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High risk</w:t>
            </w:r>
          </w:p>
        </w:tc>
        <w:tc>
          <w:tcPr>
            <w:tcW w:w="1701" w:type="dxa"/>
            <w:shd w:val="clear" w:color="auto" w:fill="BFBFBF" w:themeFill="background1" w:themeFillShade="BF"/>
          </w:tcPr>
          <w:p w14:paraId="5389EBB3"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63,3</w:t>
            </w:r>
          </w:p>
        </w:tc>
        <w:tc>
          <w:tcPr>
            <w:tcW w:w="5019" w:type="dxa"/>
            <w:shd w:val="clear" w:color="auto" w:fill="BFBFBF" w:themeFill="background1" w:themeFillShade="BF"/>
          </w:tcPr>
          <w:p w14:paraId="5389EBB4"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Treatment indicated except if the disease is asymptomatic</w:t>
            </w:r>
          </w:p>
        </w:tc>
      </w:tr>
      <w:tr w:rsidR="001E1E35" w:rsidRPr="00A1778E" w14:paraId="5389EBBA" w14:textId="77777777" w:rsidTr="00E94E76">
        <w:tc>
          <w:tcPr>
            <w:tcW w:w="675" w:type="dxa"/>
            <w:shd w:val="clear" w:color="auto" w:fill="A6A6A6" w:themeFill="background1" w:themeFillShade="A6"/>
          </w:tcPr>
          <w:p w14:paraId="5389EBB6"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7-10</w:t>
            </w:r>
          </w:p>
        </w:tc>
        <w:tc>
          <w:tcPr>
            <w:tcW w:w="2127" w:type="dxa"/>
            <w:shd w:val="clear" w:color="auto" w:fill="A6A6A6" w:themeFill="background1" w:themeFillShade="A6"/>
          </w:tcPr>
          <w:p w14:paraId="5389EBB7"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Very high risk</w:t>
            </w:r>
          </w:p>
        </w:tc>
        <w:tc>
          <w:tcPr>
            <w:tcW w:w="1701" w:type="dxa"/>
            <w:shd w:val="clear" w:color="auto" w:fill="A6A6A6" w:themeFill="background1" w:themeFillShade="A6"/>
          </w:tcPr>
          <w:p w14:paraId="5389EBB8"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23,3</w:t>
            </w:r>
          </w:p>
        </w:tc>
        <w:tc>
          <w:tcPr>
            <w:tcW w:w="5019" w:type="dxa"/>
            <w:shd w:val="clear" w:color="auto" w:fill="A6A6A6" w:themeFill="background1" w:themeFillShade="A6"/>
          </w:tcPr>
          <w:p w14:paraId="5389EBB9" w14:textId="77777777" w:rsidR="003655E2" w:rsidRPr="001E1E35" w:rsidRDefault="003655E2" w:rsidP="000C0C21">
            <w:pPr>
              <w:spacing w:line="276" w:lineRule="auto"/>
              <w:jc w:val="both"/>
              <w:rPr>
                <w:rFonts w:asciiTheme="minorHAnsi" w:hAnsiTheme="minorHAnsi" w:cstheme="minorHAnsi"/>
                <w:noProof/>
                <w:color w:val="000000" w:themeColor="text1"/>
                <w:sz w:val="20"/>
                <w:lang w:val="en-US"/>
              </w:rPr>
            </w:pPr>
            <w:r w:rsidRPr="001E1E35">
              <w:rPr>
                <w:rFonts w:asciiTheme="minorHAnsi" w:hAnsiTheme="minorHAnsi" w:cstheme="minorHAnsi"/>
                <w:noProof/>
                <w:color w:val="000000" w:themeColor="text1"/>
                <w:sz w:val="20"/>
                <w:lang w:val="en-US"/>
              </w:rPr>
              <w:t>If you need to treat, do not use chemotherapy but rather novel agents or treatment in clinical trials</w:t>
            </w:r>
          </w:p>
        </w:tc>
      </w:tr>
    </w:tbl>
    <w:p w14:paraId="5389EBBB" w14:textId="77777777" w:rsidR="003655E2" w:rsidRPr="001E1E35" w:rsidRDefault="003655E2" w:rsidP="000C0C21">
      <w:pPr>
        <w:spacing w:line="276" w:lineRule="auto"/>
        <w:jc w:val="both"/>
        <w:rPr>
          <w:rFonts w:asciiTheme="minorHAnsi" w:hAnsiTheme="minorHAnsi" w:cstheme="minorHAnsi"/>
          <w:b/>
          <w:noProof/>
          <w:color w:val="000000" w:themeColor="text1"/>
          <w:szCs w:val="22"/>
          <w:lang w:val="en-US"/>
        </w:rPr>
      </w:pPr>
    </w:p>
    <w:p w14:paraId="5389EBBC" w14:textId="77777777" w:rsidR="003655E2" w:rsidRPr="001E1E35" w:rsidRDefault="003655E2" w:rsidP="000C0C21">
      <w:pPr>
        <w:spacing w:line="276" w:lineRule="auto"/>
        <w:jc w:val="both"/>
        <w:rPr>
          <w:rFonts w:asciiTheme="minorHAnsi" w:hAnsiTheme="minorHAnsi" w:cstheme="minorHAnsi"/>
          <w:noProof/>
          <w:color w:val="000000" w:themeColor="text1"/>
          <w:sz w:val="18"/>
          <w:szCs w:val="18"/>
          <w:lang w:val="en-US"/>
        </w:rPr>
      </w:pPr>
      <w:r w:rsidRPr="001E1E35">
        <w:rPr>
          <w:rFonts w:asciiTheme="minorHAnsi" w:hAnsiTheme="minorHAnsi" w:cstheme="minorHAnsi"/>
          <w:noProof/>
          <w:color w:val="000000" w:themeColor="text1"/>
          <w:sz w:val="18"/>
          <w:szCs w:val="18"/>
          <w:lang w:val="en-US"/>
        </w:rPr>
        <w:t>The International CLL-IPI working group, Lancet Oncol 2016; 17: 779–90.</w:t>
      </w:r>
    </w:p>
    <w:p w14:paraId="5389EBBD" w14:textId="77777777" w:rsidR="003655E2" w:rsidRPr="001E1E35" w:rsidRDefault="003655E2" w:rsidP="000C0C21">
      <w:pPr>
        <w:spacing w:line="276" w:lineRule="auto"/>
        <w:jc w:val="both"/>
        <w:rPr>
          <w:rFonts w:asciiTheme="minorHAnsi" w:hAnsiTheme="minorHAnsi" w:cstheme="minorHAnsi"/>
          <w:b/>
          <w:noProof/>
          <w:color w:val="000000" w:themeColor="text1"/>
          <w:szCs w:val="22"/>
          <w:lang w:val="en-US"/>
        </w:rPr>
      </w:pPr>
    </w:p>
    <w:p w14:paraId="5389EBBE" w14:textId="66964924" w:rsidR="003655E2" w:rsidRPr="001E1E35" w:rsidRDefault="003655E2" w:rsidP="000C0C21">
      <w:pPr>
        <w:spacing w:line="276" w:lineRule="auto"/>
        <w:jc w:val="both"/>
        <w:rPr>
          <w:rFonts w:asciiTheme="minorHAnsi" w:hAnsiTheme="minorHAnsi" w:cstheme="minorHAnsi"/>
          <w:noProof/>
          <w:color w:val="000000" w:themeColor="text1"/>
          <w:szCs w:val="22"/>
          <w:lang w:val="en-US"/>
        </w:rPr>
      </w:pPr>
      <w:r w:rsidRPr="001E1E35">
        <w:rPr>
          <w:rFonts w:asciiTheme="minorHAnsi" w:hAnsiTheme="minorHAnsi" w:cstheme="minorHAnsi"/>
          <w:noProof/>
          <w:color w:val="000000" w:themeColor="text1"/>
          <w:szCs w:val="22"/>
          <w:lang w:val="en-US"/>
        </w:rPr>
        <w:t xml:space="preserve">QX Calculate: </w:t>
      </w:r>
      <w:hyperlink r:id="rId17" w:history="1">
        <w:r w:rsidRPr="001E1E35">
          <w:rPr>
            <w:rStyle w:val="Hyperlink"/>
            <w:rFonts w:asciiTheme="minorHAnsi" w:hAnsiTheme="minorHAnsi" w:cstheme="minorHAnsi"/>
            <w:noProof/>
            <w:color w:val="000000" w:themeColor="text1"/>
            <w:szCs w:val="22"/>
            <w:lang w:val="en-US"/>
          </w:rPr>
          <w:t>https://www.qxmd.com/apps/calculate-by-qxmd</w:t>
        </w:r>
      </w:hyperlink>
      <w:r w:rsidRPr="001E1E35">
        <w:rPr>
          <w:rFonts w:asciiTheme="minorHAnsi" w:hAnsiTheme="minorHAnsi" w:cstheme="minorHAnsi"/>
          <w:noProof/>
          <w:color w:val="000000" w:themeColor="text1"/>
          <w:szCs w:val="22"/>
          <w:lang w:val="en-US"/>
        </w:rPr>
        <w:t xml:space="preserve"> </w:t>
      </w:r>
    </w:p>
    <w:p w14:paraId="2E80C857" w14:textId="1D92786A" w:rsidR="0037276D" w:rsidRPr="001E1E35" w:rsidRDefault="0037276D" w:rsidP="000C0C21">
      <w:pPr>
        <w:spacing w:line="276" w:lineRule="auto"/>
        <w:jc w:val="both"/>
        <w:rPr>
          <w:rFonts w:asciiTheme="minorHAnsi" w:hAnsiTheme="minorHAnsi" w:cstheme="minorHAnsi"/>
          <w:noProof/>
          <w:color w:val="000000" w:themeColor="text1"/>
          <w:szCs w:val="22"/>
          <w:lang w:val="en-US"/>
        </w:rPr>
      </w:pPr>
    </w:p>
    <w:p w14:paraId="19082328" w14:textId="5FDBD093" w:rsidR="0037276D" w:rsidRPr="001E1E35" w:rsidRDefault="0037276D" w:rsidP="000C0C21">
      <w:pPr>
        <w:spacing w:line="276" w:lineRule="auto"/>
        <w:jc w:val="both"/>
        <w:rPr>
          <w:rFonts w:asciiTheme="minorHAnsi" w:hAnsiTheme="minorHAnsi" w:cstheme="minorHAnsi"/>
          <w:b/>
          <w:noProof/>
          <w:color w:val="000000" w:themeColor="text1"/>
          <w:szCs w:val="22"/>
        </w:rPr>
      </w:pPr>
      <w:r w:rsidRPr="001E1E35">
        <w:rPr>
          <w:rFonts w:asciiTheme="minorHAnsi" w:hAnsiTheme="minorHAnsi" w:cstheme="minorHAnsi"/>
          <w:b/>
          <w:noProof/>
          <w:color w:val="000000" w:themeColor="text1"/>
          <w:szCs w:val="22"/>
        </w:rPr>
        <w:t>Zusätzliche relevante genetische Faktoren (Bestimmung vor Therapieeinleitung):</w:t>
      </w:r>
    </w:p>
    <w:p w14:paraId="3ABA3AA1" w14:textId="3DF45197" w:rsidR="0037276D" w:rsidRPr="001E1E35" w:rsidRDefault="0037276D" w:rsidP="000C0C21">
      <w:pPr>
        <w:spacing w:line="276" w:lineRule="auto"/>
        <w:jc w:val="both"/>
        <w:rPr>
          <w:rFonts w:asciiTheme="minorHAnsi" w:hAnsiTheme="minorHAnsi" w:cstheme="minorHAnsi"/>
          <w:b/>
          <w:noProof/>
          <w:color w:val="000000" w:themeColor="text1"/>
          <w:szCs w:val="22"/>
        </w:rPr>
      </w:pPr>
    </w:p>
    <w:p w14:paraId="2FF9619F" w14:textId="27031FAC" w:rsidR="0037276D" w:rsidRPr="001E1E35" w:rsidRDefault="0037276D" w:rsidP="000C0C21">
      <w:pPr>
        <w:spacing w:line="240" w:lineRule="auto"/>
        <w:jc w:val="both"/>
        <w:rPr>
          <w:rFonts w:asciiTheme="minorHAnsi" w:hAnsiTheme="minorHAnsi" w:cstheme="minorHAnsi"/>
          <w:color w:val="000000" w:themeColor="text1"/>
          <w:szCs w:val="22"/>
          <w:lang w:val="de-DE"/>
        </w:rPr>
      </w:pPr>
      <w:r w:rsidRPr="001E1E35">
        <w:rPr>
          <w:rFonts w:asciiTheme="minorHAnsi" w:hAnsiTheme="minorHAnsi" w:cstheme="minorHAnsi"/>
          <w:color w:val="000000" w:themeColor="text1"/>
          <w:szCs w:val="22"/>
          <w:lang w:val="de-DE"/>
        </w:rPr>
        <w:t xml:space="preserve">Das Vorhandensein eines </w:t>
      </w:r>
      <w:r w:rsidRPr="001E1E35">
        <w:rPr>
          <w:rFonts w:asciiTheme="minorHAnsi" w:hAnsiTheme="minorHAnsi" w:cstheme="minorHAnsi"/>
          <w:b/>
          <w:color w:val="000000" w:themeColor="text1"/>
          <w:szCs w:val="22"/>
          <w:lang w:val="de-DE"/>
        </w:rPr>
        <w:t>komplexen Karyotyps</w:t>
      </w:r>
      <w:r w:rsidRPr="001E1E35">
        <w:rPr>
          <w:rFonts w:asciiTheme="minorHAnsi" w:hAnsiTheme="minorHAnsi" w:cstheme="minorHAnsi"/>
          <w:color w:val="000000" w:themeColor="text1"/>
          <w:szCs w:val="22"/>
          <w:lang w:val="de-DE"/>
        </w:rPr>
        <w:t xml:space="preserve"> (≥3 chromosomale Aberrationen) ist unabhängig vom CLL-IPI mit einem schlechteren Gesamtüberleben assoziiert.</w:t>
      </w:r>
      <w:r w:rsidR="005E59C5" w:rsidRPr="001E1E35">
        <w:rPr>
          <w:rStyle w:val="Funotenzeichen"/>
          <w:rFonts w:asciiTheme="minorHAnsi" w:hAnsiTheme="minorHAnsi" w:cstheme="minorHAnsi"/>
          <w:color w:val="000000" w:themeColor="text1"/>
          <w:szCs w:val="22"/>
          <w:lang w:val="de-DE"/>
        </w:rPr>
        <w:footnoteReference w:id="1"/>
      </w:r>
    </w:p>
    <w:p w14:paraId="3DE2CE58" w14:textId="4112DD09" w:rsidR="005E59C5" w:rsidRPr="001E1E35" w:rsidRDefault="005E59C5" w:rsidP="000C0C21">
      <w:pPr>
        <w:spacing w:line="240" w:lineRule="auto"/>
        <w:jc w:val="both"/>
        <w:rPr>
          <w:rFonts w:asciiTheme="minorHAnsi" w:hAnsiTheme="minorHAnsi" w:cstheme="minorHAnsi"/>
          <w:color w:val="000000" w:themeColor="text1"/>
          <w:szCs w:val="22"/>
          <w:lang w:val="de-DE"/>
        </w:rPr>
      </w:pPr>
    </w:p>
    <w:p w14:paraId="0BB67EA9" w14:textId="4C4183FA" w:rsidR="005E59C5" w:rsidRPr="001E1E35" w:rsidRDefault="005E59C5" w:rsidP="000C0C21">
      <w:pPr>
        <w:spacing w:line="240" w:lineRule="auto"/>
        <w:jc w:val="both"/>
        <w:rPr>
          <w:rFonts w:asciiTheme="minorHAnsi" w:hAnsiTheme="minorHAnsi" w:cstheme="minorHAnsi"/>
          <w:color w:val="000000" w:themeColor="text1"/>
          <w:szCs w:val="22"/>
          <w:lang w:val="de-DE"/>
        </w:rPr>
      </w:pPr>
      <w:r w:rsidRPr="001E1E35">
        <w:rPr>
          <w:rFonts w:asciiTheme="minorHAnsi" w:hAnsiTheme="minorHAnsi" w:cstheme="minorHAnsi"/>
          <w:color w:val="000000" w:themeColor="text1"/>
          <w:szCs w:val="22"/>
          <w:lang w:val="de-DE"/>
        </w:rPr>
        <w:t>Zytogenetisch kennzeichten das Vorhandensein einer Deletion 11q eine Patientengruppe mit schlechterem Gesamtüberleben, therapeutische Konsequenzen werden daraus aktuell nicht abgeleitet.</w:t>
      </w:r>
      <w:r w:rsidRPr="001E1E35">
        <w:rPr>
          <w:rStyle w:val="Funotenzeichen"/>
          <w:rFonts w:asciiTheme="minorHAnsi" w:hAnsiTheme="minorHAnsi" w:cstheme="minorHAnsi"/>
          <w:color w:val="000000" w:themeColor="text1"/>
          <w:szCs w:val="22"/>
          <w:lang w:val="de-DE"/>
        </w:rPr>
        <w:footnoteReference w:id="2"/>
      </w:r>
    </w:p>
    <w:p w14:paraId="0A67F3B2" w14:textId="50FCA916" w:rsidR="0037276D" w:rsidRPr="001E1E35" w:rsidRDefault="0037276D" w:rsidP="000C0C21">
      <w:pPr>
        <w:spacing w:line="240" w:lineRule="auto"/>
        <w:jc w:val="both"/>
        <w:rPr>
          <w:rFonts w:asciiTheme="minorHAnsi" w:hAnsiTheme="minorHAnsi" w:cstheme="minorHAnsi"/>
          <w:color w:val="000000" w:themeColor="text1"/>
          <w:szCs w:val="22"/>
          <w:lang w:val="de-DE"/>
        </w:rPr>
      </w:pPr>
    </w:p>
    <w:p w14:paraId="0BF8B3DD" w14:textId="77777777" w:rsidR="005E59C5" w:rsidRPr="001E1E35" w:rsidRDefault="005E59C5" w:rsidP="000C0C21">
      <w:pPr>
        <w:spacing w:line="240" w:lineRule="auto"/>
        <w:jc w:val="both"/>
        <w:rPr>
          <w:rFonts w:asciiTheme="minorHAnsi" w:hAnsiTheme="minorHAnsi" w:cstheme="minorHAnsi"/>
          <w:b/>
          <w:bCs/>
          <w:i/>
          <w:iCs/>
          <w:color w:val="000000" w:themeColor="text1"/>
          <w:sz w:val="24"/>
          <w:szCs w:val="24"/>
        </w:rPr>
      </w:pPr>
      <w:bookmarkStart w:id="10" w:name="_Toc408380473"/>
      <w:r w:rsidRPr="001E1E35">
        <w:rPr>
          <w:rFonts w:asciiTheme="minorHAnsi" w:hAnsiTheme="minorHAnsi" w:cstheme="minorHAnsi"/>
          <w:color w:val="000000" w:themeColor="text1"/>
        </w:rPr>
        <w:br w:type="page"/>
      </w:r>
    </w:p>
    <w:p w14:paraId="5389EBC0" w14:textId="4F2C746B" w:rsidR="003655E2" w:rsidRPr="00085BDC" w:rsidRDefault="00085BDC" w:rsidP="00085BDC">
      <w:pPr>
        <w:pStyle w:val="berschrift2"/>
        <w:numPr>
          <w:ilvl w:val="0"/>
          <w:numId w:val="0"/>
        </w:numPr>
      </w:pPr>
      <w:bookmarkStart w:id="11" w:name="_Toc66727230"/>
      <w:r>
        <w:lastRenderedPageBreak/>
        <w:t>2.4</w:t>
      </w:r>
      <w:r>
        <w:tab/>
      </w:r>
      <w:r w:rsidR="003655E2" w:rsidRPr="00085BDC">
        <w:t>Klonale B-Zell Lymphozytose</w:t>
      </w:r>
      <w:bookmarkEnd w:id="10"/>
      <w:bookmarkEnd w:id="11"/>
    </w:p>
    <w:p w14:paraId="5389EBC1" w14:textId="77777777" w:rsidR="003655E2" w:rsidRPr="001E1E35" w:rsidRDefault="003655E2" w:rsidP="000C0C21">
      <w:pPr>
        <w:jc w:val="both"/>
        <w:rPr>
          <w:rFonts w:asciiTheme="minorHAnsi" w:hAnsiTheme="minorHAnsi" w:cstheme="minorHAnsi"/>
          <w:color w:val="000000" w:themeColor="text1"/>
          <w:lang w:val="en-US"/>
        </w:rPr>
      </w:pPr>
    </w:p>
    <w:p w14:paraId="5389EBC2" w14:textId="77777777" w:rsidR="003655E2" w:rsidRPr="001E1E35" w:rsidRDefault="003655E2" w:rsidP="000C0C21">
      <w:pPr>
        <w:rPr>
          <w:rFonts w:asciiTheme="minorHAnsi" w:hAnsiTheme="minorHAnsi" w:cstheme="minorHAnsi"/>
          <w:color w:val="000000" w:themeColor="text1"/>
        </w:rPr>
      </w:pPr>
      <w:r w:rsidRPr="001E1E35">
        <w:rPr>
          <w:rFonts w:asciiTheme="minorHAnsi" w:hAnsiTheme="minorHAnsi" w:cstheme="minorHAnsi"/>
          <w:noProof/>
          <w:color w:val="000000" w:themeColor="text1"/>
          <w:lang w:eastAsia="de-AT"/>
        </w:rPr>
        <w:drawing>
          <wp:inline distT="0" distB="0" distL="0" distR="0" wp14:anchorId="5389ECD6" wp14:editId="5389ECD7">
            <wp:extent cx="4585854" cy="2365268"/>
            <wp:effectExtent l="0" t="0" r="571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591123" cy="2367985"/>
                    </a:xfrm>
                    <a:prstGeom prst="rect">
                      <a:avLst/>
                    </a:prstGeom>
                    <a:noFill/>
                    <a:ln w="9525">
                      <a:noFill/>
                      <a:miter lim="800000"/>
                      <a:headEnd/>
                      <a:tailEnd/>
                    </a:ln>
                  </pic:spPr>
                </pic:pic>
              </a:graphicData>
            </a:graphic>
          </wp:inline>
        </w:drawing>
      </w:r>
    </w:p>
    <w:p w14:paraId="5389EBC3" w14:textId="77777777" w:rsidR="003655E2" w:rsidRPr="001E1E35" w:rsidRDefault="003655E2" w:rsidP="000C0C21">
      <w:pPr>
        <w:jc w:val="both"/>
        <w:rPr>
          <w:rFonts w:asciiTheme="minorHAnsi" w:hAnsiTheme="minorHAnsi" w:cstheme="minorHAnsi"/>
          <w:color w:val="000000" w:themeColor="text1"/>
        </w:rPr>
      </w:pPr>
    </w:p>
    <w:p w14:paraId="5389EBC4" w14:textId="275D813A" w:rsidR="003655E2" w:rsidRPr="001E1E35" w:rsidRDefault="00085BDC" w:rsidP="00085BDC">
      <w:pPr>
        <w:pStyle w:val="berschrift2"/>
        <w:numPr>
          <w:ilvl w:val="0"/>
          <w:numId w:val="0"/>
        </w:numPr>
      </w:pPr>
      <w:bookmarkStart w:id="12" w:name="_Toc408380474"/>
      <w:bookmarkStart w:id="13" w:name="_Toc66727231"/>
      <w:r>
        <w:t>2.5</w:t>
      </w:r>
      <w:r>
        <w:tab/>
      </w:r>
      <w:r w:rsidR="003655E2" w:rsidRPr="001E1E35">
        <w:t>Stadieneinteilung nach Binet</w:t>
      </w:r>
      <w:bookmarkEnd w:id="12"/>
      <w:bookmarkEnd w:id="13"/>
    </w:p>
    <w:p w14:paraId="5389EBC5"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98"/>
        <w:gridCol w:w="8268"/>
      </w:tblGrid>
      <w:tr w:rsidR="001E1E35" w:rsidRPr="001E1E35" w14:paraId="5389EBC8" w14:textId="77777777" w:rsidTr="00E94E76">
        <w:tc>
          <w:tcPr>
            <w:tcW w:w="1101" w:type="dxa"/>
            <w:shd w:val="clear" w:color="auto" w:fill="F2F2F2" w:themeFill="background1" w:themeFillShade="F2"/>
          </w:tcPr>
          <w:p w14:paraId="5389EBC6" w14:textId="77777777" w:rsidR="003655E2" w:rsidRPr="001E1E35" w:rsidRDefault="003655E2" w:rsidP="000C0C21">
            <w:pPr>
              <w:pStyle w:val="Textkrper-Einzug2"/>
              <w:spacing w:after="0" w:line="276" w:lineRule="auto"/>
              <w:ind w:left="0"/>
              <w:jc w:val="both"/>
              <w:rPr>
                <w:rFonts w:asciiTheme="minorHAnsi" w:hAnsiTheme="minorHAnsi" w:cstheme="minorHAnsi"/>
                <w:b/>
                <w:color w:val="000000" w:themeColor="text1"/>
                <w:szCs w:val="22"/>
              </w:rPr>
            </w:pPr>
            <w:r w:rsidRPr="001E1E35">
              <w:rPr>
                <w:rFonts w:asciiTheme="minorHAnsi" w:hAnsiTheme="minorHAnsi" w:cstheme="minorHAnsi"/>
                <w:b/>
                <w:color w:val="000000" w:themeColor="text1"/>
                <w:szCs w:val="22"/>
              </w:rPr>
              <w:t>Stadium</w:t>
            </w:r>
          </w:p>
        </w:tc>
        <w:tc>
          <w:tcPr>
            <w:tcW w:w="8421" w:type="dxa"/>
            <w:shd w:val="clear" w:color="auto" w:fill="F2F2F2" w:themeFill="background1" w:themeFillShade="F2"/>
          </w:tcPr>
          <w:p w14:paraId="5389EBC7" w14:textId="77777777" w:rsidR="003655E2" w:rsidRPr="001E1E35" w:rsidRDefault="003655E2" w:rsidP="000C0C21">
            <w:pPr>
              <w:pStyle w:val="Textkrper-Einzug2"/>
              <w:spacing w:after="0" w:line="276" w:lineRule="auto"/>
              <w:ind w:left="0"/>
              <w:jc w:val="both"/>
              <w:rPr>
                <w:rFonts w:asciiTheme="minorHAnsi" w:hAnsiTheme="minorHAnsi" w:cstheme="minorHAnsi"/>
                <w:b/>
                <w:color w:val="000000" w:themeColor="text1"/>
                <w:szCs w:val="22"/>
              </w:rPr>
            </w:pPr>
            <w:r w:rsidRPr="001E1E35">
              <w:rPr>
                <w:rFonts w:asciiTheme="minorHAnsi" w:hAnsiTheme="minorHAnsi" w:cstheme="minorHAnsi"/>
                <w:b/>
                <w:color w:val="000000" w:themeColor="text1"/>
                <w:szCs w:val="22"/>
              </w:rPr>
              <w:t>Definition</w:t>
            </w:r>
          </w:p>
        </w:tc>
      </w:tr>
      <w:tr w:rsidR="001E1E35" w:rsidRPr="001E1E35" w14:paraId="5389EBCD" w14:textId="77777777" w:rsidTr="00E94E76">
        <w:tc>
          <w:tcPr>
            <w:tcW w:w="1101" w:type="dxa"/>
            <w:shd w:val="clear" w:color="auto" w:fill="DDD9C3" w:themeFill="background2" w:themeFillShade="E6"/>
            <w:vAlign w:val="center"/>
          </w:tcPr>
          <w:p w14:paraId="5389EBC9" w14:textId="77777777" w:rsidR="003655E2" w:rsidRPr="001E1E35" w:rsidRDefault="003655E2" w:rsidP="000C0C21">
            <w:pPr>
              <w:pStyle w:val="Textkrper-Einzug2"/>
              <w:spacing w:after="0" w:line="276" w:lineRule="auto"/>
              <w:ind w:left="0"/>
              <w:jc w:val="both"/>
              <w:rPr>
                <w:rFonts w:asciiTheme="minorHAnsi" w:hAnsiTheme="minorHAnsi" w:cstheme="minorHAnsi"/>
                <w:b/>
                <w:color w:val="000000" w:themeColor="text1"/>
                <w:szCs w:val="22"/>
              </w:rPr>
            </w:pPr>
            <w:r w:rsidRPr="001E1E35">
              <w:rPr>
                <w:rFonts w:asciiTheme="minorHAnsi" w:hAnsiTheme="minorHAnsi" w:cstheme="minorHAnsi"/>
                <w:b/>
                <w:color w:val="000000" w:themeColor="text1"/>
                <w:szCs w:val="22"/>
              </w:rPr>
              <w:t>A</w:t>
            </w:r>
          </w:p>
        </w:tc>
        <w:tc>
          <w:tcPr>
            <w:tcW w:w="8421" w:type="dxa"/>
            <w:shd w:val="clear" w:color="auto" w:fill="DDD9C3" w:themeFill="background2" w:themeFillShade="E6"/>
            <w:vAlign w:val="center"/>
          </w:tcPr>
          <w:p w14:paraId="5389EBCA"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Hämoglobin ≥ 10 g/dl</w:t>
            </w:r>
          </w:p>
          <w:p w14:paraId="5389EBCB"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Thrombozyten ≥ 100.000 / µl</w:t>
            </w:r>
          </w:p>
          <w:p w14:paraId="5389EBCC"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&lt; 3 betroffene Regionen </w:t>
            </w:r>
            <w:r w:rsidRPr="001E1E35">
              <w:rPr>
                <w:rFonts w:asciiTheme="minorHAnsi" w:hAnsiTheme="minorHAnsi" w:cstheme="minorHAnsi"/>
                <w:color w:val="000000" w:themeColor="text1"/>
                <w:szCs w:val="22"/>
                <w:vertAlign w:val="superscript"/>
              </w:rPr>
              <w:t>2</w:t>
            </w:r>
            <w:r w:rsidRPr="001E1E35">
              <w:rPr>
                <w:rFonts w:asciiTheme="minorHAnsi" w:hAnsiTheme="minorHAnsi" w:cstheme="minorHAnsi"/>
                <w:color w:val="000000" w:themeColor="text1"/>
                <w:szCs w:val="22"/>
              </w:rPr>
              <w:t xml:space="preserve"> (LK </w:t>
            </w:r>
            <w:r w:rsidRPr="001E1E35">
              <w:rPr>
                <w:rFonts w:asciiTheme="minorHAnsi" w:hAnsiTheme="minorHAnsi" w:cstheme="minorHAnsi"/>
                <w:color w:val="000000" w:themeColor="text1"/>
                <w:szCs w:val="22"/>
                <w:vertAlign w:val="superscript"/>
              </w:rPr>
              <w:t>1</w:t>
            </w:r>
            <w:r w:rsidRPr="001E1E35">
              <w:rPr>
                <w:rFonts w:asciiTheme="minorHAnsi" w:hAnsiTheme="minorHAnsi" w:cstheme="minorHAnsi"/>
                <w:color w:val="000000" w:themeColor="text1"/>
                <w:szCs w:val="22"/>
              </w:rPr>
              <w:t>, Leber oder Milz)</w:t>
            </w:r>
          </w:p>
        </w:tc>
      </w:tr>
      <w:tr w:rsidR="001E1E35" w:rsidRPr="001E1E35" w14:paraId="5389EBD2" w14:textId="77777777" w:rsidTr="00E94E76">
        <w:tc>
          <w:tcPr>
            <w:tcW w:w="1101" w:type="dxa"/>
            <w:shd w:val="clear" w:color="auto" w:fill="C4BC96" w:themeFill="background2" w:themeFillShade="BF"/>
            <w:vAlign w:val="center"/>
          </w:tcPr>
          <w:p w14:paraId="5389EBCE" w14:textId="77777777" w:rsidR="003655E2" w:rsidRPr="001E1E35" w:rsidRDefault="003655E2" w:rsidP="000C0C21">
            <w:pPr>
              <w:pStyle w:val="Textkrper-Einzug2"/>
              <w:spacing w:after="0" w:line="276" w:lineRule="auto"/>
              <w:ind w:left="0"/>
              <w:jc w:val="both"/>
              <w:rPr>
                <w:rFonts w:asciiTheme="minorHAnsi" w:hAnsiTheme="minorHAnsi" w:cstheme="minorHAnsi"/>
                <w:b/>
                <w:color w:val="000000" w:themeColor="text1"/>
                <w:szCs w:val="22"/>
              </w:rPr>
            </w:pPr>
            <w:r w:rsidRPr="001E1E35">
              <w:rPr>
                <w:rFonts w:asciiTheme="minorHAnsi" w:hAnsiTheme="minorHAnsi" w:cstheme="minorHAnsi"/>
                <w:b/>
                <w:color w:val="000000" w:themeColor="text1"/>
                <w:szCs w:val="22"/>
              </w:rPr>
              <w:t>B</w:t>
            </w:r>
          </w:p>
        </w:tc>
        <w:tc>
          <w:tcPr>
            <w:tcW w:w="8421" w:type="dxa"/>
            <w:shd w:val="clear" w:color="auto" w:fill="C4BC96" w:themeFill="background2" w:themeFillShade="BF"/>
            <w:vAlign w:val="center"/>
          </w:tcPr>
          <w:p w14:paraId="5389EBCF"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Hämoglobin ≥ 10 g/dl</w:t>
            </w:r>
          </w:p>
          <w:p w14:paraId="5389EBD0"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Thrombozyten ≥ 100.000 / µl</w:t>
            </w:r>
          </w:p>
          <w:p w14:paraId="5389EBD1"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 3 betroffene Regionen </w:t>
            </w:r>
            <w:r w:rsidRPr="001E1E35">
              <w:rPr>
                <w:rFonts w:asciiTheme="minorHAnsi" w:hAnsiTheme="minorHAnsi" w:cstheme="minorHAnsi"/>
                <w:color w:val="000000" w:themeColor="text1"/>
                <w:szCs w:val="22"/>
                <w:vertAlign w:val="superscript"/>
              </w:rPr>
              <w:t>2</w:t>
            </w:r>
            <w:r w:rsidRPr="001E1E35">
              <w:rPr>
                <w:rFonts w:asciiTheme="minorHAnsi" w:hAnsiTheme="minorHAnsi" w:cstheme="minorHAnsi"/>
                <w:color w:val="000000" w:themeColor="text1"/>
                <w:szCs w:val="22"/>
              </w:rPr>
              <w:t xml:space="preserve"> (LK </w:t>
            </w:r>
            <w:r w:rsidRPr="001E1E35">
              <w:rPr>
                <w:rFonts w:asciiTheme="minorHAnsi" w:hAnsiTheme="minorHAnsi" w:cstheme="minorHAnsi"/>
                <w:color w:val="000000" w:themeColor="text1"/>
                <w:szCs w:val="22"/>
                <w:vertAlign w:val="superscript"/>
              </w:rPr>
              <w:t>1</w:t>
            </w:r>
            <w:r w:rsidRPr="001E1E35">
              <w:rPr>
                <w:rFonts w:asciiTheme="minorHAnsi" w:hAnsiTheme="minorHAnsi" w:cstheme="minorHAnsi"/>
                <w:color w:val="000000" w:themeColor="text1"/>
                <w:szCs w:val="22"/>
              </w:rPr>
              <w:t>, Leber oder Milz)</w:t>
            </w:r>
          </w:p>
        </w:tc>
      </w:tr>
      <w:tr w:rsidR="001E1E35" w:rsidRPr="001E1E35" w14:paraId="5389EBD6" w14:textId="77777777" w:rsidTr="00E94E76">
        <w:trPr>
          <w:trHeight w:val="982"/>
        </w:trPr>
        <w:tc>
          <w:tcPr>
            <w:tcW w:w="1101" w:type="dxa"/>
            <w:shd w:val="clear" w:color="auto" w:fill="948A54" w:themeFill="background2" w:themeFillShade="80"/>
            <w:vAlign w:val="center"/>
          </w:tcPr>
          <w:p w14:paraId="5389EBD3" w14:textId="77777777" w:rsidR="003655E2" w:rsidRPr="001E1E35" w:rsidRDefault="003655E2" w:rsidP="000C0C21">
            <w:pPr>
              <w:pStyle w:val="Textkrper-Einzug2"/>
              <w:spacing w:after="0" w:line="276" w:lineRule="auto"/>
              <w:ind w:left="0"/>
              <w:jc w:val="both"/>
              <w:rPr>
                <w:rFonts w:asciiTheme="minorHAnsi" w:hAnsiTheme="minorHAnsi" w:cstheme="minorHAnsi"/>
                <w:b/>
                <w:color w:val="000000" w:themeColor="text1"/>
                <w:szCs w:val="22"/>
              </w:rPr>
            </w:pPr>
            <w:r w:rsidRPr="001E1E35">
              <w:rPr>
                <w:rFonts w:asciiTheme="minorHAnsi" w:hAnsiTheme="minorHAnsi" w:cstheme="minorHAnsi"/>
                <w:b/>
                <w:color w:val="000000" w:themeColor="text1"/>
                <w:szCs w:val="22"/>
              </w:rPr>
              <w:t>C</w:t>
            </w:r>
          </w:p>
        </w:tc>
        <w:tc>
          <w:tcPr>
            <w:tcW w:w="8421" w:type="dxa"/>
            <w:shd w:val="clear" w:color="auto" w:fill="948A54" w:themeFill="background2" w:themeFillShade="80"/>
            <w:vAlign w:val="center"/>
          </w:tcPr>
          <w:p w14:paraId="5389EBD4"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Hämoglobin &lt; 10 g/dl</w:t>
            </w:r>
          </w:p>
          <w:p w14:paraId="5389EBD5"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Thrombozyten &lt; 100.000 / µl</w:t>
            </w:r>
          </w:p>
        </w:tc>
      </w:tr>
    </w:tbl>
    <w:p w14:paraId="5389EBD7"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Cs w:val="22"/>
        </w:rPr>
      </w:pPr>
    </w:p>
    <w:p w14:paraId="5389EBD8"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 w:val="18"/>
          <w:szCs w:val="18"/>
        </w:rPr>
      </w:pPr>
      <w:r w:rsidRPr="001E1E35">
        <w:rPr>
          <w:rFonts w:asciiTheme="minorHAnsi" w:hAnsiTheme="minorHAnsi" w:cstheme="minorHAnsi"/>
          <w:color w:val="000000" w:themeColor="text1"/>
          <w:sz w:val="18"/>
          <w:szCs w:val="18"/>
          <w:vertAlign w:val="superscript"/>
        </w:rPr>
        <w:t>1, 2</w:t>
      </w:r>
      <w:r w:rsidRPr="001E1E35">
        <w:rPr>
          <w:rFonts w:asciiTheme="minorHAnsi" w:hAnsiTheme="minorHAnsi" w:cstheme="minorHAnsi"/>
          <w:color w:val="000000" w:themeColor="text1"/>
          <w:sz w:val="18"/>
          <w:szCs w:val="18"/>
        </w:rPr>
        <w:t xml:space="preserve"> Die Beurteilung der Regionen erfolgt klinisch und definiert die Beteiligung der cervikalen, axilliären, inguinalen LK, Leber und/oder Milz. </w:t>
      </w:r>
    </w:p>
    <w:p w14:paraId="5389EBD9" w14:textId="77777777" w:rsidR="003655E2" w:rsidRPr="001E1E35" w:rsidRDefault="003655E2" w:rsidP="000C0C21">
      <w:pPr>
        <w:pStyle w:val="Textkrper-Einzug2"/>
        <w:spacing w:after="0" w:line="276" w:lineRule="auto"/>
        <w:ind w:left="0"/>
        <w:jc w:val="both"/>
        <w:rPr>
          <w:rFonts w:asciiTheme="minorHAnsi" w:hAnsiTheme="minorHAnsi" w:cstheme="minorHAnsi"/>
          <w:color w:val="000000" w:themeColor="text1"/>
          <w:sz w:val="18"/>
          <w:szCs w:val="18"/>
        </w:rPr>
      </w:pPr>
    </w:p>
    <w:p w14:paraId="5389EBDA" w14:textId="5048A220" w:rsidR="003655E2" w:rsidRDefault="003655E2" w:rsidP="000C0C21">
      <w:pPr>
        <w:pStyle w:val="Textkrper-Einzug2"/>
        <w:spacing w:after="0" w:line="276" w:lineRule="auto"/>
        <w:ind w:left="0"/>
        <w:jc w:val="both"/>
        <w:rPr>
          <w:rFonts w:asciiTheme="minorHAnsi" w:hAnsiTheme="minorHAnsi" w:cstheme="minorHAnsi"/>
          <w:color w:val="000000" w:themeColor="text1"/>
          <w:sz w:val="18"/>
          <w:szCs w:val="18"/>
        </w:rPr>
      </w:pPr>
    </w:p>
    <w:p w14:paraId="0D807B1F" w14:textId="758783A2"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6AD1D835" w14:textId="6A96FEE2"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3DBD1DB6" w14:textId="2FDBE5E5"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220F4362" w14:textId="241FDF91"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75D089F3" w14:textId="18915921"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1B14FCA4" w14:textId="16823E0A"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1D92B30B" w14:textId="665E6833"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4ED05BF2" w14:textId="7F48DCE2"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294ED518" w14:textId="331CE14F"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75FC5A48" w14:textId="7C4FBBFF"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19EC1582" w14:textId="212E4456" w:rsidR="00085BDC"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07005117" w14:textId="77777777" w:rsidR="00085BDC" w:rsidRPr="001E1E35" w:rsidRDefault="00085BDC" w:rsidP="000C0C21">
      <w:pPr>
        <w:pStyle w:val="Textkrper-Einzug2"/>
        <w:spacing w:after="0" w:line="276" w:lineRule="auto"/>
        <w:ind w:left="0"/>
        <w:jc w:val="both"/>
        <w:rPr>
          <w:rFonts w:asciiTheme="minorHAnsi" w:hAnsiTheme="minorHAnsi" w:cstheme="minorHAnsi"/>
          <w:color w:val="000000" w:themeColor="text1"/>
          <w:sz w:val="18"/>
          <w:szCs w:val="18"/>
        </w:rPr>
      </w:pPr>
    </w:p>
    <w:p w14:paraId="5389EBF9" w14:textId="0F28C322" w:rsidR="003655E2" w:rsidRPr="001E1E35" w:rsidRDefault="003655E2" w:rsidP="00085BDC">
      <w:pPr>
        <w:pStyle w:val="berschrift1"/>
        <w:numPr>
          <w:ilvl w:val="0"/>
          <w:numId w:val="11"/>
        </w:numPr>
        <w:ind w:hanging="720"/>
        <w:jc w:val="both"/>
        <w:rPr>
          <w:rFonts w:cstheme="minorHAnsi"/>
          <w:color w:val="000000" w:themeColor="text1"/>
        </w:rPr>
      </w:pPr>
      <w:bookmarkStart w:id="14" w:name="_Toc408380475"/>
      <w:bookmarkStart w:id="15" w:name="_Toc66727232"/>
      <w:bookmarkStart w:id="16" w:name="_Toc367183617"/>
      <w:bookmarkStart w:id="17" w:name="_Toc367183855"/>
      <w:r w:rsidRPr="001E1E35">
        <w:rPr>
          <w:rFonts w:cstheme="minorHAnsi"/>
          <w:color w:val="000000" w:themeColor="text1"/>
        </w:rPr>
        <w:lastRenderedPageBreak/>
        <w:t>Behandlungsplan</w:t>
      </w:r>
      <w:bookmarkEnd w:id="14"/>
      <w:bookmarkEnd w:id="15"/>
      <w:r w:rsidRPr="001E1E35">
        <w:rPr>
          <w:rFonts w:cstheme="minorHAnsi"/>
          <w:color w:val="000000" w:themeColor="text1"/>
        </w:rPr>
        <w:t xml:space="preserve"> </w:t>
      </w:r>
      <w:bookmarkEnd w:id="16"/>
      <w:bookmarkEnd w:id="17"/>
    </w:p>
    <w:p w14:paraId="37474161" w14:textId="56F1CAA5" w:rsidR="00394EC6" w:rsidRPr="001E1E35" w:rsidRDefault="00394EC6" w:rsidP="000C0C21">
      <w:pPr>
        <w:jc w:val="both"/>
        <w:rPr>
          <w:rFonts w:asciiTheme="minorHAnsi" w:hAnsiTheme="minorHAnsi" w:cstheme="minorHAnsi"/>
          <w:color w:val="000000" w:themeColor="text1"/>
          <w:sz w:val="8"/>
          <w:szCs w:val="8"/>
        </w:rPr>
      </w:pPr>
    </w:p>
    <w:p w14:paraId="3F9A0A68" w14:textId="77777777" w:rsidR="00672A00" w:rsidRPr="001E1E35" w:rsidRDefault="00672A00"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Das Behandlungsziel bei Patienten mit CLL bestimmt die Therapieintensität und Therapiedauer. Für „go-go“-Patienten sollte in der Regel zumindest eine partielle Remission erreicht werden, für „slow-go“ Patienten Symptomfreiheit und Krankheitsstabilisierung.</w:t>
      </w:r>
    </w:p>
    <w:p w14:paraId="4B91BA95" w14:textId="77777777" w:rsidR="00672A00" w:rsidRPr="001E1E35" w:rsidRDefault="00672A00"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Ebenso hängt das Therapieziel von der Art der Therapie ab, da bei BTK-Inhibitor-Therapie im Vergleich zu Immunochemotherapie oder BCL2-Inhibitor-Therapie weniger tiefe Remissionen erreicht werden, bei jedoch trotzdem langanhaltenden Remissionen. </w:t>
      </w:r>
    </w:p>
    <w:p w14:paraId="59BF3FF7" w14:textId="30AFB69A" w:rsidR="00672A00" w:rsidRPr="001E1E35" w:rsidRDefault="00672A00"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Residuelle Lymphknotenvergrößerungen sind nicht mit fehlendem Ansprechen gleichzusetzen, da auch Patienten mit residuellen LK-Vergrößerungen tiefe Remissionen inkl. MRD-Negativität erreichen können und in solch einem Fall auch ähnlich lang anhaltende Remissionen zu erwarten sind.</w:t>
      </w:r>
    </w:p>
    <w:p w14:paraId="1905DCBF" w14:textId="77777777" w:rsidR="00672A00" w:rsidRPr="001E1E35" w:rsidRDefault="00672A00"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Bei WBC &gt; 70 G/L sollte eine vorsichtig einschleichende Therapie in Erwägung gezogen werden (z.B. bei Chemoimmunotherapie mit R-Bendamustin Rituximab erst ab Zyklus 2); Bei Hämolyse sollten keine Purinanaloga zum Einsatz kommen; MOABs (insb. Alemtuzumab) sind bei bulky disease reduziert wirksam. </w:t>
      </w:r>
    </w:p>
    <w:p w14:paraId="10F24216" w14:textId="77777777" w:rsidR="00672A00" w:rsidRPr="001E1E35" w:rsidRDefault="00672A00" w:rsidP="000C0C21">
      <w:pPr>
        <w:pStyle w:val="Textkrper-Einzug2"/>
        <w:spacing w:after="0" w:line="276" w:lineRule="auto"/>
        <w:ind w:left="0"/>
        <w:jc w:val="both"/>
        <w:rPr>
          <w:rFonts w:asciiTheme="minorHAnsi" w:hAnsiTheme="minorHAnsi" w:cstheme="minorHAnsi"/>
          <w:color w:val="000000" w:themeColor="text1"/>
          <w:szCs w:val="22"/>
        </w:rPr>
      </w:pPr>
    </w:p>
    <w:p w14:paraId="554204FB" w14:textId="77777777" w:rsidR="00394EC6" w:rsidRPr="001E1E35" w:rsidRDefault="00394EC6"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Falls eine Therapieindikation bei CLL besteht wird in den meisten Fällen eine zielgerichtete Therapie (BTK Inhibitor +/- CD-12-Antikörper oder Venetoclax + Obinutuzumab) empfohlen, wobei in Ausnahmefällen bei gutem Risikoprofil auch die Kombination aus CD-20-Antikörper + Chemotherapie als Option gelten darf.</w:t>
      </w:r>
    </w:p>
    <w:p w14:paraId="60C5EB9F" w14:textId="77777777" w:rsidR="00394EC6" w:rsidRPr="001E1E35" w:rsidRDefault="00394EC6"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Die Auswahl der Erstlinientherapie soll anhand des Risikoprofils, der Komorbiditäten sowie der Patientenpräferenz (Dauertherapie vs. begrenzte Therapie mit initial häufigeren Krankenhausaufenthalten) erfolgen.</w:t>
      </w:r>
    </w:p>
    <w:p w14:paraId="23ED15D2" w14:textId="77777777" w:rsidR="00394EC6" w:rsidRDefault="00394EC6"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Die Entscheidung ob eine BTK-Inhibitor-Therapie oder eine Therapie mit Venetoclax + CD-20-Antikörper begonnen wird soll neben der unterschiedlichen Verabreichungsmodalitäten und Therapiedauer vor allem auch anhand des potentiellen Nebenwirkungsspektrums erfolgen. Hierbei können vor allem das kardiovaskuläre Risikoprofil sowie die Notwendigkeit einer dauerhaften Antikoagulation gegen den Einsatz eines BTK-Inhibitors sprechen.</w:t>
      </w:r>
    </w:p>
    <w:p w14:paraId="359BBEE0" w14:textId="77777777" w:rsidR="00235318" w:rsidRDefault="00235318" w:rsidP="000C0C21">
      <w:pPr>
        <w:pStyle w:val="Textkrper-Einzug2"/>
        <w:spacing w:after="0" w:line="276" w:lineRule="auto"/>
        <w:ind w:left="0"/>
        <w:jc w:val="both"/>
        <w:rPr>
          <w:rFonts w:asciiTheme="minorHAnsi" w:hAnsiTheme="minorHAnsi" w:cstheme="minorHAnsi"/>
          <w:color w:val="000000" w:themeColor="text1"/>
          <w:szCs w:val="22"/>
        </w:rPr>
      </w:pPr>
    </w:p>
    <w:p w14:paraId="32F6617B" w14:textId="310677D0" w:rsidR="00235318" w:rsidRPr="001E1E35" w:rsidRDefault="00235318" w:rsidP="000C0C21">
      <w:pPr>
        <w:pStyle w:val="Textkrper-Einzug2"/>
        <w:spacing w:after="0" w:line="276" w:lineRule="auto"/>
        <w:ind w:left="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COVID-19:</w:t>
      </w:r>
    </w:p>
    <w:p w14:paraId="596AD1B5" w14:textId="77777777" w:rsidR="00394EC6" w:rsidRDefault="00394EC6"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Im Rahmen der aktuellen COVID-19 Pandemie sollte der Einsatz von CD-20 Antikörpern nur unter strenger Nutzen-Risiko-Abwägung erfolgen, da unter einer solchen Therapie die Wahrscheinlichkeit für schwere Verläufe erhöht sein dürfte.</w:t>
      </w:r>
    </w:p>
    <w:p w14:paraId="6BFC01BA" w14:textId="1ED6E855" w:rsidR="00235318" w:rsidRPr="001E1E35" w:rsidRDefault="00235318" w:rsidP="000C0C21">
      <w:pPr>
        <w:pStyle w:val="Textkrper-Einzug2"/>
        <w:spacing w:after="0" w:line="276" w:lineRule="auto"/>
        <w:ind w:left="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Eine COVID-19 Impfung sollte bei </w:t>
      </w:r>
      <w:r w:rsidRPr="00235318">
        <w:rPr>
          <w:rFonts w:asciiTheme="minorHAnsi" w:hAnsiTheme="minorHAnsi" w:cstheme="minorHAnsi"/>
          <w:b/>
          <w:color w:val="000000" w:themeColor="text1"/>
          <w:szCs w:val="22"/>
        </w:rPr>
        <w:t>allen Patienten mit CLL</w:t>
      </w:r>
      <w:r>
        <w:rPr>
          <w:rFonts w:asciiTheme="minorHAnsi" w:hAnsiTheme="minorHAnsi" w:cstheme="minorHAnsi"/>
          <w:color w:val="000000" w:themeColor="text1"/>
          <w:szCs w:val="22"/>
        </w:rPr>
        <w:t xml:space="preserve"> unabhängig von der Therapieindikation so früh als möglich erfolgen, in jedem Fall aber vor Beginn einer Therapie.</w:t>
      </w:r>
    </w:p>
    <w:p w14:paraId="27847E82" w14:textId="3765E485" w:rsidR="009C41D2" w:rsidRPr="001E1E35" w:rsidRDefault="00394EC6" w:rsidP="000C0C21">
      <w:pPr>
        <w:pStyle w:val="Textkrper-Einzug2"/>
        <w:spacing w:after="0" w:line="276" w:lineRule="auto"/>
        <w:ind w:left="0"/>
        <w:jc w:val="both"/>
        <w:rPr>
          <w:rFonts w:asciiTheme="minorHAnsi" w:hAnsiTheme="minorHAnsi" w:cstheme="minorHAnsi"/>
          <w:color w:val="000000" w:themeColor="text1"/>
          <w:szCs w:val="22"/>
          <w:vertAlign w:val="superscript"/>
        </w:rPr>
      </w:pPr>
      <w:r w:rsidRPr="001E1E35">
        <w:rPr>
          <w:rFonts w:asciiTheme="minorHAnsi" w:hAnsiTheme="minorHAnsi" w:cstheme="minorHAnsi"/>
          <w:color w:val="000000" w:themeColor="text1"/>
          <w:szCs w:val="22"/>
        </w:rPr>
        <w:t>Die Effektivität von COVID-19 Vakzinen könnte sowohl unter BTK-Inhibitor-Therapie als auch unter anti-CD-20-Therapie potentiell vermindert sein.</w:t>
      </w:r>
      <w:r w:rsidR="005E59C5" w:rsidRPr="001E1E35">
        <w:rPr>
          <w:rStyle w:val="Funotenzeichen"/>
          <w:rFonts w:asciiTheme="minorHAnsi" w:hAnsiTheme="minorHAnsi" w:cstheme="minorHAnsi"/>
          <w:color w:val="000000" w:themeColor="text1"/>
          <w:szCs w:val="22"/>
        </w:rPr>
        <w:footnoteReference w:id="3"/>
      </w:r>
      <w:r w:rsidR="005E59C5" w:rsidRPr="001E1E35">
        <w:rPr>
          <w:rFonts w:asciiTheme="minorHAnsi" w:hAnsiTheme="minorHAnsi" w:cstheme="minorHAnsi"/>
          <w:color w:val="000000" w:themeColor="text1"/>
          <w:szCs w:val="22"/>
          <w:vertAlign w:val="superscript"/>
        </w:rPr>
        <w:t>,</w:t>
      </w:r>
      <w:r w:rsidR="005E59C5" w:rsidRPr="001E1E35">
        <w:rPr>
          <w:rStyle w:val="Funotenzeichen"/>
          <w:rFonts w:asciiTheme="minorHAnsi" w:hAnsiTheme="minorHAnsi" w:cstheme="minorHAnsi"/>
          <w:color w:val="000000" w:themeColor="text1"/>
          <w:szCs w:val="22"/>
        </w:rPr>
        <w:footnoteReference w:id="4"/>
      </w:r>
      <w:r w:rsidR="005E59C5" w:rsidRPr="001E1E35">
        <w:rPr>
          <w:rFonts w:asciiTheme="minorHAnsi" w:hAnsiTheme="minorHAnsi" w:cstheme="minorHAnsi"/>
          <w:color w:val="000000" w:themeColor="text1"/>
          <w:szCs w:val="22"/>
          <w:vertAlign w:val="superscript"/>
        </w:rPr>
        <w:t>,</w:t>
      </w:r>
      <w:r w:rsidR="005E59C5" w:rsidRPr="001E1E35">
        <w:rPr>
          <w:rStyle w:val="Funotenzeichen"/>
          <w:rFonts w:asciiTheme="minorHAnsi" w:hAnsiTheme="minorHAnsi" w:cstheme="minorHAnsi"/>
          <w:color w:val="000000" w:themeColor="text1"/>
          <w:szCs w:val="22"/>
        </w:rPr>
        <w:footnoteReference w:id="5"/>
      </w:r>
      <w:bookmarkStart w:id="18" w:name="_Toc408380477"/>
    </w:p>
    <w:p w14:paraId="2450A6A0" w14:textId="664FF252" w:rsidR="009C41D2" w:rsidRPr="001E1E35" w:rsidRDefault="009C41D2" w:rsidP="00085BDC">
      <w:bookmarkStart w:id="19" w:name="_Toc408380476"/>
    </w:p>
    <w:p w14:paraId="524CC5E0" w14:textId="77777777" w:rsidR="009C41D2" w:rsidRPr="001E1E35" w:rsidRDefault="009C41D2" w:rsidP="00085BDC">
      <w:pPr>
        <w:rPr>
          <w:rFonts w:asciiTheme="minorHAnsi" w:hAnsiTheme="minorHAnsi" w:cstheme="minorHAnsi"/>
          <w:b/>
          <w:bCs/>
          <w:i/>
          <w:iCs/>
          <w:color w:val="000000" w:themeColor="text1"/>
          <w:sz w:val="24"/>
          <w:szCs w:val="24"/>
        </w:rPr>
      </w:pPr>
      <w:r w:rsidRPr="001E1E35">
        <w:rPr>
          <w:rFonts w:asciiTheme="minorHAnsi" w:hAnsiTheme="minorHAnsi" w:cstheme="minorHAnsi"/>
          <w:color w:val="000000" w:themeColor="text1"/>
        </w:rPr>
        <w:br w:type="page"/>
      </w:r>
    </w:p>
    <w:p w14:paraId="31D12EFE" w14:textId="6900BB17" w:rsidR="00F3386D" w:rsidRPr="001E1E35" w:rsidRDefault="009C41D2" w:rsidP="00085BDC">
      <w:pPr>
        <w:pStyle w:val="berschrift2"/>
        <w:numPr>
          <w:ilvl w:val="1"/>
          <w:numId w:val="11"/>
        </w:numPr>
        <w:ind w:hanging="720"/>
      </w:pPr>
      <w:bookmarkStart w:id="20" w:name="_Toc66727233"/>
      <w:r w:rsidRPr="001E1E35">
        <w:lastRenderedPageBreak/>
        <w:t>Erstlinientherapie</w:t>
      </w:r>
      <w:bookmarkEnd w:id="19"/>
      <w:bookmarkEnd w:id="20"/>
    </w:p>
    <w:p w14:paraId="19D4736E" w14:textId="2AB1E04D" w:rsidR="002E73AE" w:rsidRPr="001E1E35" w:rsidRDefault="002E73AE" w:rsidP="000C0C21">
      <w:pPr>
        <w:spacing w:line="240" w:lineRule="auto"/>
        <w:jc w:val="both"/>
        <w:rPr>
          <w:rFonts w:asciiTheme="minorHAnsi" w:hAnsiTheme="minorHAnsi" w:cstheme="minorHAnsi"/>
          <w:color w:val="000000" w:themeColor="text1"/>
        </w:rPr>
      </w:pPr>
    </w:p>
    <w:p w14:paraId="0EF98283" w14:textId="04F6A937" w:rsidR="001573C3" w:rsidRPr="001E1E35" w:rsidRDefault="00A1778E" w:rsidP="000C0C21">
      <w:pPr>
        <w:spacing w:line="240" w:lineRule="auto"/>
        <w:jc w:val="both"/>
        <w:rPr>
          <w:rFonts w:asciiTheme="minorHAnsi" w:hAnsiTheme="minorHAnsi" w:cstheme="minorHAnsi"/>
          <w:color w:val="000000" w:themeColor="text1"/>
        </w:rPr>
      </w:pPr>
      <w:r>
        <w:rPr>
          <w:rFonts w:asciiTheme="minorHAnsi" w:hAnsiTheme="minorHAnsi" w:cstheme="minorHAnsi"/>
          <w:noProof/>
          <w:color w:val="000000" w:themeColor="text1"/>
        </w:rPr>
        <w:object w:dxaOrig="1440" w:dyaOrig="1440" w14:anchorId="653F3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4pt;margin-top:5.2pt;width:408.3pt;height:642.15pt;z-index:251659776;mso-position-horizontal-relative:text;mso-position-vertical-relative:text">
            <v:imagedata r:id="rId19" o:title=""/>
            <w10:wrap type="square"/>
          </v:shape>
          <o:OLEObject Type="Embed" ProgID="Visio.Drawing.15" ShapeID="_x0000_s1027" DrawAspect="Content" ObjectID="_1718430187" r:id="rId20"/>
        </w:object>
      </w:r>
    </w:p>
    <w:p w14:paraId="15108866" w14:textId="77777777" w:rsidR="001573C3" w:rsidRPr="001E1E35" w:rsidRDefault="001573C3" w:rsidP="000C0C21">
      <w:pPr>
        <w:spacing w:line="240" w:lineRule="auto"/>
        <w:jc w:val="both"/>
        <w:rPr>
          <w:rFonts w:asciiTheme="minorHAnsi" w:hAnsiTheme="minorHAnsi" w:cstheme="minorHAnsi"/>
          <w:color w:val="000000" w:themeColor="text1"/>
        </w:rPr>
      </w:pPr>
    </w:p>
    <w:p w14:paraId="364D7C5C" w14:textId="77777777" w:rsidR="001573C3" w:rsidRPr="001E1E35" w:rsidRDefault="001573C3" w:rsidP="000C0C21">
      <w:pPr>
        <w:spacing w:line="240" w:lineRule="auto"/>
        <w:jc w:val="both"/>
        <w:rPr>
          <w:rFonts w:asciiTheme="minorHAnsi" w:hAnsiTheme="minorHAnsi" w:cstheme="minorHAnsi"/>
          <w:color w:val="000000" w:themeColor="text1"/>
        </w:rPr>
      </w:pPr>
    </w:p>
    <w:p w14:paraId="52D55713" w14:textId="14F75B7D" w:rsidR="001573C3" w:rsidRDefault="003655E2" w:rsidP="00085BDC">
      <w:pPr>
        <w:pStyle w:val="berschrift2"/>
        <w:numPr>
          <w:ilvl w:val="1"/>
          <w:numId w:val="11"/>
        </w:numPr>
        <w:ind w:hanging="720"/>
      </w:pPr>
      <w:bookmarkStart w:id="21" w:name="_Toc66727234"/>
      <w:r w:rsidRPr="001E1E35">
        <w:lastRenderedPageBreak/>
        <w:t>Zweitlinientherapie</w:t>
      </w:r>
      <w:bookmarkEnd w:id="18"/>
      <w:bookmarkEnd w:id="21"/>
    </w:p>
    <w:p w14:paraId="707D7737" w14:textId="77777777" w:rsidR="00A1778E" w:rsidRPr="00A1778E" w:rsidRDefault="00A1778E" w:rsidP="00A1778E"/>
    <w:p w14:paraId="59E79155" w14:textId="6EFBE9A6" w:rsidR="001573C3" w:rsidRPr="001E1E35" w:rsidRDefault="00A1778E" w:rsidP="000C0C21">
      <w:pPr>
        <w:spacing w:line="240" w:lineRule="auto"/>
        <w:jc w:val="both"/>
        <w:rPr>
          <w:rFonts w:asciiTheme="minorHAnsi" w:hAnsiTheme="minorHAnsi" w:cstheme="minorHAnsi"/>
          <w:color w:val="000000" w:themeColor="text1"/>
        </w:rPr>
      </w:pPr>
      <w:r>
        <w:rPr>
          <w:noProof/>
          <w:lang w:eastAsia="de-AT"/>
        </w:rPr>
        <w:drawing>
          <wp:inline distT="0" distB="0" distL="0" distR="0" wp14:anchorId="608F2FCE" wp14:editId="4605DE8A">
            <wp:extent cx="6026938" cy="6731000"/>
            <wp:effectExtent l="0" t="0" r="0" b="0"/>
            <wp:docPr id="1" name="Grafik 1" descr="C:\Users\srpichth\AppData\Local\Microsoft\Windows\INetCache\Content.Word\CLL Secondline 06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rpichth\AppData\Local\Microsoft\Windows\INetCache\Content.Word\CLL Secondline 06_202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32648" cy="6737377"/>
                    </a:xfrm>
                    <a:prstGeom prst="rect">
                      <a:avLst/>
                    </a:prstGeom>
                    <a:noFill/>
                    <a:ln>
                      <a:noFill/>
                    </a:ln>
                  </pic:spPr>
                </pic:pic>
              </a:graphicData>
            </a:graphic>
          </wp:inline>
        </w:drawing>
      </w:r>
      <w:r w:rsidR="001573C3" w:rsidRPr="001E1E35">
        <w:rPr>
          <w:rFonts w:asciiTheme="minorHAnsi" w:hAnsiTheme="minorHAnsi" w:cstheme="minorHAnsi"/>
          <w:color w:val="000000" w:themeColor="text1"/>
        </w:rPr>
        <w:br w:type="page"/>
      </w:r>
    </w:p>
    <w:p w14:paraId="5389EC4B" w14:textId="0F64340F" w:rsidR="003655E2" w:rsidRPr="001E1E35" w:rsidRDefault="003655E2" w:rsidP="00085BDC">
      <w:pPr>
        <w:pStyle w:val="berschrift2"/>
        <w:numPr>
          <w:ilvl w:val="1"/>
          <w:numId w:val="11"/>
        </w:numPr>
        <w:ind w:hanging="720"/>
      </w:pPr>
      <w:bookmarkStart w:id="22" w:name="_Toc408380478"/>
      <w:bookmarkStart w:id="23" w:name="_Toc66727235"/>
      <w:r w:rsidRPr="001E1E35">
        <w:lastRenderedPageBreak/>
        <w:t>Response</w:t>
      </w:r>
      <w:bookmarkEnd w:id="22"/>
      <w:bookmarkEnd w:id="23"/>
    </w:p>
    <w:p w14:paraId="5389EC4C" w14:textId="0388EDC9" w:rsidR="003655E2" w:rsidRPr="001E1E35" w:rsidRDefault="003655E2" w:rsidP="00085BDC">
      <w:pPr>
        <w:pStyle w:val="berschrift3"/>
        <w:numPr>
          <w:ilvl w:val="2"/>
          <w:numId w:val="11"/>
        </w:numPr>
        <w:ind w:left="709" w:hanging="709"/>
        <w:jc w:val="both"/>
        <w:rPr>
          <w:rFonts w:asciiTheme="minorHAnsi" w:hAnsiTheme="minorHAnsi" w:cstheme="minorHAnsi"/>
          <w:color w:val="000000" w:themeColor="text1"/>
        </w:rPr>
      </w:pPr>
      <w:bookmarkStart w:id="24" w:name="_Toc408380479"/>
      <w:bookmarkStart w:id="25" w:name="_Toc66727236"/>
      <w:r w:rsidRPr="001E1E35">
        <w:rPr>
          <w:rFonts w:asciiTheme="minorHAnsi" w:hAnsiTheme="minorHAnsi" w:cstheme="minorHAnsi"/>
          <w:color w:val="000000" w:themeColor="text1"/>
        </w:rPr>
        <w:t>Definition lt. Studien</w:t>
      </w:r>
      <w:bookmarkEnd w:id="24"/>
      <w:bookmarkEnd w:id="25"/>
    </w:p>
    <w:p w14:paraId="5389EC4D" w14:textId="77777777" w:rsidR="003655E2" w:rsidRPr="001E1E35" w:rsidRDefault="003655E2" w:rsidP="000C0C21">
      <w:pPr>
        <w:jc w:val="both"/>
        <w:rPr>
          <w:rFonts w:asciiTheme="minorHAnsi" w:hAnsiTheme="minorHAnsi" w:cstheme="minorHAnsi"/>
          <w:color w:val="000000" w:themeColor="text1"/>
          <w:sz w:val="8"/>
          <w:szCs w:val="8"/>
        </w:rPr>
      </w:pPr>
    </w:p>
    <w:p w14:paraId="5389EC4E"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20"/>
          <w:lang w:val="de-DE" w:eastAsia="de-AT"/>
        </w:rPr>
      </w:pPr>
      <w:r w:rsidRPr="001E1E35">
        <w:rPr>
          <w:rFonts w:asciiTheme="minorHAnsi" w:hAnsiTheme="minorHAnsi" w:cstheme="minorHAnsi"/>
          <w:noProof/>
          <w:color w:val="000000" w:themeColor="text1"/>
          <w:sz w:val="28"/>
          <w:lang w:eastAsia="de-AT"/>
        </w:rPr>
        <w:drawing>
          <wp:inline distT="0" distB="0" distL="0" distR="0" wp14:anchorId="5389ECDC" wp14:editId="5389ECDD">
            <wp:extent cx="5743348" cy="3013364"/>
            <wp:effectExtent l="0" t="0" r="0" b="0"/>
            <wp:docPr id="1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2" cstate="print"/>
                    <a:srcRect/>
                    <a:stretch>
                      <a:fillRect/>
                    </a:stretch>
                  </pic:blipFill>
                  <pic:spPr bwMode="auto">
                    <a:xfrm>
                      <a:off x="0" y="0"/>
                      <a:ext cx="5757791" cy="3020942"/>
                    </a:xfrm>
                    <a:prstGeom prst="rect">
                      <a:avLst/>
                    </a:prstGeom>
                    <a:noFill/>
                    <a:ln w="9525" algn="ctr">
                      <a:noFill/>
                      <a:miter lim="800000"/>
                      <a:headEnd/>
                      <a:tailEnd/>
                    </a:ln>
                  </pic:spPr>
                </pic:pic>
              </a:graphicData>
            </a:graphic>
          </wp:inline>
        </w:drawing>
      </w:r>
    </w:p>
    <w:p w14:paraId="5389EC4F"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20"/>
          <w:lang w:val="de-DE" w:eastAsia="de-AT"/>
        </w:rPr>
      </w:pPr>
    </w:p>
    <w:p w14:paraId="5389EC50" w14:textId="6D8F9379" w:rsidR="003655E2" w:rsidRPr="001E1E35" w:rsidRDefault="003655E2" w:rsidP="00085BDC">
      <w:pPr>
        <w:pStyle w:val="berschrift3"/>
        <w:numPr>
          <w:ilvl w:val="2"/>
          <w:numId w:val="11"/>
        </w:numPr>
        <w:ind w:left="709" w:hanging="709"/>
        <w:jc w:val="both"/>
        <w:rPr>
          <w:rFonts w:asciiTheme="minorHAnsi" w:hAnsiTheme="minorHAnsi" w:cstheme="minorHAnsi"/>
          <w:color w:val="000000" w:themeColor="text1"/>
        </w:rPr>
      </w:pPr>
      <w:bookmarkStart w:id="26" w:name="_Toc408380480"/>
      <w:bookmarkStart w:id="27" w:name="_Toc66727237"/>
      <w:r w:rsidRPr="001E1E35">
        <w:rPr>
          <w:rFonts w:asciiTheme="minorHAnsi" w:hAnsiTheme="minorHAnsi" w:cstheme="minorHAnsi"/>
          <w:color w:val="000000" w:themeColor="text1"/>
        </w:rPr>
        <w:t>Response nach Substanz/Schema - 1</w:t>
      </w:r>
      <w:r w:rsidRPr="001E1E35">
        <w:rPr>
          <w:rFonts w:asciiTheme="minorHAnsi" w:hAnsiTheme="minorHAnsi" w:cstheme="minorHAnsi"/>
          <w:color w:val="000000" w:themeColor="text1"/>
          <w:vertAlign w:val="superscript"/>
        </w:rPr>
        <w:t>st</w:t>
      </w:r>
      <w:r w:rsidRPr="001E1E35">
        <w:rPr>
          <w:rFonts w:asciiTheme="minorHAnsi" w:hAnsiTheme="minorHAnsi" w:cstheme="minorHAnsi"/>
          <w:color w:val="000000" w:themeColor="text1"/>
        </w:rPr>
        <w:t xml:space="preserve"> line</w:t>
      </w:r>
      <w:bookmarkEnd w:id="26"/>
      <w:bookmarkEnd w:id="27"/>
    </w:p>
    <w:p w14:paraId="5389EC51"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8"/>
          <w:szCs w:val="8"/>
          <w:lang w:val="de-DE" w:eastAsia="de-AT"/>
        </w:rPr>
      </w:pP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85"/>
        <w:gridCol w:w="1169"/>
        <w:gridCol w:w="1165"/>
        <w:gridCol w:w="1174"/>
        <w:gridCol w:w="1163"/>
        <w:gridCol w:w="1167"/>
        <w:gridCol w:w="1172"/>
        <w:gridCol w:w="1171"/>
      </w:tblGrid>
      <w:tr w:rsidR="001E1E35" w:rsidRPr="001E1E35" w14:paraId="5389EC5A" w14:textId="77777777" w:rsidTr="00E94E76">
        <w:trPr>
          <w:trHeight w:hRule="exact" w:val="397"/>
        </w:trPr>
        <w:tc>
          <w:tcPr>
            <w:tcW w:w="1190" w:type="dxa"/>
            <w:shd w:val="clear" w:color="auto" w:fill="948A54" w:themeFill="background2" w:themeFillShade="80"/>
            <w:vAlign w:val="center"/>
          </w:tcPr>
          <w:p w14:paraId="5389EC52"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lang w:val="de-DE" w:eastAsia="de-AT"/>
              </w:rPr>
            </w:pPr>
            <w:r w:rsidRPr="001E1E35">
              <w:rPr>
                <w:rFonts w:asciiTheme="minorHAnsi" w:hAnsiTheme="minorHAnsi" w:cstheme="minorHAnsi"/>
                <w:b/>
                <w:color w:val="000000" w:themeColor="text1"/>
                <w:sz w:val="18"/>
                <w:szCs w:val="18"/>
                <w:lang w:val="de-DE" w:eastAsia="de-AT"/>
              </w:rPr>
              <w:t>Schema</w:t>
            </w:r>
          </w:p>
        </w:tc>
        <w:tc>
          <w:tcPr>
            <w:tcW w:w="1190" w:type="dxa"/>
            <w:shd w:val="clear" w:color="auto" w:fill="948A54" w:themeFill="background2" w:themeFillShade="80"/>
            <w:vAlign w:val="center"/>
          </w:tcPr>
          <w:p w14:paraId="5389EC53"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Clb</w:t>
            </w:r>
            <w:r w:rsidRPr="001E1E35">
              <w:rPr>
                <w:rFonts w:asciiTheme="minorHAnsi" w:hAnsiTheme="minorHAnsi" w:cstheme="minorHAnsi"/>
                <w:b/>
                <w:color w:val="000000" w:themeColor="text1"/>
                <w:sz w:val="18"/>
                <w:szCs w:val="18"/>
                <w:vertAlign w:val="superscript"/>
                <w:lang w:val="de-DE" w:eastAsia="de-AT"/>
              </w:rPr>
              <w:t>4,2</w:t>
            </w:r>
          </w:p>
        </w:tc>
        <w:tc>
          <w:tcPr>
            <w:tcW w:w="1190" w:type="dxa"/>
            <w:shd w:val="clear" w:color="auto" w:fill="948A54" w:themeFill="background2" w:themeFillShade="80"/>
            <w:vAlign w:val="center"/>
          </w:tcPr>
          <w:p w14:paraId="5389EC54"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Flu</w:t>
            </w:r>
            <w:r w:rsidRPr="001E1E35">
              <w:rPr>
                <w:rFonts w:asciiTheme="minorHAnsi" w:hAnsiTheme="minorHAnsi" w:cstheme="minorHAnsi"/>
                <w:b/>
                <w:color w:val="000000" w:themeColor="text1"/>
                <w:sz w:val="18"/>
                <w:szCs w:val="18"/>
                <w:vertAlign w:val="superscript"/>
                <w:lang w:val="de-DE" w:eastAsia="de-AT"/>
              </w:rPr>
              <w:t>2</w:t>
            </w:r>
          </w:p>
        </w:tc>
        <w:tc>
          <w:tcPr>
            <w:tcW w:w="1190" w:type="dxa"/>
            <w:shd w:val="clear" w:color="auto" w:fill="948A54" w:themeFill="background2" w:themeFillShade="80"/>
            <w:vAlign w:val="center"/>
          </w:tcPr>
          <w:p w14:paraId="5389EC55"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Benda</w:t>
            </w:r>
            <w:r w:rsidRPr="001E1E35">
              <w:rPr>
                <w:rFonts w:asciiTheme="minorHAnsi" w:hAnsiTheme="minorHAnsi" w:cstheme="minorHAnsi"/>
                <w:b/>
                <w:color w:val="000000" w:themeColor="text1"/>
                <w:sz w:val="18"/>
                <w:szCs w:val="18"/>
                <w:vertAlign w:val="superscript"/>
                <w:lang w:val="de-DE" w:eastAsia="de-AT"/>
              </w:rPr>
              <w:t>4</w:t>
            </w:r>
          </w:p>
        </w:tc>
        <w:tc>
          <w:tcPr>
            <w:tcW w:w="1190" w:type="dxa"/>
            <w:shd w:val="clear" w:color="auto" w:fill="948A54" w:themeFill="background2" w:themeFillShade="80"/>
            <w:vAlign w:val="center"/>
          </w:tcPr>
          <w:p w14:paraId="5389EC56"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FC</w:t>
            </w:r>
            <w:r w:rsidRPr="001E1E35">
              <w:rPr>
                <w:rFonts w:asciiTheme="minorHAnsi" w:hAnsiTheme="minorHAnsi" w:cstheme="minorHAnsi"/>
                <w:b/>
                <w:color w:val="000000" w:themeColor="text1"/>
                <w:sz w:val="18"/>
                <w:szCs w:val="18"/>
                <w:vertAlign w:val="superscript"/>
                <w:lang w:val="de-DE" w:eastAsia="de-AT"/>
              </w:rPr>
              <w:t>2</w:t>
            </w:r>
          </w:p>
        </w:tc>
        <w:tc>
          <w:tcPr>
            <w:tcW w:w="1190" w:type="dxa"/>
            <w:shd w:val="clear" w:color="auto" w:fill="948A54" w:themeFill="background2" w:themeFillShade="80"/>
            <w:vAlign w:val="center"/>
          </w:tcPr>
          <w:p w14:paraId="5389EC57"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FCR</w:t>
            </w:r>
            <w:r w:rsidRPr="001E1E35">
              <w:rPr>
                <w:rFonts w:asciiTheme="minorHAnsi" w:hAnsiTheme="minorHAnsi" w:cstheme="minorHAnsi"/>
                <w:b/>
                <w:color w:val="000000" w:themeColor="text1"/>
                <w:sz w:val="18"/>
                <w:szCs w:val="18"/>
                <w:vertAlign w:val="superscript"/>
                <w:lang w:val="de-DE" w:eastAsia="de-AT"/>
              </w:rPr>
              <w:t>3</w:t>
            </w:r>
          </w:p>
        </w:tc>
        <w:tc>
          <w:tcPr>
            <w:tcW w:w="1191" w:type="dxa"/>
            <w:shd w:val="clear" w:color="auto" w:fill="948A54" w:themeFill="background2" w:themeFillShade="80"/>
            <w:vAlign w:val="center"/>
          </w:tcPr>
          <w:p w14:paraId="5389EC58"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Alem</w:t>
            </w:r>
            <w:r w:rsidRPr="001E1E35">
              <w:rPr>
                <w:rFonts w:asciiTheme="minorHAnsi" w:hAnsiTheme="minorHAnsi" w:cstheme="minorHAnsi"/>
                <w:b/>
                <w:color w:val="000000" w:themeColor="text1"/>
                <w:sz w:val="18"/>
                <w:szCs w:val="18"/>
                <w:vertAlign w:val="superscript"/>
                <w:lang w:val="de-DE" w:eastAsia="de-AT"/>
              </w:rPr>
              <w:t>5</w:t>
            </w:r>
          </w:p>
        </w:tc>
        <w:tc>
          <w:tcPr>
            <w:tcW w:w="1191" w:type="dxa"/>
            <w:shd w:val="clear" w:color="auto" w:fill="948A54" w:themeFill="background2" w:themeFillShade="80"/>
            <w:vAlign w:val="center"/>
          </w:tcPr>
          <w:p w14:paraId="5389EC59"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vertAlign w:val="superscript"/>
                <w:lang w:val="de-DE" w:eastAsia="de-AT"/>
              </w:rPr>
            </w:pPr>
            <w:r w:rsidRPr="001E1E35">
              <w:rPr>
                <w:rFonts w:asciiTheme="minorHAnsi" w:hAnsiTheme="minorHAnsi" w:cstheme="minorHAnsi"/>
                <w:b/>
                <w:color w:val="000000" w:themeColor="text1"/>
                <w:sz w:val="18"/>
                <w:szCs w:val="18"/>
                <w:lang w:val="de-DE" w:eastAsia="de-AT"/>
              </w:rPr>
              <w:t>R-Dexa</w:t>
            </w:r>
            <w:r w:rsidRPr="001E1E35">
              <w:rPr>
                <w:rFonts w:asciiTheme="minorHAnsi" w:hAnsiTheme="minorHAnsi" w:cstheme="minorHAnsi"/>
                <w:b/>
                <w:color w:val="000000" w:themeColor="text1"/>
                <w:sz w:val="18"/>
                <w:szCs w:val="18"/>
                <w:vertAlign w:val="superscript"/>
                <w:lang w:val="de-DE" w:eastAsia="de-AT"/>
              </w:rPr>
              <w:t>6</w:t>
            </w:r>
          </w:p>
        </w:tc>
      </w:tr>
      <w:tr w:rsidR="001E1E35" w:rsidRPr="001E1E35" w14:paraId="5389EC63" w14:textId="77777777" w:rsidTr="00E94E76">
        <w:trPr>
          <w:trHeight w:hRule="exact" w:val="397"/>
        </w:trPr>
        <w:tc>
          <w:tcPr>
            <w:tcW w:w="1190" w:type="dxa"/>
            <w:shd w:val="clear" w:color="auto" w:fill="948A54" w:themeFill="background2" w:themeFillShade="80"/>
            <w:vAlign w:val="center"/>
          </w:tcPr>
          <w:p w14:paraId="5389EC5B"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lang w:val="de-DE" w:eastAsia="de-AT"/>
              </w:rPr>
            </w:pPr>
            <w:r w:rsidRPr="001E1E35">
              <w:rPr>
                <w:rFonts w:asciiTheme="minorHAnsi" w:hAnsiTheme="minorHAnsi" w:cstheme="minorHAnsi"/>
                <w:b/>
                <w:color w:val="000000" w:themeColor="text1"/>
                <w:sz w:val="18"/>
                <w:szCs w:val="18"/>
                <w:lang w:val="de-DE" w:eastAsia="de-AT"/>
              </w:rPr>
              <w:t>Response%</w:t>
            </w:r>
          </w:p>
        </w:tc>
        <w:tc>
          <w:tcPr>
            <w:tcW w:w="1190" w:type="dxa"/>
          </w:tcPr>
          <w:p w14:paraId="5389EC5C"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vertAlign w:val="superscript"/>
                <w:lang w:val="de-DE" w:eastAsia="de-AT"/>
              </w:rPr>
            </w:pPr>
            <w:r w:rsidRPr="001E1E35">
              <w:rPr>
                <w:rFonts w:asciiTheme="minorHAnsi" w:hAnsiTheme="minorHAnsi" w:cstheme="minorHAnsi"/>
                <w:color w:val="000000" w:themeColor="text1"/>
                <w:sz w:val="18"/>
                <w:szCs w:val="18"/>
                <w:lang w:val="de-DE" w:eastAsia="de-AT"/>
              </w:rPr>
              <w:t>31-72</w:t>
            </w:r>
          </w:p>
        </w:tc>
        <w:tc>
          <w:tcPr>
            <w:tcW w:w="1190" w:type="dxa"/>
            <w:shd w:val="clear" w:color="auto" w:fill="F2F2F2" w:themeFill="background1" w:themeFillShade="F2"/>
          </w:tcPr>
          <w:p w14:paraId="5389EC5D"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vertAlign w:val="superscript"/>
                <w:lang w:val="de-DE" w:eastAsia="de-AT"/>
              </w:rPr>
            </w:pPr>
            <w:r w:rsidRPr="001E1E35">
              <w:rPr>
                <w:rFonts w:asciiTheme="minorHAnsi" w:hAnsiTheme="minorHAnsi" w:cstheme="minorHAnsi"/>
                <w:color w:val="000000" w:themeColor="text1"/>
                <w:sz w:val="18"/>
                <w:szCs w:val="18"/>
                <w:lang w:val="de-DE" w:eastAsia="de-AT"/>
              </w:rPr>
              <w:t>80</w:t>
            </w:r>
          </w:p>
        </w:tc>
        <w:tc>
          <w:tcPr>
            <w:tcW w:w="1190" w:type="dxa"/>
          </w:tcPr>
          <w:p w14:paraId="5389EC5E"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68</w:t>
            </w:r>
          </w:p>
        </w:tc>
        <w:tc>
          <w:tcPr>
            <w:tcW w:w="1190" w:type="dxa"/>
            <w:shd w:val="clear" w:color="auto" w:fill="F2F2F2" w:themeFill="background1" w:themeFillShade="F2"/>
          </w:tcPr>
          <w:p w14:paraId="5389EC5F"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94</w:t>
            </w:r>
          </w:p>
        </w:tc>
        <w:tc>
          <w:tcPr>
            <w:tcW w:w="1190" w:type="dxa"/>
          </w:tcPr>
          <w:p w14:paraId="5389EC60"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95</w:t>
            </w:r>
          </w:p>
        </w:tc>
        <w:tc>
          <w:tcPr>
            <w:tcW w:w="1191" w:type="dxa"/>
            <w:shd w:val="clear" w:color="auto" w:fill="F2F2F2" w:themeFill="background1" w:themeFillShade="F2"/>
          </w:tcPr>
          <w:p w14:paraId="5389EC61"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83</w:t>
            </w:r>
          </w:p>
        </w:tc>
        <w:tc>
          <w:tcPr>
            <w:tcW w:w="1191" w:type="dxa"/>
          </w:tcPr>
          <w:p w14:paraId="5389EC62"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96</w:t>
            </w:r>
          </w:p>
        </w:tc>
      </w:tr>
      <w:tr w:rsidR="001E1E35" w:rsidRPr="001E1E35" w14:paraId="5389EC6C" w14:textId="77777777" w:rsidTr="00E94E76">
        <w:trPr>
          <w:trHeight w:hRule="exact" w:val="397"/>
        </w:trPr>
        <w:tc>
          <w:tcPr>
            <w:tcW w:w="1190" w:type="dxa"/>
            <w:shd w:val="clear" w:color="auto" w:fill="948A54" w:themeFill="background2" w:themeFillShade="80"/>
            <w:vAlign w:val="center"/>
          </w:tcPr>
          <w:p w14:paraId="5389EC64"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lang w:val="de-DE" w:eastAsia="de-AT"/>
              </w:rPr>
            </w:pPr>
            <w:r w:rsidRPr="001E1E35">
              <w:rPr>
                <w:rFonts w:asciiTheme="minorHAnsi" w:hAnsiTheme="minorHAnsi" w:cstheme="minorHAnsi"/>
                <w:b/>
                <w:color w:val="000000" w:themeColor="text1"/>
                <w:sz w:val="18"/>
                <w:szCs w:val="18"/>
                <w:lang w:val="de-DE" w:eastAsia="de-AT"/>
              </w:rPr>
              <w:t>CR%</w:t>
            </w:r>
          </w:p>
        </w:tc>
        <w:tc>
          <w:tcPr>
            <w:tcW w:w="1190" w:type="dxa"/>
          </w:tcPr>
          <w:p w14:paraId="5389EC65"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vertAlign w:val="superscript"/>
                <w:lang w:val="de-DE" w:eastAsia="de-AT"/>
              </w:rPr>
            </w:pPr>
            <w:r w:rsidRPr="001E1E35">
              <w:rPr>
                <w:rFonts w:asciiTheme="minorHAnsi" w:hAnsiTheme="minorHAnsi" w:cstheme="minorHAnsi"/>
                <w:color w:val="000000" w:themeColor="text1"/>
                <w:sz w:val="18"/>
                <w:szCs w:val="18"/>
                <w:lang w:val="de-DE" w:eastAsia="de-AT"/>
              </w:rPr>
              <w:t>2-7</w:t>
            </w:r>
          </w:p>
        </w:tc>
        <w:tc>
          <w:tcPr>
            <w:tcW w:w="1190" w:type="dxa"/>
            <w:shd w:val="clear" w:color="auto" w:fill="F2F2F2" w:themeFill="background1" w:themeFillShade="F2"/>
          </w:tcPr>
          <w:p w14:paraId="5389EC66"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vertAlign w:val="superscript"/>
                <w:lang w:val="de-DE" w:eastAsia="de-AT"/>
              </w:rPr>
            </w:pPr>
            <w:r w:rsidRPr="001E1E35">
              <w:rPr>
                <w:rFonts w:asciiTheme="minorHAnsi" w:hAnsiTheme="minorHAnsi" w:cstheme="minorHAnsi"/>
                <w:color w:val="000000" w:themeColor="text1"/>
                <w:sz w:val="18"/>
                <w:szCs w:val="18"/>
                <w:lang w:val="de-DE" w:eastAsia="de-AT"/>
              </w:rPr>
              <w:t>15</w:t>
            </w:r>
          </w:p>
        </w:tc>
        <w:tc>
          <w:tcPr>
            <w:tcW w:w="1190" w:type="dxa"/>
          </w:tcPr>
          <w:p w14:paraId="5389EC67"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31</w:t>
            </w:r>
          </w:p>
        </w:tc>
        <w:tc>
          <w:tcPr>
            <w:tcW w:w="1190" w:type="dxa"/>
            <w:shd w:val="clear" w:color="auto" w:fill="F2F2F2" w:themeFill="background1" w:themeFillShade="F2"/>
          </w:tcPr>
          <w:p w14:paraId="5389EC68"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38</w:t>
            </w:r>
          </w:p>
        </w:tc>
        <w:tc>
          <w:tcPr>
            <w:tcW w:w="1190" w:type="dxa"/>
          </w:tcPr>
          <w:p w14:paraId="5389EC69"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72</w:t>
            </w:r>
          </w:p>
        </w:tc>
        <w:tc>
          <w:tcPr>
            <w:tcW w:w="1191" w:type="dxa"/>
            <w:shd w:val="clear" w:color="auto" w:fill="F2F2F2" w:themeFill="background1" w:themeFillShade="F2"/>
          </w:tcPr>
          <w:p w14:paraId="5389EC6A"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24</w:t>
            </w:r>
          </w:p>
        </w:tc>
        <w:tc>
          <w:tcPr>
            <w:tcW w:w="1191" w:type="dxa"/>
          </w:tcPr>
          <w:p w14:paraId="5389EC6B"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32</w:t>
            </w:r>
          </w:p>
        </w:tc>
      </w:tr>
      <w:tr w:rsidR="001E1E35" w:rsidRPr="001E1E35" w14:paraId="5389EC75" w14:textId="77777777" w:rsidTr="00E94E76">
        <w:trPr>
          <w:trHeight w:hRule="exact" w:val="397"/>
        </w:trPr>
        <w:tc>
          <w:tcPr>
            <w:tcW w:w="1190" w:type="dxa"/>
            <w:shd w:val="clear" w:color="auto" w:fill="948A54" w:themeFill="background2" w:themeFillShade="80"/>
            <w:vAlign w:val="center"/>
          </w:tcPr>
          <w:p w14:paraId="5389EC6D" w14:textId="77777777" w:rsidR="003655E2" w:rsidRPr="001E1E35" w:rsidRDefault="003655E2" w:rsidP="000C0C21">
            <w:pPr>
              <w:autoSpaceDE w:val="0"/>
              <w:autoSpaceDN w:val="0"/>
              <w:adjustRightInd w:val="0"/>
              <w:spacing w:line="288" w:lineRule="auto"/>
              <w:jc w:val="both"/>
              <w:rPr>
                <w:rFonts w:asciiTheme="minorHAnsi" w:hAnsiTheme="minorHAnsi" w:cstheme="minorHAnsi"/>
                <w:b/>
                <w:color w:val="000000" w:themeColor="text1"/>
                <w:sz w:val="18"/>
                <w:szCs w:val="18"/>
                <w:lang w:val="de-DE" w:eastAsia="de-AT"/>
              </w:rPr>
            </w:pPr>
            <w:r w:rsidRPr="001E1E35">
              <w:rPr>
                <w:rFonts w:asciiTheme="minorHAnsi" w:hAnsiTheme="minorHAnsi" w:cstheme="minorHAnsi"/>
                <w:b/>
                <w:color w:val="000000" w:themeColor="text1"/>
                <w:sz w:val="18"/>
                <w:szCs w:val="18"/>
                <w:lang w:val="de-DE" w:eastAsia="de-AT"/>
              </w:rPr>
              <w:t>medPFS mo</w:t>
            </w:r>
          </w:p>
        </w:tc>
        <w:tc>
          <w:tcPr>
            <w:tcW w:w="1190" w:type="dxa"/>
          </w:tcPr>
          <w:p w14:paraId="5389EC6E"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vertAlign w:val="superscript"/>
                <w:lang w:val="de-DE" w:eastAsia="de-AT"/>
              </w:rPr>
            </w:pPr>
            <w:r w:rsidRPr="001E1E35">
              <w:rPr>
                <w:rFonts w:asciiTheme="minorHAnsi" w:hAnsiTheme="minorHAnsi" w:cstheme="minorHAnsi"/>
                <w:color w:val="000000" w:themeColor="text1"/>
                <w:sz w:val="18"/>
                <w:szCs w:val="18"/>
                <w:lang w:val="de-DE" w:eastAsia="de-AT"/>
              </w:rPr>
              <w:t>8</w:t>
            </w:r>
            <w:r w:rsidRPr="001E1E35">
              <w:rPr>
                <w:rFonts w:asciiTheme="minorHAnsi" w:hAnsiTheme="minorHAnsi" w:cstheme="minorHAnsi"/>
                <w:color w:val="000000" w:themeColor="text1"/>
                <w:sz w:val="18"/>
                <w:szCs w:val="18"/>
                <w:vertAlign w:val="superscript"/>
                <w:lang w:val="de-DE" w:eastAsia="de-AT"/>
              </w:rPr>
              <w:t>-</w:t>
            </w:r>
            <w:r w:rsidRPr="001E1E35">
              <w:rPr>
                <w:rFonts w:asciiTheme="minorHAnsi" w:hAnsiTheme="minorHAnsi" w:cstheme="minorHAnsi"/>
                <w:color w:val="000000" w:themeColor="text1"/>
                <w:sz w:val="18"/>
                <w:szCs w:val="18"/>
                <w:lang w:val="de-DE" w:eastAsia="de-AT"/>
              </w:rPr>
              <w:t>20</w:t>
            </w:r>
          </w:p>
        </w:tc>
        <w:tc>
          <w:tcPr>
            <w:tcW w:w="1190" w:type="dxa"/>
            <w:shd w:val="clear" w:color="auto" w:fill="F2F2F2" w:themeFill="background1" w:themeFillShade="F2"/>
          </w:tcPr>
          <w:p w14:paraId="5389EC6F"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vertAlign w:val="superscript"/>
                <w:lang w:val="de-DE" w:eastAsia="de-AT"/>
              </w:rPr>
            </w:pPr>
            <w:r w:rsidRPr="001E1E35">
              <w:rPr>
                <w:rFonts w:asciiTheme="minorHAnsi" w:hAnsiTheme="minorHAnsi" w:cstheme="minorHAnsi"/>
                <w:color w:val="000000" w:themeColor="text1"/>
                <w:sz w:val="18"/>
                <w:szCs w:val="18"/>
                <w:lang w:val="de-DE" w:eastAsia="de-AT"/>
              </w:rPr>
              <w:t>23</w:t>
            </w:r>
          </w:p>
        </w:tc>
        <w:tc>
          <w:tcPr>
            <w:tcW w:w="1190" w:type="dxa"/>
          </w:tcPr>
          <w:p w14:paraId="5389EC70"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22</w:t>
            </w:r>
          </w:p>
        </w:tc>
        <w:tc>
          <w:tcPr>
            <w:tcW w:w="1190" w:type="dxa"/>
            <w:shd w:val="clear" w:color="auto" w:fill="F2F2F2" w:themeFill="background1" w:themeFillShade="F2"/>
          </w:tcPr>
          <w:p w14:paraId="5389EC71"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43</w:t>
            </w:r>
          </w:p>
        </w:tc>
        <w:tc>
          <w:tcPr>
            <w:tcW w:w="1190" w:type="dxa"/>
          </w:tcPr>
          <w:p w14:paraId="5389EC72"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80</w:t>
            </w:r>
          </w:p>
        </w:tc>
        <w:tc>
          <w:tcPr>
            <w:tcW w:w="1191" w:type="dxa"/>
            <w:shd w:val="clear" w:color="auto" w:fill="F2F2F2" w:themeFill="background1" w:themeFillShade="F2"/>
          </w:tcPr>
          <w:p w14:paraId="5389EC73"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23</w:t>
            </w:r>
          </w:p>
        </w:tc>
        <w:tc>
          <w:tcPr>
            <w:tcW w:w="1191" w:type="dxa"/>
          </w:tcPr>
          <w:p w14:paraId="5389EC74"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18"/>
                <w:szCs w:val="18"/>
                <w:lang w:val="de-DE" w:eastAsia="de-AT"/>
              </w:rPr>
            </w:pPr>
            <w:r w:rsidRPr="001E1E35">
              <w:rPr>
                <w:rFonts w:asciiTheme="minorHAnsi" w:hAnsiTheme="minorHAnsi" w:cstheme="minorHAnsi"/>
                <w:color w:val="000000" w:themeColor="text1"/>
                <w:sz w:val="18"/>
                <w:szCs w:val="18"/>
                <w:lang w:val="de-DE" w:eastAsia="de-AT"/>
              </w:rPr>
              <w:t>30</w:t>
            </w:r>
          </w:p>
        </w:tc>
      </w:tr>
    </w:tbl>
    <w:p w14:paraId="5389EC76"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20"/>
          <w:lang w:val="de-DE" w:eastAsia="de-AT"/>
        </w:rPr>
      </w:pPr>
    </w:p>
    <w:p w14:paraId="5389EC77" w14:textId="77777777" w:rsidR="004F5A61" w:rsidRPr="001E1E35" w:rsidRDefault="004F5A61" w:rsidP="000C0C21">
      <w:pPr>
        <w:spacing w:line="240" w:lineRule="auto"/>
        <w:jc w:val="both"/>
        <w:rPr>
          <w:rFonts w:asciiTheme="minorHAnsi" w:hAnsiTheme="minorHAnsi" w:cstheme="minorHAnsi"/>
          <w:color w:val="000000" w:themeColor="text1"/>
          <w:szCs w:val="22"/>
          <w:lang w:val="de-DE" w:eastAsia="de-AT"/>
        </w:rPr>
      </w:pPr>
    </w:p>
    <w:p w14:paraId="5389EC78"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Cs w:val="22"/>
          <w:lang w:val="de-DE" w:eastAsia="de-AT"/>
        </w:rPr>
      </w:pPr>
      <w:r w:rsidRPr="001E1E35">
        <w:rPr>
          <w:rFonts w:asciiTheme="minorHAnsi" w:hAnsiTheme="minorHAnsi" w:cstheme="minorHAnsi"/>
          <w:color w:val="000000" w:themeColor="text1"/>
          <w:szCs w:val="22"/>
          <w:lang w:val="de-DE" w:eastAsia="de-AT"/>
        </w:rPr>
        <w:t>Literatur</w:t>
      </w:r>
    </w:p>
    <w:p w14:paraId="5389EC79" w14:textId="77777777" w:rsidR="003655E2" w:rsidRPr="001E1E35" w:rsidRDefault="003655E2" w:rsidP="0064398F">
      <w:pPr>
        <w:numPr>
          <w:ilvl w:val="0"/>
          <w:numId w:val="4"/>
        </w:numPr>
        <w:spacing w:line="240" w:lineRule="auto"/>
        <w:ind w:left="426" w:hanging="426"/>
        <w:jc w:val="both"/>
        <w:rPr>
          <w:rFonts w:asciiTheme="minorHAnsi" w:hAnsiTheme="minorHAnsi" w:cstheme="minorHAnsi"/>
          <w:color w:val="000000" w:themeColor="text1"/>
          <w:sz w:val="18"/>
          <w:szCs w:val="18"/>
          <w:lang w:val="en-US"/>
        </w:rPr>
      </w:pPr>
      <w:r w:rsidRPr="001E1E35">
        <w:rPr>
          <w:rFonts w:asciiTheme="minorHAnsi" w:hAnsiTheme="minorHAnsi" w:cstheme="minorHAnsi"/>
          <w:color w:val="000000" w:themeColor="text1"/>
          <w:sz w:val="18"/>
          <w:szCs w:val="18"/>
          <w:lang w:val="en-US"/>
        </w:rPr>
        <w:t>M. Hallek et al. Guidelines for the diagnosis and treatment of chronic lymphocytic leukemia: a report from the International Workshop on Chronic Lymphocytic Leukemia updating the National Cancer Institute–Working Group 1996 guidelines.</w:t>
      </w:r>
      <w:r w:rsidRPr="001E1E35">
        <w:rPr>
          <w:rFonts w:asciiTheme="minorHAnsi" w:eastAsia="+mn-ea" w:hAnsiTheme="minorHAnsi" w:cstheme="minorHAnsi"/>
          <w:bCs/>
          <w:color w:val="000000" w:themeColor="text1"/>
          <w:kern w:val="24"/>
          <w:sz w:val="18"/>
          <w:szCs w:val="18"/>
          <w:lang w:val="en-US"/>
        </w:rPr>
        <w:t xml:space="preserve">  </w:t>
      </w:r>
      <w:r w:rsidRPr="001E1E35">
        <w:rPr>
          <w:rFonts w:asciiTheme="minorHAnsi" w:hAnsiTheme="minorHAnsi" w:cstheme="minorHAnsi"/>
          <w:bCs/>
          <w:color w:val="000000" w:themeColor="text1"/>
          <w:sz w:val="18"/>
          <w:szCs w:val="18"/>
          <w:lang w:val="en-US"/>
        </w:rPr>
        <w:t>Blood. 2008;111:5446-5456</w:t>
      </w:r>
    </w:p>
    <w:p w14:paraId="5389EC7A" w14:textId="77777777" w:rsidR="003655E2" w:rsidRPr="001E1E35" w:rsidRDefault="003655E2" w:rsidP="0064398F">
      <w:pPr>
        <w:numPr>
          <w:ilvl w:val="0"/>
          <w:numId w:val="4"/>
        </w:numPr>
        <w:spacing w:line="240" w:lineRule="auto"/>
        <w:ind w:left="426" w:hanging="426"/>
        <w:jc w:val="both"/>
        <w:rPr>
          <w:rFonts w:asciiTheme="minorHAnsi" w:hAnsiTheme="minorHAnsi" w:cstheme="minorHAnsi"/>
          <w:color w:val="000000" w:themeColor="text1"/>
          <w:sz w:val="18"/>
          <w:szCs w:val="18"/>
          <w:lang w:val="en-US"/>
        </w:rPr>
      </w:pPr>
      <w:r w:rsidRPr="001E1E35">
        <w:rPr>
          <w:rFonts w:asciiTheme="minorHAnsi" w:hAnsiTheme="minorHAnsi" w:cstheme="minorHAnsi"/>
          <w:bCs/>
          <w:color w:val="000000" w:themeColor="text1"/>
          <w:sz w:val="18"/>
          <w:szCs w:val="18"/>
          <w:lang w:val="en-US"/>
        </w:rPr>
        <w:t>Catovsky et al.</w:t>
      </w:r>
      <w:r w:rsidRPr="001E1E35">
        <w:rPr>
          <w:rFonts w:asciiTheme="minorHAnsi" w:hAnsiTheme="minorHAnsi" w:cstheme="minorHAnsi"/>
          <w:color w:val="000000" w:themeColor="text1"/>
          <w:lang w:val="en-US"/>
        </w:rPr>
        <w:t xml:space="preserve"> </w:t>
      </w:r>
      <w:r w:rsidRPr="001E1E35">
        <w:rPr>
          <w:rFonts w:asciiTheme="minorHAnsi" w:hAnsiTheme="minorHAnsi" w:cstheme="minorHAnsi"/>
          <w:bCs/>
          <w:color w:val="000000" w:themeColor="text1"/>
          <w:sz w:val="18"/>
          <w:szCs w:val="18"/>
          <w:lang w:val="en-US"/>
        </w:rPr>
        <w:t xml:space="preserve">Assessment of </w:t>
      </w:r>
      <w:r w:rsidRPr="001E1E35">
        <w:rPr>
          <w:rFonts w:asciiTheme="minorHAnsi" w:hAnsiTheme="minorHAnsi" w:cstheme="minorHAnsi"/>
          <w:bCs/>
          <w:color w:val="000000" w:themeColor="text1"/>
          <w:sz w:val="18"/>
          <w:szCs w:val="18"/>
        </w:rPr>
        <w:t>ﬂ</w:t>
      </w:r>
      <w:r w:rsidRPr="001E1E35">
        <w:rPr>
          <w:rFonts w:asciiTheme="minorHAnsi" w:hAnsiTheme="minorHAnsi" w:cstheme="minorHAnsi"/>
          <w:bCs/>
          <w:color w:val="000000" w:themeColor="text1"/>
          <w:sz w:val="18"/>
          <w:szCs w:val="18"/>
          <w:lang w:val="en-US"/>
        </w:rPr>
        <w:t>udarabine plus cyclophosphamide for patients with chronic lymphocytic leukaemia (the LRF CLL4 Trial): a randomised controlled trial.</w:t>
      </w:r>
      <w:r w:rsidRPr="001E1E35">
        <w:rPr>
          <w:rFonts w:asciiTheme="minorHAnsi" w:hAnsiTheme="minorHAnsi" w:cstheme="minorHAnsi"/>
          <w:color w:val="000000" w:themeColor="text1"/>
          <w:lang w:val="en-US"/>
        </w:rPr>
        <w:t xml:space="preserve"> </w:t>
      </w:r>
      <w:r w:rsidRPr="001E1E35">
        <w:rPr>
          <w:rFonts w:asciiTheme="minorHAnsi" w:hAnsiTheme="minorHAnsi" w:cstheme="minorHAnsi"/>
          <w:bCs/>
          <w:color w:val="000000" w:themeColor="text1"/>
          <w:sz w:val="18"/>
          <w:szCs w:val="18"/>
          <w:lang w:val="en-US"/>
        </w:rPr>
        <w:t>Lancet 2007; 370: 230–39</w:t>
      </w:r>
    </w:p>
    <w:p w14:paraId="5389EC7B" w14:textId="77777777" w:rsidR="003655E2" w:rsidRPr="001E1E35" w:rsidRDefault="003655E2" w:rsidP="0064398F">
      <w:pPr>
        <w:numPr>
          <w:ilvl w:val="0"/>
          <w:numId w:val="4"/>
        </w:numPr>
        <w:autoSpaceDE w:val="0"/>
        <w:autoSpaceDN w:val="0"/>
        <w:adjustRightInd w:val="0"/>
        <w:spacing w:line="240" w:lineRule="auto"/>
        <w:ind w:left="426" w:hanging="426"/>
        <w:jc w:val="both"/>
        <w:rPr>
          <w:rFonts w:asciiTheme="minorHAnsi" w:hAnsiTheme="minorHAnsi" w:cstheme="minorHAnsi"/>
          <w:color w:val="000000" w:themeColor="text1"/>
          <w:sz w:val="18"/>
          <w:szCs w:val="18"/>
          <w:lang w:val="en-US"/>
        </w:rPr>
      </w:pPr>
      <w:r w:rsidRPr="001E1E35">
        <w:rPr>
          <w:rFonts w:asciiTheme="minorHAnsi" w:hAnsiTheme="minorHAnsi" w:cstheme="minorHAnsi"/>
          <w:bCs/>
          <w:color w:val="000000" w:themeColor="text1"/>
          <w:sz w:val="18"/>
          <w:szCs w:val="18"/>
          <w:lang w:val="en-US"/>
        </w:rPr>
        <w:t xml:space="preserve">C.S. Tam et al. </w:t>
      </w:r>
      <w:r w:rsidRPr="001E1E35">
        <w:rPr>
          <w:rFonts w:asciiTheme="minorHAnsi" w:hAnsiTheme="minorHAnsi" w:cstheme="minorHAnsi"/>
          <w:color w:val="000000" w:themeColor="text1"/>
          <w:sz w:val="18"/>
          <w:szCs w:val="18"/>
          <w:lang w:val="en-US"/>
        </w:rPr>
        <w:t>Long-term results of the fludarabine, cyclophosphamide, and rituximab regimenas initial therapy of chronic lymphocytic leukemia. Blood 2008;112:975-80.</w:t>
      </w:r>
    </w:p>
    <w:p w14:paraId="5389EC7C" w14:textId="7C606285" w:rsidR="003655E2" w:rsidRPr="001E1E35" w:rsidRDefault="003655E2" w:rsidP="0064398F">
      <w:pPr>
        <w:numPr>
          <w:ilvl w:val="0"/>
          <w:numId w:val="4"/>
        </w:numPr>
        <w:spacing w:line="240" w:lineRule="auto"/>
        <w:ind w:left="426" w:hanging="426"/>
        <w:jc w:val="both"/>
        <w:rPr>
          <w:rFonts w:asciiTheme="minorHAnsi" w:hAnsiTheme="minorHAnsi" w:cstheme="minorHAnsi"/>
          <w:color w:val="000000" w:themeColor="text1"/>
          <w:sz w:val="18"/>
          <w:szCs w:val="18"/>
          <w:lang w:val="en-US"/>
        </w:rPr>
      </w:pPr>
      <w:r w:rsidRPr="001E1E35">
        <w:rPr>
          <w:rFonts w:asciiTheme="minorHAnsi" w:hAnsiTheme="minorHAnsi" w:cstheme="minorHAnsi"/>
          <w:bCs/>
          <w:color w:val="000000" w:themeColor="text1"/>
          <w:sz w:val="18"/>
          <w:szCs w:val="18"/>
          <w:lang w:val="en-US"/>
        </w:rPr>
        <w:t>U. Knauf et al. Phase III Randomized Study of Bendamustine Compared With Chlorambucil in  reviously Untreated Patients With Chronic Lymphocytic Leukemia. Epub JCO Aug. 2009</w:t>
      </w:r>
      <w:r w:rsidR="00CE05A3" w:rsidRPr="001E1E35">
        <w:rPr>
          <w:rFonts w:asciiTheme="minorHAnsi" w:hAnsiTheme="minorHAnsi" w:cstheme="minorHAnsi"/>
          <w:bCs/>
          <w:color w:val="000000" w:themeColor="text1"/>
          <w:sz w:val="18"/>
          <w:szCs w:val="18"/>
          <w:lang w:val="en-US"/>
        </w:rPr>
        <w:t>.</w:t>
      </w:r>
    </w:p>
    <w:p w14:paraId="5389EC7D" w14:textId="6451FFCE" w:rsidR="003655E2" w:rsidRPr="001E1E35" w:rsidRDefault="003655E2" w:rsidP="0064398F">
      <w:pPr>
        <w:numPr>
          <w:ilvl w:val="0"/>
          <w:numId w:val="4"/>
        </w:numPr>
        <w:spacing w:line="240" w:lineRule="auto"/>
        <w:ind w:left="426" w:hanging="426"/>
        <w:jc w:val="both"/>
        <w:rPr>
          <w:rFonts w:asciiTheme="minorHAnsi" w:hAnsiTheme="minorHAnsi" w:cstheme="minorHAnsi"/>
          <w:color w:val="000000" w:themeColor="text1"/>
          <w:sz w:val="18"/>
          <w:szCs w:val="18"/>
          <w:lang w:val="en-US"/>
        </w:rPr>
      </w:pPr>
      <w:r w:rsidRPr="001E1E35">
        <w:rPr>
          <w:rFonts w:asciiTheme="minorHAnsi" w:hAnsiTheme="minorHAnsi" w:cstheme="minorHAnsi"/>
          <w:bCs/>
          <w:color w:val="000000" w:themeColor="text1"/>
          <w:sz w:val="18"/>
          <w:szCs w:val="18"/>
          <w:lang w:val="en-US"/>
        </w:rPr>
        <w:t>M. Kaufman et al.</w:t>
      </w:r>
      <w:r w:rsidRPr="001E1E35">
        <w:rPr>
          <w:rFonts w:asciiTheme="minorHAnsi" w:hAnsiTheme="minorHAnsi" w:cstheme="minorHAnsi"/>
          <w:color w:val="000000" w:themeColor="text1"/>
          <w:lang w:val="en-US"/>
        </w:rPr>
        <w:t xml:space="preserve"> </w:t>
      </w:r>
      <w:r w:rsidRPr="001E1E35">
        <w:rPr>
          <w:rFonts w:asciiTheme="minorHAnsi" w:hAnsiTheme="minorHAnsi" w:cstheme="minorHAnsi"/>
          <w:bCs/>
          <w:color w:val="000000" w:themeColor="text1"/>
          <w:sz w:val="18"/>
          <w:szCs w:val="18"/>
          <w:lang w:val="en-US"/>
        </w:rPr>
        <w:t>Alemtuzumab in the up-front setting.</w:t>
      </w:r>
      <w:r w:rsidRPr="001E1E35">
        <w:rPr>
          <w:rFonts w:asciiTheme="minorHAnsi" w:hAnsiTheme="minorHAnsi" w:cstheme="minorHAnsi"/>
          <w:color w:val="000000" w:themeColor="text1"/>
          <w:lang w:val="en-US"/>
        </w:rPr>
        <w:t xml:space="preserve"> </w:t>
      </w:r>
      <w:r w:rsidRPr="001E1E35">
        <w:rPr>
          <w:rFonts w:asciiTheme="minorHAnsi" w:hAnsiTheme="minorHAnsi" w:cstheme="minorHAnsi"/>
          <w:bCs/>
          <w:color w:val="000000" w:themeColor="text1"/>
          <w:sz w:val="18"/>
          <w:szCs w:val="18"/>
          <w:lang w:val="en-US"/>
        </w:rPr>
        <w:t>Therapeutics and Clinical Risk Management 2008:4(2) 459–464</w:t>
      </w:r>
      <w:r w:rsidR="00CE05A3" w:rsidRPr="001E1E35">
        <w:rPr>
          <w:rFonts w:asciiTheme="minorHAnsi" w:hAnsiTheme="minorHAnsi" w:cstheme="minorHAnsi"/>
          <w:bCs/>
          <w:color w:val="000000" w:themeColor="text1"/>
          <w:sz w:val="18"/>
          <w:szCs w:val="18"/>
          <w:lang w:val="en-US"/>
        </w:rPr>
        <w:t>.</w:t>
      </w:r>
    </w:p>
    <w:p w14:paraId="5389EC7E" w14:textId="77777777" w:rsidR="003655E2" w:rsidRPr="001E1E35" w:rsidRDefault="003655E2" w:rsidP="0064398F">
      <w:pPr>
        <w:numPr>
          <w:ilvl w:val="0"/>
          <w:numId w:val="4"/>
        </w:numPr>
        <w:spacing w:line="240" w:lineRule="auto"/>
        <w:ind w:left="426" w:hanging="426"/>
        <w:jc w:val="both"/>
        <w:rPr>
          <w:rFonts w:asciiTheme="minorHAnsi" w:hAnsiTheme="minorHAnsi" w:cstheme="minorHAnsi"/>
          <w:bCs/>
          <w:color w:val="000000" w:themeColor="text1"/>
          <w:sz w:val="18"/>
          <w:szCs w:val="18"/>
          <w:lang w:val="en-US"/>
        </w:rPr>
      </w:pPr>
      <w:r w:rsidRPr="001E1E35">
        <w:rPr>
          <w:rFonts w:asciiTheme="minorHAnsi" w:hAnsiTheme="minorHAnsi" w:cstheme="minorHAnsi"/>
          <w:bCs/>
          <w:color w:val="000000" w:themeColor="text1"/>
          <w:sz w:val="18"/>
          <w:szCs w:val="18"/>
          <w:lang w:val="en-US"/>
        </w:rPr>
        <w:t>JE Castro et al.</w:t>
      </w:r>
      <w:r w:rsidRPr="001E1E35">
        <w:rPr>
          <w:rFonts w:asciiTheme="minorHAnsi" w:hAnsiTheme="minorHAnsi" w:cstheme="minorHAnsi"/>
          <w:color w:val="000000" w:themeColor="text1"/>
          <w:lang w:val="en-US"/>
        </w:rPr>
        <w:t xml:space="preserve"> </w:t>
      </w:r>
      <w:r w:rsidRPr="001E1E35">
        <w:rPr>
          <w:rFonts w:asciiTheme="minorHAnsi" w:hAnsiTheme="minorHAnsi" w:cstheme="minorHAnsi"/>
          <w:bCs/>
          <w:color w:val="000000" w:themeColor="text1"/>
          <w:sz w:val="18"/>
          <w:szCs w:val="18"/>
          <w:lang w:val="en-US"/>
        </w:rPr>
        <w:t>Rituximab in combination with high-dose methylprednisolone for the treatment of</w:t>
      </w:r>
    </w:p>
    <w:p w14:paraId="5389EC7F" w14:textId="4E3E3B67" w:rsidR="003655E2" w:rsidRPr="001E1E35" w:rsidRDefault="003655E2" w:rsidP="000C0C21">
      <w:pPr>
        <w:spacing w:line="240" w:lineRule="auto"/>
        <w:ind w:left="426"/>
        <w:jc w:val="both"/>
        <w:rPr>
          <w:rFonts w:asciiTheme="minorHAnsi" w:hAnsiTheme="minorHAnsi" w:cstheme="minorHAnsi"/>
          <w:bCs/>
          <w:color w:val="000000" w:themeColor="text1"/>
          <w:sz w:val="18"/>
          <w:szCs w:val="18"/>
          <w:lang w:val="en-US"/>
        </w:rPr>
      </w:pPr>
      <w:r w:rsidRPr="001E1E35">
        <w:rPr>
          <w:rFonts w:asciiTheme="minorHAnsi" w:hAnsiTheme="minorHAnsi" w:cstheme="minorHAnsi"/>
          <w:bCs/>
          <w:color w:val="000000" w:themeColor="text1"/>
          <w:sz w:val="18"/>
          <w:szCs w:val="18"/>
          <w:lang w:val="en-US"/>
        </w:rPr>
        <w:t>chronic lymphocytic leukemia. Leukemia advance onl</w:t>
      </w:r>
      <w:r w:rsidR="00CE05A3" w:rsidRPr="001E1E35">
        <w:rPr>
          <w:rFonts w:asciiTheme="minorHAnsi" w:hAnsiTheme="minorHAnsi" w:cstheme="minorHAnsi"/>
          <w:bCs/>
          <w:color w:val="000000" w:themeColor="text1"/>
          <w:sz w:val="18"/>
          <w:szCs w:val="18"/>
          <w:lang w:val="en-US"/>
        </w:rPr>
        <w:t>ine publication, 20 August 2009.</w:t>
      </w:r>
    </w:p>
    <w:p w14:paraId="5389EC81" w14:textId="3DB7918F" w:rsidR="009D73E9" w:rsidRPr="001E1E35" w:rsidRDefault="009D73E9" w:rsidP="0064398F">
      <w:pPr>
        <w:numPr>
          <w:ilvl w:val="0"/>
          <w:numId w:val="4"/>
        </w:numPr>
        <w:spacing w:line="240" w:lineRule="auto"/>
        <w:ind w:left="426" w:hanging="426"/>
        <w:jc w:val="both"/>
        <w:rPr>
          <w:rFonts w:asciiTheme="minorHAnsi" w:hAnsiTheme="minorHAnsi" w:cstheme="minorHAnsi"/>
          <w:bCs/>
          <w:color w:val="000000" w:themeColor="text1"/>
          <w:sz w:val="18"/>
          <w:szCs w:val="18"/>
          <w:lang w:val="en-US"/>
        </w:rPr>
      </w:pPr>
      <w:r w:rsidRPr="001E1E35">
        <w:rPr>
          <w:rFonts w:asciiTheme="minorHAnsi" w:hAnsiTheme="minorHAnsi" w:cstheme="minorHAnsi"/>
          <w:bCs/>
          <w:color w:val="000000" w:themeColor="text1"/>
          <w:sz w:val="18"/>
          <w:szCs w:val="18"/>
          <w:lang w:val="en-US"/>
        </w:rPr>
        <w:t xml:space="preserve">RR Furman etal. </w:t>
      </w:r>
      <w:hyperlink r:id="rId23" w:history="1">
        <w:r w:rsidRPr="001E1E35">
          <w:rPr>
            <w:rFonts w:asciiTheme="minorHAnsi" w:hAnsiTheme="minorHAnsi" w:cstheme="minorHAnsi"/>
            <w:bCs/>
            <w:color w:val="000000" w:themeColor="text1"/>
            <w:sz w:val="18"/>
            <w:szCs w:val="18"/>
            <w:lang w:val="en-US"/>
          </w:rPr>
          <w:t>Idelalisib and rituximab in relapsed chronic lymphocytic leukemia.</w:t>
        </w:r>
      </w:hyperlink>
      <w:r w:rsidRPr="001E1E35">
        <w:rPr>
          <w:rFonts w:asciiTheme="minorHAnsi" w:hAnsiTheme="minorHAnsi" w:cstheme="minorHAnsi"/>
          <w:bCs/>
          <w:color w:val="000000" w:themeColor="text1"/>
          <w:sz w:val="18"/>
          <w:szCs w:val="18"/>
          <w:lang w:val="en-US"/>
        </w:rPr>
        <w:t xml:space="preserve">  N Engl J Med. 2014 Mar13;370(11):997-1007</w:t>
      </w:r>
      <w:r w:rsidR="00CE05A3" w:rsidRPr="001E1E35">
        <w:rPr>
          <w:rFonts w:asciiTheme="minorHAnsi" w:hAnsiTheme="minorHAnsi" w:cstheme="minorHAnsi"/>
          <w:bCs/>
          <w:color w:val="000000" w:themeColor="text1"/>
          <w:sz w:val="18"/>
          <w:szCs w:val="18"/>
          <w:lang w:val="en-US"/>
        </w:rPr>
        <w:t>.</w:t>
      </w:r>
    </w:p>
    <w:p w14:paraId="68B9BFB1" w14:textId="2CCDFB70" w:rsidR="002B6474" w:rsidRPr="001E1E35" w:rsidRDefault="009D73E9" w:rsidP="0064398F">
      <w:pPr>
        <w:numPr>
          <w:ilvl w:val="0"/>
          <w:numId w:val="4"/>
        </w:numPr>
        <w:spacing w:line="240" w:lineRule="auto"/>
        <w:ind w:left="426" w:hanging="426"/>
        <w:jc w:val="both"/>
        <w:rPr>
          <w:rFonts w:asciiTheme="minorHAnsi" w:hAnsiTheme="minorHAnsi" w:cstheme="minorHAnsi"/>
          <w:bCs/>
          <w:color w:val="000000" w:themeColor="text1"/>
          <w:sz w:val="18"/>
          <w:szCs w:val="18"/>
          <w:lang w:val="en-US"/>
        </w:rPr>
      </w:pPr>
      <w:r w:rsidRPr="001E1E35">
        <w:rPr>
          <w:rFonts w:asciiTheme="minorHAnsi" w:hAnsiTheme="minorHAnsi" w:cstheme="minorHAnsi"/>
          <w:bCs/>
          <w:color w:val="000000" w:themeColor="text1"/>
          <w:sz w:val="18"/>
          <w:szCs w:val="18"/>
          <w:lang w:val="en-US"/>
        </w:rPr>
        <w:t>Seymour et al . Venetoclax–Rituximab in Relapsed or Refractory Chronic Lymphocytic Leukemia. N Engl J Med 2018; 378:1107-1120</w:t>
      </w:r>
      <w:r w:rsidR="00CE05A3" w:rsidRPr="001E1E35">
        <w:rPr>
          <w:rFonts w:asciiTheme="minorHAnsi" w:hAnsiTheme="minorHAnsi" w:cstheme="minorHAnsi"/>
          <w:bCs/>
          <w:color w:val="000000" w:themeColor="text1"/>
          <w:sz w:val="18"/>
          <w:szCs w:val="18"/>
          <w:lang w:val="en-US"/>
        </w:rPr>
        <w:t>.</w:t>
      </w:r>
    </w:p>
    <w:p w14:paraId="607B5F65" w14:textId="77777777" w:rsidR="00643FFE" w:rsidRPr="001E1E35" w:rsidRDefault="00643FFE" w:rsidP="000C0C21">
      <w:pPr>
        <w:spacing w:line="240" w:lineRule="auto"/>
        <w:jc w:val="both"/>
        <w:rPr>
          <w:rFonts w:asciiTheme="minorHAnsi" w:hAnsiTheme="minorHAnsi" w:cstheme="minorHAnsi"/>
          <w:b/>
          <w:bCs/>
          <w:i/>
          <w:iCs/>
          <w:color w:val="000000" w:themeColor="text1"/>
          <w:sz w:val="24"/>
          <w:szCs w:val="24"/>
        </w:rPr>
      </w:pPr>
      <w:bookmarkStart w:id="28" w:name="_Toc408380481"/>
      <w:r w:rsidRPr="001E1E35">
        <w:rPr>
          <w:rFonts w:asciiTheme="minorHAnsi" w:hAnsiTheme="minorHAnsi" w:cstheme="minorHAnsi"/>
          <w:color w:val="000000" w:themeColor="text1"/>
        </w:rPr>
        <w:br w:type="page"/>
      </w:r>
    </w:p>
    <w:p w14:paraId="5389EC86" w14:textId="28F8938B" w:rsidR="003655E2" w:rsidRPr="001E1E35" w:rsidRDefault="003655E2" w:rsidP="00085BDC">
      <w:pPr>
        <w:pStyle w:val="berschrift2"/>
        <w:numPr>
          <w:ilvl w:val="1"/>
          <w:numId w:val="11"/>
        </w:numPr>
        <w:ind w:hanging="720"/>
      </w:pPr>
      <w:bookmarkStart w:id="29" w:name="_Toc66727238"/>
      <w:r w:rsidRPr="00085BDC">
        <w:lastRenderedPageBreak/>
        <w:t>Molekulare</w:t>
      </w:r>
      <w:r w:rsidRPr="001E1E35">
        <w:t xml:space="preserve"> Remission - MRD</w:t>
      </w:r>
      <w:bookmarkEnd w:id="28"/>
      <w:bookmarkEnd w:id="29"/>
    </w:p>
    <w:p w14:paraId="5389EC87" w14:textId="10EBA2BA"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Cs w:val="22"/>
          <w:lang w:val="de-DE" w:eastAsia="de-AT"/>
        </w:rPr>
      </w:pPr>
      <w:r w:rsidRPr="001E1E35">
        <w:rPr>
          <w:rFonts w:asciiTheme="minorHAnsi" w:hAnsiTheme="minorHAnsi" w:cstheme="minorHAnsi"/>
          <w:color w:val="000000" w:themeColor="text1"/>
          <w:szCs w:val="22"/>
          <w:lang w:eastAsia="de-AT"/>
        </w:rPr>
        <w:t>Optional</w:t>
      </w:r>
      <w:r w:rsidR="00643FFE" w:rsidRPr="001E1E35">
        <w:rPr>
          <w:rFonts w:asciiTheme="minorHAnsi" w:hAnsiTheme="minorHAnsi" w:cstheme="minorHAnsi"/>
          <w:color w:val="000000" w:themeColor="text1"/>
          <w:szCs w:val="22"/>
          <w:lang w:eastAsia="de-AT"/>
        </w:rPr>
        <w:t xml:space="preserve">, </w:t>
      </w:r>
      <w:r w:rsidRPr="001E1E35">
        <w:rPr>
          <w:rFonts w:asciiTheme="minorHAnsi" w:hAnsiTheme="minorHAnsi" w:cstheme="minorHAnsi"/>
          <w:color w:val="000000" w:themeColor="text1"/>
          <w:szCs w:val="22"/>
          <w:lang w:val="de-DE" w:eastAsia="de-AT"/>
        </w:rPr>
        <w:t>da vorerst ohne klinische Konsequenz</w:t>
      </w:r>
      <w:r w:rsidR="00643FFE" w:rsidRPr="001E1E35">
        <w:rPr>
          <w:rFonts w:asciiTheme="minorHAnsi" w:hAnsiTheme="minorHAnsi" w:cstheme="minorHAnsi"/>
          <w:color w:val="000000" w:themeColor="text1"/>
          <w:szCs w:val="22"/>
          <w:lang w:val="de-DE" w:eastAsia="de-AT"/>
        </w:rPr>
        <w:t>.</w:t>
      </w:r>
    </w:p>
    <w:p w14:paraId="5389EC88"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Cs w:val="22"/>
          <w:lang w:val="de-DE" w:eastAsia="de-AT"/>
        </w:rPr>
      </w:pPr>
    </w:p>
    <w:p w14:paraId="5389EC89"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Cs w:val="22"/>
          <w:lang w:val="de-DE" w:eastAsia="de-AT"/>
        </w:rPr>
      </w:pPr>
      <w:r w:rsidRPr="001E1E35">
        <w:rPr>
          <w:rFonts w:asciiTheme="minorHAnsi" w:hAnsiTheme="minorHAnsi" w:cstheme="minorHAnsi"/>
          <w:color w:val="000000" w:themeColor="text1"/>
          <w:szCs w:val="22"/>
          <w:lang w:val="de-DE" w:eastAsia="de-AT"/>
        </w:rPr>
        <w:t>Die MRD wird definiert als &lt; 1 CLL Zelle/10.000 Blut oder KM Zellen (bei &lt; 3mo post Therapie)  und kann sowohl mit PCR als auch mit Flowzytometrie nachgewiesen werden.</w:t>
      </w:r>
    </w:p>
    <w:p w14:paraId="48585BAB" w14:textId="150093FB" w:rsidR="00643FFE" w:rsidRPr="001E1E35" w:rsidRDefault="003655E2" w:rsidP="00085BDC">
      <w:pPr>
        <w:pStyle w:val="berschrift2"/>
        <w:numPr>
          <w:ilvl w:val="1"/>
          <w:numId w:val="11"/>
        </w:numPr>
        <w:ind w:hanging="720"/>
      </w:pPr>
      <w:bookmarkStart w:id="30" w:name="_Toc408380482"/>
      <w:bookmarkStart w:id="31" w:name="_Toc66727239"/>
      <w:r w:rsidRPr="001E1E35">
        <w:t>Stammzelltransplantation</w:t>
      </w:r>
      <w:bookmarkEnd w:id="30"/>
      <w:bookmarkEnd w:id="31"/>
    </w:p>
    <w:p w14:paraId="786CA0E1" w14:textId="222A025F" w:rsidR="00643FFE" w:rsidRPr="001E1E35" w:rsidRDefault="003655E2" w:rsidP="000C0C21">
      <w:pPr>
        <w:spacing w:line="276" w:lineRule="auto"/>
        <w:jc w:val="both"/>
        <w:rPr>
          <w:rFonts w:asciiTheme="minorHAnsi" w:hAnsiTheme="minorHAnsi" w:cstheme="minorHAnsi"/>
          <w:b/>
          <w:noProof/>
          <w:color w:val="000000" w:themeColor="text1"/>
          <w:szCs w:val="22"/>
        </w:rPr>
      </w:pPr>
      <w:r w:rsidRPr="001E1E35">
        <w:rPr>
          <w:rFonts w:asciiTheme="minorHAnsi" w:hAnsiTheme="minorHAnsi" w:cstheme="minorHAnsi"/>
          <w:b/>
          <w:noProof/>
          <w:color w:val="000000" w:themeColor="text1"/>
          <w:szCs w:val="22"/>
        </w:rPr>
        <w:t>Autologe Transplantation</w:t>
      </w:r>
      <w:r w:rsidR="00643FFE" w:rsidRPr="001E1E35">
        <w:rPr>
          <w:rFonts w:asciiTheme="minorHAnsi" w:hAnsiTheme="minorHAnsi" w:cstheme="minorHAnsi"/>
          <w:b/>
          <w:noProof/>
          <w:color w:val="000000" w:themeColor="text1"/>
          <w:szCs w:val="22"/>
        </w:rPr>
        <w:t xml:space="preserve"> (entnommen aus den Empfehlungen der DGHO/OEGHO/SGMO „Onkopedia“:)</w:t>
      </w:r>
    </w:p>
    <w:p w14:paraId="08784461" w14:textId="77777777" w:rsidR="00643FFE" w:rsidRPr="001E1E35" w:rsidRDefault="00643FFE" w:rsidP="000C0C21">
      <w:pPr>
        <w:spacing w:line="276" w:lineRule="auto"/>
        <w:jc w:val="both"/>
        <w:rPr>
          <w:rFonts w:asciiTheme="minorHAnsi" w:hAnsiTheme="minorHAnsi" w:cstheme="minorHAnsi"/>
          <w:color w:val="000000" w:themeColor="text1"/>
          <w:szCs w:val="22"/>
        </w:rPr>
      </w:pPr>
    </w:p>
    <w:p w14:paraId="5389EC8C" w14:textId="388312B7" w:rsidR="003655E2" w:rsidRPr="001E1E35" w:rsidRDefault="00643FFE" w:rsidP="000C0C21">
      <w:pPr>
        <w:spacing w:line="276" w:lineRule="auto"/>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Die Hochdosistherapie mit autologer Blutstammzelltransplantation führt im Vergleich zu Chemoimmuntherapien zu keiner Erhöhung der Remissions- und der langfristigen Überlebensraten, so dass dieses Verfahren zur Therapie der CLL nicht mehr empfohlen werden kann. Eine Ausnahme stellt die Richter-Transformation dar, wenn eine allogene Transplantation nicht möglich ist.</w:t>
      </w:r>
    </w:p>
    <w:p w14:paraId="559A856B" w14:textId="77777777" w:rsidR="00643FFE" w:rsidRPr="001E1E35" w:rsidRDefault="00643FFE" w:rsidP="000C0C21">
      <w:pPr>
        <w:spacing w:line="276" w:lineRule="auto"/>
        <w:jc w:val="both"/>
        <w:rPr>
          <w:rFonts w:asciiTheme="minorHAnsi" w:hAnsiTheme="minorHAnsi" w:cstheme="minorHAnsi"/>
          <w:noProof/>
          <w:color w:val="000000" w:themeColor="text1"/>
          <w:szCs w:val="22"/>
        </w:rPr>
      </w:pPr>
    </w:p>
    <w:p w14:paraId="5389EC8D" w14:textId="4102C888" w:rsidR="003655E2" w:rsidRPr="001E1E35" w:rsidRDefault="003655E2" w:rsidP="000C0C21">
      <w:pPr>
        <w:spacing w:line="276" w:lineRule="auto"/>
        <w:jc w:val="both"/>
        <w:rPr>
          <w:rFonts w:asciiTheme="minorHAnsi" w:hAnsiTheme="minorHAnsi" w:cstheme="minorHAnsi"/>
          <w:b/>
          <w:noProof/>
          <w:color w:val="000000" w:themeColor="text1"/>
          <w:szCs w:val="22"/>
        </w:rPr>
      </w:pPr>
      <w:r w:rsidRPr="001E1E35">
        <w:rPr>
          <w:rFonts w:asciiTheme="minorHAnsi" w:hAnsiTheme="minorHAnsi" w:cstheme="minorHAnsi"/>
          <w:b/>
          <w:noProof/>
          <w:color w:val="000000" w:themeColor="text1"/>
          <w:szCs w:val="22"/>
        </w:rPr>
        <w:t>Allogene Transplantation</w:t>
      </w:r>
      <w:r w:rsidR="00643FFE" w:rsidRPr="001E1E35">
        <w:rPr>
          <w:rFonts w:asciiTheme="minorHAnsi" w:hAnsiTheme="minorHAnsi" w:cstheme="minorHAnsi"/>
          <w:b/>
          <w:noProof/>
          <w:color w:val="000000" w:themeColor="text1"/>
          <w:szCs w:val="22"/>
        </w:rPr>
        <w:t xml:space="preserve"> (entnommen aus den Empfehlungen der DGHO/OEGHO/SGMO „Onkopedia“</w:t>
      </w:r>
      <w:r w:rsidRPr="001E1E35">
        <w:rPr>
          <w:rFonts w:asciiTheme="minorHAnsi" w:hAnsiTheme="minorHAnsi" w:cstheme="minorHAnsi"/>
          <w:b/>
          <w:noProof/>
          <w:color w:val="000000" w:themeColor="text1"/>
          <w:szCs w:val="22"/>
        </w:rPr>
        <w:t>:</w:t>
      </w:r>
      <w:r w:rsidR="00643FFE" w:rsidRPr="001E1E35">
        <w:rPr>
          <w:rFonts w:asciiTheme="minorHAnsi" w:hAnsiTheme="minorHAnsi" w:cstheme="minorHAnsi"/>
          <w:b/>
          <w:noProof/>
          <w:color w:val="000000" w:themeColor="text1"/>
          <w:szCs w:val="22"/>
        </w:rPr>
        <w:t>)</w:t>
      </w:r>
    </w:p>
    <w:p w14:paraId="2F3F143B" w14:textId="77777777" w:rsidR="00643FFE" w:rsidRPr="001E1E35" w:rsidRDefault="00643FFE" w:rsidP="000C0C21">
      <w:pPr>
        <w:spacing w:line="276" w:lineRule="auto"/>
        <w:jc w:val="both"/>
        <w:rPr>
          <w:rFonts w:asciiTheme="minorHAnsi" w:hAnsiTheme="minorHAnsi" w:cstheme="minorHAnsi"/>
          <w:noProof/>
          <w:color w:val="000000" w:themeColor="text1"/>
          <w:szCs w:val="22"/>
        </w:rPr>
      </w:pPr>
    </w:p>
    <w:p w14:paraId="5AFE7246" w14:textId="56D93534" w:rsidR="00643FFE" w:rsidRPr="001E1E35" w:rsidRDefault="00643FFE" w:rsidP="000C0C21">
      <w:pPr>
        <w:spacing w:line="276" w:lineRule="auto"/>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Die Verfügbarkeit hoch wirksamer molekularer Therapien mit der damit einhergehenden Verbesserung der Prognose hat den Stellenwert der allogenen Stammzelltransplantation bei der CLL stark relativiert. Sie bleibt jedoch eine Option in Situationen, die auch mit den modernen Therapiemöglichkeiten mit einer relativ ungünstigen Prognose assoziiert sind. Die European Research Initiative on CLL (ERIC) und die European Society for Blood and Marrow Transplantation (EBMT) haben die Indikationskriterien aktuell mit dieser Unterteilung revidiert</w:t>
      </w:r>
      <w:r w:rsidR="00111D34" w:rsidRPr="001E1E35">
        <w:rPr>
          <w:rStyle w:val="Funotenzeichen"/>
          <w:rFonts w:asciiTheme="minorHAnsi" w:hAnsiTheme="minorHAnsi" w:cstheme="minorHAnsi"/>
          <w:color w:val="000000" w:themeColor="text1"/>
          <w:szCs w:val="22"/>
        </w:rPr>
        <w:footnoteReference w:id="6"/>
      </w:r>
      <w:r w:rsidRPr="001E1E35">
        <w:rPr>
          <w:rFonts w:asciiTheme="minorHAnsi" w:hAnsiTheme="minorHAnsi" w:cstheme="minorHAnsi"/>
          <w:color w:val="000000" w:themeColor="text1"/>
          <w:szCs w:val="22"/>
        </w:rPr>
        <w:t>:</w:t>
      </w:r>
    </w:p>
    <w:p w14:paraId="6E72CFBA" w14:textId="77777777" w:rsidR="00643FFE" w:rsidRPr="001E1E35" w:rsidRDefault="00643FFE" w:rsidP="0064398F">
      <w:pPr>
        <w:numPr>
          <w:ilvl w:val="0"/>
          <w:numId w:val="5"/>
        </w:numPr>
        <w:spacing w:before="100" w:beforeAutospacing="1" w:after="100" w:afterAutospacing="1" w:line="276" w:lineRule="auto"/>
        <w:ind w:left="1125"/>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CLL Hochrisiko I: resistent gegenüber Chemoimmuntherapie (falls durchgeführt), </w:t>
      </w:r>
      <w:r w:rsidRPr="001E1E35">
        <w:rPr>
          <w:rFonts w:asciiTheme="minorHAnsi" w:hAnsiTheme="minorHAnsi" w:cstheme="minorHAnsi"/>
          <w:i/>
          <w:iCs/>
          <w:color w:val="000000" w:themeColor="text1"/>
          <w:szCs w:val="22"/>
        </w:rPr>
        <w:t>TP53</w:t>
      </w:r>
      <w:r w:rsidRPr="001E1E35">
        <w:rPr>
          <w:rFonts w:asciiTheme="minorHAnsi" w:hAnsiTheme="minorHAnsi" w:cstheme="minorHAnsi"/>
          <w:color w:val="000000" w:themeColor="text1"/>
          <w:szCs w:val="22"/>
        </w:rPr>
        <w:t xml:space="preserve">-Mutation oder -Deletion, sensitiv gegenüber Signalwegsinhibitoren (BTKI, Venetoclax); </w:t>
      </w:r>
    </w:p>
    <w:p w14:paraId="45980CC7" w14:textId="77777777" w:rsidR="00643FFE" w:rsidRPr="001E1E35" w:rsidRDefault="00643FFE" w:rsidP="0064398F">
      <w:pPr>
        <w:numPr>
          <w:ilvl w:val="0"/>
          <w:numId w:val="5"/>
        </w:numPr>
        <w:spacing w:before="100" w:beforeAutospacing="1" w:after="100" w:afterAutospacing="1" w:line="276" w:lineRule="auto"/>
        <w:ind w:left="1125"/>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CLL Hochrisiko II: resistent gegenüber Chemoimmuntherapie und gegenüber mindestens einem Signalwegsinhibitor (BTKI und/oder Venetoclax).</w:t>
      </w:r>
    </w:p>
    <w:p w14:paraId="752F1205" w14:textId="77777777" w:rsidR="00643FFE" w:rsidRPr="001E1E35" w:rsidRDefault="00643FFE" w:rsidP="000C0C21">
      <w:pPr>
        <w:spacing w:line="276" w:lineRule="auto"/>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Bei Patienten mit Hochrisiko I kann bei Ansprechen auf eine zielgerichtete Substanz eine allogene Transplantation bei niedrigem Transplantationsrisiko (gut passender Spender, keine Komorbidität, &lt;65 Jahre) erwogen werden. Im Gegensatz dazu wird bei Patienten mit </w:t>
      </w:r>
      <w:r w:rsidRPr="001E1E35">
        <w:rPr>
          <w:rFonts w:asciiTheme="minorHAnsi" w:hAnsiTheme="minorHAnsi" w:cstheme="minorHAnsi"/>
          <w:i/>
          <w:iCs/>
          <w:color w:val="000000" w:themeColor="text1"/>
          <w:szCs w:val="22"/>
        </w:rPr>
        <w:t>TP53</w:t>
      </w:r>
      <w:r w:rsidRPr="001E1E35">
        <w:rPr>
          <w:rFonts w:asciiTheme="minorHAnsi" w:hAnsiTheme="minorHAnsi" w:cstheme="minorHAnsi"/>
          <w:color w:val="000000" w:themeColor="text1"/>
          <w:szCs w:val="22"/>
        </w:rPr>
        <w:t xml:space="preserve">-Aberration eine konsolidierende allogene Transplantation in der ersten Therapielinie nicht mehr empfohlen. </w:t>
      </w:r>
    </w:p>
    <w:p w14:paraId="29D340F4" w14:textId="77777777" w:rsidR="00643FFE" w:rsidRPr="001E1E35" w:rsidRDefault="00643FFE" w:rsidP="000C0C21">
      <w:pPr>
        <w:spacing w:line="276" w:lineRule="auto"/>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Bei Patienten mit Hochrisiko II, die sowohl auf Chemoimmuntherapie und mindestens eine gezielte Therapie refraktär sind, stellt die allogene Transplantation unabhängig vom </w:t>
      </w:r>
      <w:r w:rsidRPr="001E1E35">
        <w:rPr>
          <w:rFonts w:asciiTheme="minorHAnsi" w:hAnsiTheme="minorHAnsi" w:cstheme="minorHAnsi"/>
          <w:i/>
          <w:iCs/>
          <w:color w:val="000000" w:themeColor="text1"/>
          <w:szCs w:val="22"/>
        </w:rPr>
        <w:t>TP53-</w:t>
      </w:r>
      <w:r w:rsidRPr="001E1E35">
        <w:rPr>
          <w:rFonts w:asciiTheme="minorHAnsi" w:hAnsiTheme="minorHAnsi" w:cstheme="minorHAnsi"/>
          <w:color w:val="000000" w:themeColor="text1"/>
          <w:szCs w:val="22"/>
        </w:rPr>
        <w:t>Status eine Option dar. Auch Patienten mit CLL und Richter-Transformation sollten einer allogenen Transplantation zugeführt werden, sofern dies die Fitness des Patienten und die Spendersituation erlauben.</w:t>
      </w:r>
    </w:p>
    <w:p w14:paraId="286FA34A" w14:textId="77777777" w:rsidR="00643FFE" w:rsidRPr="001E1E35" w:rsidRDefault="00643FFE" w:rsidP="000C0C21">
      <w:pPr>
        <w:spacing w:line="276" w:lineRule="auto"/>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 xml:space="preserve">Indikation, Zeitpunkt und Durchführung einer Transplantation inklusive der Spendersuche sollten in enger Kooperation mit einem Transplantationszentrum vor Einleitung einer Salvage- bzw. Erstlinientherapie </w:t>
      </w:r>
      <w:r w:rsidRPr="001E1E35">
        <w:rPr>
          <w:rFonts w:asciiTheme="minorHAnsi" w:hAnsiTheme="minorHAnsi" w:cstheme="minorHAnsi"/>
          <w:color w:val="000000" w:themeColor="text1"/>
          <w:szCs w:val="22"/>
        </w:rPr>
        <w:lastRenderedPageBreak/>
        <w:t>abgeklärt werden. Ein wichtiger prognostischer Faktor für das Erreichen einer langfristigen Krankheitskontrolle ist das Vorhandensein einer Remission zum Zeitpunkt der allogenen Transplantation. Die Transplantation sollte, sofern möglich, innerhalb klinischer Studien erfolgen.</w:t>
      </w:r>
    </w:p>
    <w:p w14:paraId="48709F9D" w14:textId="77777777" w:rsidR="00E62529" w:rsidRPr="001E1E35" w:rsidRDefault="00E62529" w:rsidP="000C0C21">
      <w:pPr>
        <w:spacing w:line="276" w:lineRule="auto"/>
        <w:jc w:val="both"/>
        <w:rPr>
          <w:rFonts w:asciiTheme="minorHAnsi" w:hAnsiTheme="minorHAnsi" w:cstheme="minorHAnsi"/>
          <w:color w:val="000000" w:themeColor="text1"/>
          <w:szCs w:val="22"/>
        </w:rPr>
      </w:pPr>
    </w:p>
    <w:p w14:paraId="4467422D" w14:textId="0432DABC" w:rsidR="00672A00" w:rsidRPr="00235318" w:rsidRDefault="00E62529" w:rsidP="00085BDC">
      <w:pPr>
        <w:pStyle w:val="berschrift2"/>
        <w:numPr>
          <w:ilvl w:val="1"/>
          <w:numId w:val="11"/>
        </w:numPr>
        <w:ind w:hanging="720"/>
      </w:pPr>
      <w:bookmarkStart w:id="32" w:name="_Toc66727240"/>
      <w:r w:rsidRPr="00235318">
        <w:t>CAR-T-Zell-Therapie</w:t>
      </w:r>
      <w:bookmarkEnd w:id="32"/>
    </w:p>
    <w:p w14:paraId="5389EC90" w14:textId="12AE803F" w:rsidR="003655E2" w:rsidRPr="00235318" w:rsidRDefault="00235318" w:rsidP="000C0C21">
      <w:pPr>
        <w:spacing w:line="276" w:lineRule="auto"/>
        <w:jc w:val="both"/>
        <w:rPr>
          <w:rFonts w:asciiTheme="minorHAnsi" w:hAnsiTheme="minorHAnsi" w:cstheme="minorHAnsi"/>
        </w:rPr>
      </w:pPr>
      <w:r w:rsidRPr="00235318">
        <w:rPr>
          <w:rFonts w:asciiTheme="minorHAnsi" w:hAnsiTheme="minorHAnsi" w:cstheme="minorHAnsi"/>
        </w:rPr>
        <w:t xml:space="preserve">Die Car-T-Zell-Therapie stellt aktuell keinen klinischen Standard dar und sollte nur im Rahmen von Studien in ausgewählten Fällen zum Einsatz kommen. Falls erforderlich sollte die Kontaktaufnahme eines Zentrums über die CAR-T-Cell Plattform Österreich erfolgen. </w:t>
      </w:r>
    </w:p>
    <w:p w14:paraId="4B7AB2D3" w14:textId="77777777" w:rsidR="00235318" w:rsidRPr="001E1E35" w:rsidRDefault="00235318" w:rsidP="000C0C21">
      <w:pPr>
        <w:jc w:val="both"/>
        <w:rPr>
          <w:rFonts w:asciiTheme="minorHAnsi" w:hAnsiTheme="minorHAnsi" w:cstheme="minorHAnsi"/>
          <w:noProof/>
          <w:color w:val="000000" w:themeColor="text1"/>
          <w:szCs w:val="22"/>
        </w:rPr>
      </w:pPr>
    </w:p>
    <w:p w14:paraId="5389EC92" w14:textId="77777777" w:rsidR="003655E2" w:rsidRPr="001E1E35" w:rsidRDefault="003655E2" w:rsidP="000C0C21">
      <w:pPr>
        <w:autoSpaceDE w:val="0"/>
        <w:autoSpaceDN w:val="0"/>
        <w:adjustRightInd w:val="0"/>
        <w:spacing w:line="288" w:lineRule="auto"/>
        <w:jc w:val="both"/>
        <w:rPr>
          <w:rFonts w:asciiTheme="minorHAnsi" w:hAnsiTheme="minorHAnsi" w:cstheme="minorHAnsi"/>
          <w:color w:val="000000" w:themeColor="text1"/>
          <w:sz w:val="8"/>
          <w:szCs w:val="8"/>
          <w:lang w:val="de-DE" w:eastAsia="de-AT"/>
        </w:rPr>
      </w:pPr>
    </w:p>
    <w:p w14:paraId="5389EC93" w14:textId="3E4D79FC" w:rsidR="003655E2" w:rsidRPr="001E1E35" w:rsidRDefault="003655E2" w:rsidP="00085BDC">
      <w:pPr>
        <w:pStyle w:val="berschrift1"/>
        <w:numPr>
          <w:ilvl w:val="0"/>
          <w:numId w:val="11"/>
        </w:numPr>
        <w:ind w:hanging="720"/>
        <w:jc w:val="both"/>
        <w:rPr>
          <w:rFonts w:cstheme="minorHAnsi"/>
          <w:color w:val="000000" w:themeColor="text1"/>
        </w:rPr>
      </w:pPr>
      <w:bookmarkStart w:id="33" w:name="_Toc408380483"/>
      <w:bookmarkStart w:id="34" w:name="_Toc66727241"/>
      <w:r w:rsidRPr="001E1E35">
        <w:rPr>
          <w:rFonts w:cstheme="minorHAnsi"/>
          <w:color w:val="000000" w:themeColor="text1"/>
        </w:rPr>
        <w:t>Besondere klinische Situationen</w:t>
      </w:r>
      <w:bookmarkEnd w:id="33"/>
      <w:bookmarkEnd w:id="34"/>
      <w:r w:rsidRPr="001E1E35">
        <w:rPr>
          <w:rFonts w:cstheme="minorHAnsi"/>
          <w:color w:val="000000" w:themeColor="text1"/>
        </w:rPr>
        <w:t xml:space="preserve"> </w:t>
      </w:r>
    </w:p>
    <w:p w14:paraId="5389EC94" w14:textId="77777777" w:rsidR="003655E2" w:rsidRPr="001E1E35" w:rsidRDefault="003655E2" w:rsidP="000C0C21">
      <w:pPr>
        <w:pStyle w:val="Listenabsatz"/>
        <w:spacing w:line="276" w:lineRule="auto"/>
        <w:ind w:left="426"/>
        <w:jc w:val="both"/>
        <w:rPr>
          <w:rFonts w:asciiTheme="minorHAnsi" w:hAnsiTheme="minorHAnsi" w:cstheme="minorHAnsi"/>
          <w:noProof/>
          <w:color w:val="000000" w:themeColor="text1"/>
          <w:sz w:val="8"/>
          <w:szCs w:val="8"/>
        </w:rPr>
      </w:pPr>
    </w:p>
    <w:p w14:paraId="5389EC95"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Hep B Screening vor Antikörpertherapie </w:t>
      </w:r>
    </w:p>
    <w:p w14:paraId="5389EC96"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Herpes und Pneumocystis –Prophylaxe bei Purinanaloga u/o. MabCampath </w:t>
      </w:r>
    </w:p>
    <w:p w14:paraId="5389EC97" w14:textId="77777777" w:rsidR="003655E2"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 xml:space="preserve">CMV-Screening bei MabCampath </w:t>
      </w:r>
    </w:p>
    <w:p w14:paraId="5389EC98" w14:textId="615DF139" w:rsidR="003655E2" w:rsidRPr="001E1E35" w:rsidRDefault="00235318"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Neben der COVID-19 Impfung werden j</w:t>
      </w:r>
      <w:r w:rsidR="003655E2" w:rsidRPr="001E1E35">
        <w:rPr>
          <w:rFonts w:asciiTheme="minorHAnsi" w:hAnsiTheme="minorHAnsi" w:cstheme="minorHAnsi"/>
          <w:noProof/>
          <w:color w:val="000000" w:themeColor="text1"/>
          <w:szCs w:val="22"/>
        </w:rPr>
        <w:t>ährliche Influenza- und alle 5 Jahre Pneumokokkenimpfung</w:t>
      </w:r>
    </w:p>
    <w:p w14:paraId="5389EC99" w14:textId="77777777" w:rsidR="003655E2" w:rsidRPr="001E1E35" w:rsidRDefault="003655E2" w:rsidP="000C0C21">
      <w:pPr>
        <w:pStyle w:val="Listenabsatz"/>
        <w:spacing w:line="276" w:lineRule="auto"/>
        <w:ind w:left="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Erfolgreiche Influenzaimpfung allerdings frühestens 9 Mo post Rituximab zu erwarten;</w:t>
      </w:r>
    </w:p>
    <w:p w14:paraId="5389EC9A" w14:textId="77777777" w:rsidR="003655E2" w:rsidRPr="001E1E35" w:rsidRDefault="003655E2" w:rsidP="000C0C21">
      <w:pPr>
        <w:pStyle w:val="Listenabsatz"/>
        <w:spacing w:line="276" w:lineRule="auto"/>
        <w:ind w:left="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keine Lebendimpfungen !</w:t>
      </w:r>
    </w:p>
    <w:p w14:paraId="5389EC9B"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Rekurrente Infektionen und IgG &lt; 500 mg/dl: 0,3-05 g/kgKG IVIG/mo</w:t>
      </w:r>
    </w:p>
    <w:p w14:paraId="5389EC9C" w14:textId="77777777" w:rsidR="003655E2" w:rsidRPr="001E1E35" w:rsidRDefault="003655E2" w:rsidP="0064398F">
      <w:pPr>
        <w:pStyle w:val="Listenabsatz"/>
        <w:numPr>
          <w:ilvl w:val="0"/>
          <w:numId w:val="3"/>
        </w:numPr>
        <w:spacing w:line="276" w:lineRule="auto"/>
        <w:ind w:left="426" w:hanging="426"/>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Nur bestrahlte Blutprodukte supportieren</w:t>
      </w:r>
    </w:p>
    <w:p w14:paraId="61D5133B" w14:textId="77777777" w:rsidR="00CE05A3" w:rsidRPr="001E1E35" w:rsidRDefault="00CE05A3" w:rsidP="000C0C21">
      <w:pPr>
        <w:pStyle w:val="Listenabsatz"/>
        <w:spacing w:line="276" w:lineRule="auto"/>
        <w:ind w:left="426"/>
        <w:jc w:val="both"/>
        <w:rPr>
          <w:rFonts w:asciiTheme="minorHAnsi" w:hAnsiTheme="minorHAnsi" w:cstheme="minorHAnsi"/>
          <w:noProof/>
          <w:color w:val="000000" w:themeColor="text1"/>
          <w:szCs w:val="22"/>
        </w:rPr>
      </w:pPr>
    </w:p>
    <w:p w14:paraId="5389EC9D" w14:textId="77777777" w:rsidR="003655E2" w:rsidRPr="001E1E35" w:rsidRDefault="003655E2" w:rsidP="000C0C21">
      <w:pPr>
        <w:pStyle w:val="Textkrper-Einzug2"/>
        <w:spacing w:line="276" w:lineRule="auto"/>
        <w:ind w:left="0"/>
        <w:jc w:val="both"/>
        <w:rPr>
          <w:rFonts w:asciiTheme="minorHAnsi" w:hAnsiTheme="minorHAnsi" w:cstheme="minorHAnsi"/>
          <w:color w:val="000000" w:themeColor="text1"/>
          <w:sz w:val="8"/>
          <w:szCs w:val="8"/>
        </w:rPr>
      </w:pPr>
    </w:p>
    <w:p w14:paraId="5389EC9E" w14:textId="45FE75F3" w:rsidR="003655E2" w:rsidRPr="001E1E35" w:rsidRDefault="003655E2" w:rsidP="00085BDC">
      <w:pPr>
        <w:pStyle w:val="berschrift1"/>
        <w:numPr>
          <w:ilvl w:val="0"/>
          <w:numId w:val="11"/>
        </w:numPr>
        <w:ind w:hanging="720"/>
        <w:jc w:val="both"/>
        <w:rPr>
          <w:rFonts w:cstheme="minorHAnsi"/>
          <w:color w:val="000000" w:themeColor="text1"/>
        </w:rPr>
      </w:pPr>
      <w:bookmarkStart w:id="35" w:name="_Toc367183619"/>
      <w:bookmarkStart w:id="36" w:name="_Toc367183857"/>
      <w:bookmarkStart w:id="37" w:name="_Toc408380484"/>
      <w:bookmarkStart w:id="38" w:name="_Toc66727242"/>
      <w:r w:rsidRPr="001E1E35">
        <w:rPr>
          <w:rFonts w:cstheme="minorHAnsi"/>
          <w:color w:val="000000" w:themeColor="text1"/>
        </w:rPr>
        <w:t>Verlaufskontrolle und Nachsorge</w:t>
      </w:r>
      <w:bookmarkEnd w:id="35"/>
      <w:bookmarkEnd w:id="36"/>
      <w:bookmarkEnd w:id="37"/>
      <w:bookmarkEnd w:id="38"/>
    </w:p>
    <w:p w14:paraId="5389EC9F" w14:textId="7C7C9B05" w:rsidR="003655E2" w:rsidRPr="001E1E35" w:rsidRDefault="003655E2" w:rsidP="00085BDC">
      <w:pPr>
        <w:pStyle w:val="berschrift2"/>
        <w:numPr>
          <w:ilvl w:val="1"/>
          <w:numId w:val="11"/>
        </w:numPr>
        <w:ind w:hanging="720"/>
      </w:pPr>
      <w:bookmarkStart w:id="39" w:name="_Toc408380485"/>
      <w:bookmarkStart w:id="40" w:name="_Toc66727243"/>
      <w:r w:rsidRPr="001E1E35">
        <w:t>watch &amp; wait</w:t>
      </w:r>
      <w:bookmarkEnd w:id="39"/>
      <w:bookmarkEnd w:id="40"/>
      <w:r w:rsidRPr="001E1E35">
        <w:t xml:space="preserve"> </w:t>
      </w:r>
    </w:p>
    <w:p w14:paraId="5389ECA0" w14:textId="77777777" w:rsidR="003655E2" w:rsidRPr="001E1E35" w:rsidRDefault="003655E2" w:rsidP="000C0C21">
      <w:pPr>
        <w:jc w:val="both"/>
        <w:rPr>
          <w:rFonts w:asciiTheme="minorHAnsi" w:hAnsiTheme="minorHAnsi" w:cstheme="minorHAnsi"/>
          <w:color w:val="000000" w:themeColor="text1"/>
        </w:rPr>
      </w:pPr>
    </w:p>
    <w:p w14:paraId="5389ECA1" w14:textId="77777777" w:rsidR="003655E2" w:rsidRPr="001E1E35" w:rsidRDefault="003655E2" w:rsidP="000C0C21">
      <w:pPr>
        <w:rPr>
          <w:rFonts w:asciiTheme="minorHAnsi" w:hAnsiTheme="minorHAnsi" w:cstheme="minorHAnsi"/>
          <w:color w:val="000000" w:themeColor="text1"/>
        </w:rPr>
      </w:pPr>
      <w:r w:rsidRPr="001E1E35">
        <w:rPr>
          <w:rFonts w:asciiTheme="minorHAnsi" w:hAnsiTheme="minorHAnsi" w:cstheme="minorHAnsi"/>
          <w:noProof/>
          <w:color w:val="000000" w:themeColor="text1"/>
          <w:lang w:eastAsia="de-AT"/>
        </w:rPr>
        <w:drawing>
          <wp:inline distT="0" distB="0" distL="0" distR="0" wp14:anchorId="5389ECDE" wp14:editId="5389ECDF">
            <wp:extent cx="4203700" cy="2668918"/>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6 CLL Visio.gif"/>
                    <pic:cNvPicPr/>
                  </pic:nvPicPr>
                  <pic:blipFill>
                    <a:blip r:embed="rId24">
                      <a:extLst>
                        <a:ext uri="{28A0092B-C50C-407E-A947-70E740481C1C}">
                          <a14:useLocalDpi xmlns:a14="http://schemas.microsoft.com/office/drawing/2010/main" val="0"/>
                        </a:ext>
                      </a:extLst>
                    </a:blip>
                    <a:stretch>
                      <a:fillRect/>
                    </a:stretch>
                  </pic:blipFill>
                  <pic:spPr>
                    <a:xfrm>
                      <a:off x="0" y="0"/>
                      <a:ext cx="4205755" cy="2670223"/>
                    </a:xfrm>
                    <a:prstGeom prst="rect">
                      <a:avLst/>
                    </a:prstGeom>
                  </pic:spPr>
                </pic:pic>
              </a:graphicData>
            </a:graphic>
          </wp:inline>
        </w:drawing>
      </w:r>
    </w:p>
    <w:p w14:paraId="5389ECA2" w14:textId="77777777" w:rsidR="003655E2" w:rsidRPr="001E1E35" w:rsidRDefault="003655E2" w:rsidP="000C0C21">
      <w:pPr>
        <w:jc w:val="both"/>
        <w:rPr>
          <w:rFonts w:asciiTheme="minorHAnsi" w:hAnsiTheme="minorHAnsi" w:cstheme="minorHAnsi"/>
          <w:color w:val="000000" w:themeColor="text1"/>
        </w:rPr>
      </w:pPr>
    </w:p>
    <w:p w14:paraId="5389ECA3" w14:textId="65F4A62E" w:rsidR="003655E2" w:rsidRPr="001E1E35" w:rsidRDefault="003655E2" w:rsidP="00085BDC">
      <w:pPr>
        <w:pStyle w:val="berschrift2"/>
        <w:numPr>
          <w:ilvl w:val="1"/>
          <w:numId w:val="11"/>
        </w:numPr>
        <w:ind w:hanging="720"/>
      </w:pPr>
      <w:bookmarkStart w:id="41" w:name="_Toc408380486"/>
      <w:bookmarkStart w:id="42" w:name="_Toc66727244"/>
      <w:r w:rsidRPr="001E1E35">
        <w:lastRenderedPageBreak/>
        <w:t>Nachsorge</w:t>
      </w:r>
      <w:bookmarkEnd w:id="41"/>
      <w:bookmarkEnd w:id="42"/>
    </w:p>
    <w:p w14:paraId="5389ECA4" w14:textId="77777777" w:rsidR="003655E2" w:rsidRPr="001E1E35" w:rsidRDefault="003655E2" w:rsidP="000C0C21">
      <w:pPr>
        <w:rPr>
          <w:rFonts w:asciiTheme="minorHAnsi" w:hAnsiTheme="minorHAnsi" w:cstheme="minorHAnsi"/>
          <w:color w:val="000000" w:themeColor="text1"/>
        </w:rPr>
      </w:pPr>
      <w:r w:rsidRPr="001E1E35">
        <w:rPr>
          <w:rFonts w:asciiTheme="minorHAnsi" w:hAnsiTheme="minorHAnsi" w:cstheme="minorHAnsi"/>
          <w:noProof/>
          <w:color w:val="000000" w:themeColor="text1"/>
          <w:lang w:eastAsia="de-AT"/>
        </w:rPr>
        <w:drawing>
          <wp:inline distT="0" distB="0" distL="0" distR="0" wp14:anchorId="5389ECE0" wp14:editId="5389ECE1">
            <wp:extent cx="4394200" cy="2583687"/>
            <wp:effectExtent l="0" t="0" r="635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6 CLL Visio.gif"/>
                    <pic:cNvPicPr/>
                  </pic:nvPicPr>
                  <pic:blipFill>
                    <a:blip r:embed="rId25">
                      <a:extLst>
                        <a:ext uri="{28A0092B-C50C-407E-A947-70E740481C1C}">
                          <a14:useLocalDpi xmlns:a14="http://schemas.microsoft.com/office/drawing/2010/main" val="0"/>
                        </a:ext>
                      </a:extLst>
                    </a:blip>
                    <a:stretch>
                      <a:fillRect/>
                    </a:stretch>
                  </pic:blipFill>
                  <pic:spPr>
                    <a:xfrm>
                      <a:off x="0" y="0"/>
                      <a:ext cx="4396349" cy="2584950"/>
                    </a:xfrm>
                    <a:prstGeom prst="rect">
                      <a:avLst/>
                    </a:prstGeom>
                  </pic:spPr>
                </pic:pic>
              </a:graphicData>
            </a:graphic>
          </wp:inline>
        </w:drawing>
      </w:r>
    </w:p>
    <w:p w14:paraId="5389ECA5" w14:textId="77777777" w:rsidR="003655E2" w:rsidRPr="001E1E35" w:rsidRDefault="003655E2" w:rsidP="000C0C21">
      <w:pPr>
        <w:pStyle w:val="Textkrper-Einzug2"/>
        <w:spacing w:line="276" w:lineRule="auto"/>
        <w:ind w:left="0"/>
        <w:jc w:val="both"/>
        <w:rPr>
          <w:rFonts w:asciiTheme="minorHAnsi" w:hAnsiTheme="minorHAnsi" w:cstheme="minorHAnsi"/>
          <w:color w:val="000000" w:themeColor="text1"/>
          <w:sz w:val="18"/>
          <w:szCs w:val="18"/>
        </w:rPr>
      </w:pPr>
      <w:r w:rsidRPr="001E1E35">
        <w:rPr>
          <w:rFonts w:asciiTheme="minorHAnsi" w:hAnsiTheme="minorHAnsi" w:cstheme="minorHAnsi"/>
          <w:color w:val="000000" w:themeColor="text1"/>
        </w:rPr>
        <w:tab/>
      </w:r>
      <w:r w:rsidRPr="001E1E35">
        <w:rPr>
          <w:rFonts w:asciiTheme="minorHAnsi" w:hAnsiTheme="minorHAnsi" w:cstheme="minorHAnsi"/>
          <w:color w:val="000000" w:themeColor="text1"/>
        </w:rPr>
        <w:tab/>
      </w:r>
    </w:p>
    <w:p w14:paraId="5389ECA9" w14:textId="53198C6B" w:rsidR="003655E2" w:rsidRDefault="003655E2" w:rsidP="000C0C21">
      <w:pPr>
        <w:pStyle w:val="Textkrper-Einzug2"/>
        <w:spacing w:after="0" w:line="276" w:lineRule="auto"/>
        <w:ind w:left="0"/>
        <w:jc w:val="both"/>
        <w:rPr>
          <w:rFonts w:asciiTheme="minorHAnsi" w:hAnsiTheme="minorHAnsi" w:cstheme="minorHAnsi"/>
          <w:color w:val="000000" w:themeColor="text1"/>
          <w:szCs w:val="22"/>
        </w:rPr>
      </w:pPr>
      <w:r w:rsidRPr="001E1E35">
        <w:rPr>
          <w:rFonts w:asciiTheme="minorHAnsi" w:hAnsiTheme="minorHAnsi" w:cstheme="minorHAnsi"/>
          <w:color w:val="000000" w:themeColor="text1"/>
          <w:szCs w:val="22"/>
        </w:rPr>
        <w:t>Cave: bei rascher Progredie</w:t>
      </w:r>
      <w:r w:rsidR="000C0C21">
        <w:rPr>
          <w:rFonts w:asciiTheme="minorHAnsi" w:hAnsiTheme="minorHAnsi" w:cstheme="minorHAnsi"/>
          <w:color w:val="000000" w:themeColor="text1"/>
          <w:szCs w:val="22"/>
        </w:rPr>
        <w:t xml:space="preserve">nz, hoher LDH an Übergang in hochmalignes </w:t>
      </w:r>
      <w:r w:rsidRPr="001E1E35">
        <w:rPr>
          <w:rFonts w:asciiTheme="minorHAnsi" w:hAnsiTheme="minorHAnsi" w:cstheme="minorHAnsi"/>
          <w:color w:val="000000" w:themeColor="text1"/>
          <w:szCs w:val="22"/>
        </w:rPr>
        <w:t>NHL denken (LK-Exstirpation!)</w:t>
      </w:r>
    </w:p>
    <w:p w14:paraId="162CD98A" w14:textId="3CB0E0FB" w:rsidR="00A1778E" w:rsidRDefault="00A1778E" w:rsidP="000C0C21">
      <w:pPr>
        <w:pStyle w:val="Textkrper-Einzug2"/>
        <w:spacing w:after="0" w:line="276" w:lineRule="auto"/>
        <w:ind w:left="0"/>
        <w:jc w:val="both"/>
        <w:rPr>
          <w:rFonts w:asciiTheme="minorHAnsi" w:hAnsiTheme="minorHAnsi" w:cstheme="minorHAnsi"/>
          <w:color w:val="000000" w:themeColor="text1"/>
          <w:szCs w:val="22"/>
        </w:rPr>
      </w:pPr>
    </w:p>
    <w:p w14:paraId="68B3C4BD" w14:textId="3615D35C" w:rsidR="00A1778E" w:rsidRDefault="00A1778E" w:rsidP="000C0C21">
      <w:pPr>
        <w:pStyle w:val="Textkrper-Einzug2"/>
        <w:spacing w:after="0" w:line="276" w:lineRule="auto"/>
        <w:ind w:left="0"/>
        <w:jc w:val="both"/>
        <w:rPr>
          <w:rFonts w:asciiTheme="minorHAnsi" w:hAnsiTheme="minorHAnsi" w:cstheme="minorHAnsi"/>
          <w:color w:val="000000" w:themeColor="text1"/>
          <w:szCs w:val="22"/>
        </w:rPr>
      </w:pPr>
    </w:p>
    <w:p w14:paraId="7E5A32E1" w14:textId="2718A704" w:rsidR="00A1778E" w:rsidRDefault="00A1778E" w:rsidP="000C0C21">
      <w:pPr>
        <w:pStyle w:val="Textkrper-Einzug2"/>
        <w:spacing w:after="0" w:line="276" w:lineRule="auto"/>
        <w:ind w:left="0"/>
        <w:jc w:val="both"/>
        <w:rPr>
          <w:rFonts w:asciiTheme="minorHAnsi" w:hAnsiTheme="minorHAnsi" w:cstheme="minorHAnsi"/>
          <w:color w:val="000000" w:themeColor="text1"/>
          <w:szCs w:val="22"/>
        </w:rPr>
      </w:pPr>
    </w:p>
    <w:p w14:paraId="77CBFBE6" w14:textId="77777777" w:rsidR="00A1778E" w:rsidRPr="001E1E35" w:rsidRDefault="00A1778E" w:rsidP="000C0C21">
      <w:pPr>
        <w:pStyle w:val="Textkrper-Einzug2"/>
        <w:spacing w:after="0" w:line="276" w:lineRule="auto"/>
        <w:ind w:left="0"/>
        <w:jc w:val="both"/>
        <w:rPr>
          <w:rFonts w:asciiTheme="minorHAnsi" w:hAnsiTheme="minorHAnsi" w:cstheme="minorHAnsi"/>
          <w:color w:val="000000" w:themeColor="text1"/>
          <w:szCs w:val="22"/>
        </w:rPr>
      </w:pPr>
    </w:p>
    <w:p w14:paraId="5389ECAA" w14:textId="77777777" w:rsidR="003655E2" w:rsidRPr="001E1E35" w:rsidRDefault="003655E2" w:rsidP="000C0C21">
      <w:pPr>
        <w:pStyle w:val="Textkrper-Einzug2"/>
        <w:spacing w:after="0" w:line="240" w:lineRule="auto"/>
        <w:ind w:left="0"/>
        <w:jc w:val="both"/>
        <w:rPr>
          <w:rFonts w:asciiTheme="minorHAnsi" w:hAnsiTheme="minorHAnsi" w:cstheme="minorHAnsi"/>
          <w:color w:val="000000" w:themeColor="text1"/>
          <w:szCs w:val="22"/>
        </w:rPr>
      </w:pPr>
    </w:p>
    <w:p w14:paraId="5389ECAB" w14:textId="31116127" w:rsidR="003655E2" w:rsidRPr="001E1E35" w:rsidRDefault="003655E2" w:rsidP="00085BDC">
      <w:pPr>
        <w:pStyle w:val="berschrift1"/>
        <w:numPr>
          <w:ilvl w:val="0"/>
          <w:numId w:val="11"/>
        </w:numPr>
        <w:ind w:hanging="720"/>
        <w:jc w:val="both"/>
        <w:rPr>
          <w:rFonts w:cstheme="minorHAnsi"/>
          <w:color w:val="000000" w:themeColor="text1"/>
        </w:rPr>
      </w:pPr>
      <w:bookmarkStart w:id="43" w:name="_Toc367183620"/>
      <w:bookmarkStart w:id="44" w:name="_Toc367183858"/>
      <w:bookmarkStart w:id="45" w:name="_Toc408380487"/>
      <w:bookmarkStart w:id="46" w:name="_Toc66727245"/>
      <w:r w:rsidRPr="001E1E35">
        <w:rPr>
          <w:rFonts w:cstheme="minorHAnsi"/>
          <w:color w:val="000000" w:themeColor="text1"/>
        </w:rPr>
        <w:t>Dokumentation und Qualitätsparameter</w:t>
      </w:r>
      <w:bookmarkEnd w:id="43"/>
      <w:bookmarkEnd w:id="44"/>
      <w:bookmarkEnd w:id="45"/>
      <w:bookmarkEnd w:id="46"/>
    </w:p>
    <w:p w14:paraId="5389ECAC" w14:textId="77777777" w:rsidR="003655E2" w:rsidRPr="001E1E35" w:rsidRDefault="003655E2" w:rsidP="000C0C21">
      <w:pPr>
        <w:pStyle w:val="Listenabsatz"/>
        <w:spacing w:line="276" w:lineRule="auto"/>
        <w:ind w:left="284" w:hanging="284"/>
        <w:jc w:val="both"/>
        <w:rPr>
          <w:rFonts w:asciiTheme="minorHAnsi" w:hAnsiTheme="minorHAnsi" w:cstheme="minorHAnsi"/>
          <w:noProof/>
          <w:color w:val="000000" w:themeColor="text1"/>
          <w:sz w:val="8"/>
          <w:szCs w:val="8"/>
        </w:rPr>
      </w:pPr>
    </w:p>
    <w:p w14:paraId="5389ECAD" w14:textId="77777777" w:rsidR="003655E2" w:rsidRPr="001E1E35" w:rsidRDefault="003655E2" w:rsidP="000C0C21">
      <w:pPr>
        <w:pStyle w:val="Listenabsatz"/>
        <w:spacing w:line="276" w:lineRule="auto"/>
        <w:ind w:left="284"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1.</w:t>
      </w:r>
      <w:r w:rsidRPr="001E1E35">
        <w:rPr>
          <w:rFonts w:asciiTheme="minorHAnsi" w:hAnsiTheme="minorHAnsi" w:cstheme="minorHAnsi"/>
          <w:noProof/>
          <w:color w:val="000000" w:themeColor="text1"/>
          <w:szCs w:val="22"/>
        </w:rPr>
        <w:tab/>
        <w:t xml:space="preserve">Response der Primärtherapie: OR (CR+PR) &gt; 90 %  und CR &gt; 70 % </w:t>
      </w:r>
    </w:p>
    <w:p w14:paraId="5389ECAE" w14:textId="77777777" w:rsidR="003655E2" w:rsidRPr="001E1E35" w:rsidRDefault="003655E2" w:rsidP="000C0C21">
      <w:pPr>
        <w:pStyle w:val="Listenabsatz"/>
        <w:spacing w:line="276" w:lineRule="auto"/>
        <w:ind w:left="284"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2.</w:t>
      </w:r>
      <w:r w:rsidRPr="001E1E35">
        <w:rPr>
          <w:rFonts w:asciiTheme="minorHAnsi" w:hAnsiTheme="minorHAnsi" w:cstheme="minorHAnsi"/>
          <w:noProof/>
          <w:color w:val="000000" w:themeColor="text1"/>
          <w:szCs w:val="22"/>
        </w:rPr>
        <w:tab/>
        <w:t>PFS der Primärtherapie: 2a PFS: &gt; 90%; 4a PFS: &gt;75%</w:t>
      </w:r>
    </w:p>
    <w:p w14:paraId="5389ECAF" w14:textId="52121854" w:rsidR="003655E2" w:rsidRPr="001E1E35" w:rsidRDefault="003655E2" w:rsidP="000C0C21">
      <w:pPr>
        <w:pStyle w:val="Listenabsatz"/>
        <w:spacing w:line="276" w:lineRule="auto"/>
        <w:ind w:left="284"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3.</w:t>
      </w:r>
      <w:r w:rsidRPr="001E1E35">
        <w:rPr>
          <w:rFonts w:asciiTheme="minorHAnsi" w:hAnsiTheme="minorHAnsi" w:cstheme="minorHAnsi"/>
          <w:noProof/>
          <w:color w:val="000000" w:themeColor="text1"/>
          <w:szCs w:val="22"/>
        </w:rPr>
        <w:tab/>
        <w:t>Infektionsrate ab Primärtherapie: 1. Jahr &lt; 10%, 2. Jahr &lt; 5% an  Grad III/IV Events</w:t>
      </w:r>
    </w:p>
    <w:p w14:paraId="5389ECB0" w14:textId="7E7A1D25" w:rsidR="009B5C04" w:rsidRPr="001E1E35" w:rsidRDefault="003655E2" w:rsidP="000C0C21">
      <w:pPr>
        <w:pStyle w:val="Listenabsatz"/>
        <w:spacing w:line="276" w:lineRule="auto"/>
        <w:ind w:left="284" w:hanging="284"/>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t>4.</w:t>
      </w:r>
      <w:r w:rsidRPr="001E1E35">
        <w:rPr>
          <w:rFonts w:asciiTheme="minorHAnsi" w:hAnsiTheme="minorHAnsi" w:cstheme="minorHAnsi"/>
          <w:noProof/>
          <w:color w:val="000000" w:themeColor="text1"/>
          <w:szCs w:val="22"/>
        </w:rPr>
        <w:tab/>
        <w:t>&gt; 85 % der Patienten leitlinienkonform  behandelt</w:t>
      </w:r>
    </w:p>
    <w:p w14:paraId="2DBD1F5C" w14:textId="77777777" w:rsidR="009B5C04" w:rsidRPr="001E1E35" w:rsidRDefault="009B5C04" w:rsidP="000C0C21">
      <w:pPr>
        <w:spacing w:line="240" w:lineRule="auto"/>
        <w:jc w:val="both"/>
        <w:rPr>
          <w:rFonts w:asciiTheme="minorHAnsi" w:hAnsiTheme="minorHAnsi" w:cstheme="minorHAnsi"/>
          <w:noProof/>
          <w:color w:val="000000" w:themeColor="text1"/>
          <w:szCs w:val="22"/>
        </w:rPr>
      </w:pPr>
      <w:r w:rsidRPr="001E1E35">
        <w:rPr>
          <w:rFonts w:asciiTheme="minorHAnsi" w:hAnsiTheme="minorHAnsi" w:cstheme="minorHAnsi"/>
          <w:noProof/>
          <w:color w:val="000000" w:themeColor="text1"/>
          <w:szCs w:val="22"/>
        </w:rPr>
        <w:br w:type="page"/>
      </w:r>
    </w:p>
    <w:p w14:paraId="5389ECC0" w14:textId="02C8EA84" w:rsidR="003655E2" w:rsidRPr="001E1E35" w:rsidRDefault="003655E2" w:rsidP="00085BDC">
      <w:pPr>
        <w:pStyle w:val="berschrift1"/>
        <w:numPr>
          <w:ilvl w:val="0"/>
          <w:numId w:val="11"/>
        </w:numPr>
        <w:ind w:hanging="720"/>
        <w:jc w:val="both"/>
        <w:rPr>
          <w:rFonts w:cstheme="minorHAnsi"/>
          <w:color w:val="000000" w:themeColor="text1"/>
        </w:rPr>
      </w:pPr>
      <w:bookmarkStart w:id="47" w:name="_Toc367183621"/>
      <w:bookmarkStart w:id="48" w:name="_Toc367183859"/>
      <w:bookmarkStart w:id="49" w:name="_Toc408380488"/>
      <w:bookmarkStart w:id="50" w:name="_Toc66727246"/>
      <w:r w:rsidRPr="001E1E35">
        <w:rPr>
          <w:rFonts w:cstheme="minorHAnsi"/>
          <w:color w:val="000000" w:themeColor="text1"/>
        </w:rPr>
        <w:lastRenderedPageBreak/>
        <w:t>Literatur/Quellenangaben</w:t>
      </w:r>
      <w:bookmarkEnd w:id="47"/>
      <w:bookmarkEnd w:id="48"/>
      <w:bookmarkEnd w:id="49"/>
      <w:bookmarkEnd w:id="50"/>
    </w:p>
    <w:p w14:paraId="5389ECC1" w14:textId="77777777" w:rsidR="003655E2" w:rsidRPr="001E1E35" w:rsidRDefault="003655E2" w:rsidP="000C0C21">
      <w:pPr>
        <w:spacing w:before="240" w:line="240" w:lineRule="auto"/>
        <w:jc w:val="both"/>
        <w:rPr>
          <w:rFonts w:asciiTheme="minorHAnsi" w:hAnsiTheme="minorHAnsi" w:cstheme="minorHAnsi"/>
          <w:noProof/>
          <w:color w:val="000000" w:themeColor="text1"/>
          <w:szCs w:val="22"/>
          <w:lang w:val="en-US"/>
        </w:rPr>
      </w:pPr>
      <w:r w:rsidRPr="001E1E35">
        <w:rPr>
          <w:rFonts w:asciiTheme="minorHAnsi" w:hAnsiTheme="minorHAnsi" w:cstheme="minorHAnsi"/>
          <w:noProof/>
          <w:color w:val="000000" w:themeColor="text1"/>
          <w:szCs w:val="22"/>
          <w:lang w:val="en-US"/>
        </w:rPr>
        <w:t>Hallek et al. Guidelines for the diagnosis and treatment of CLL. Blood 2008 ;111:5446-5456</w:t>
      </w:r>
    </w:p>
    <w:p w14:paraId="5389ECC2" w14:textId="77777777" w:rsidR="003655E2" w:rsidRPr="001E1E35" w:rsidRDefault="003655E2" w:rsidP="000C0C21">
      <w:pPr>
        <w:spacing w:before="240" w:line="240" w:lineRule="auto"/>
        <w:jc w:val="both"/>
        <w:rPr>
          <w:rFonts w:asciiTheme="minorHAnsi" w:hAnsiTheme="minorHAnsi" w:cstheme="minorHAnsi"/>
          <w:noProof/>
          <w:color w:val="000000" w:themeColor="text1"/>
          <w:szCs w:val="22"/>
          <w:lang w:val="en-US"/>
        </w:rPr>
      </w:pPr>
      <w:r w:rsidRPr="001E1E35">
        <w:rPr>
          <w:rFonts w:asciiTheme="minorHAnsi" w:hAnsiTheme="minorHAnsi" w:cstheme="minorHAnsi"/>
          <w:noProof/>
          <w:color w:val="000000" w:themeColor="text1"/>
          <w:szCs w:val="22"/>
          <w:lang w:val="en-US"/>
        </w:rPr>
        <w:t xml:space="preserve">ESMO minimum recommendations for diagnsosis, tratment and follow up of CLL </w:t>
      </w:r>
    </w:p>
    <w:p w14:paraId="5389ECC3" w14:textId="77777777" w:rsidR="003655E2" w:rsidRPr="001E1E35" w:rsidRDefault="003655E2" w:rsidP="000C0C21">
      <w:pPr>
        <w:spacing w:before="240" w:line="240" w:lineRule="auto"/>
        <w:jc w:val="both"/>
        <w:rPr>
          <w:rFonts w:asciiTheme="minorHAnsi" w:hAnsiTheme="minorHAnsi" w:cstheme="minorHAnsi"/>
          <w:noProof/>
          <w:color w:val="000000" w:themeColor="text1"/>
          <w:szCs w:val="22"/>
          <w:lang w:val="en-US"/>
        </w:rPr>
      </w:pPr>
      <w:r w:rsidRPr="001E1E35">
        <w:rPr>
          <w:rFonts w:asciiTheme="minorHAnsi" w:hAnsiTheme="minorHAnsi" w:cstheme="minorHAnsi"/>
          <w:noProof/>
          <w:color w:val="000000" w:themeColor="text1"/>
          <w:szCs w:val="22"/>
          <w:lang w:val="en-US"/>
        </w:rPr>
        <w:t xml:space="preserve">NCCN guidelines Non Hodgkins Lymphoma </w:t>
      </w:r>
    </w:p>
    <w:p w14:paraId="5389ECC4"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p>
    <w:p w14:paraId="5389ECC5"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r w:rsidRPr="001E1E35">
        <w:rPr>
          <w:rFonts w:asciiTheme="minorHAnsi" w:hAnsiTheme="minorHAnsi" w:cstheme="minorHAnsi"/>
          <w:color w:val="000000" w:themeColor="text1"/>
          <w:szCs w:val="22"/>
          <w:lang w:val="en-US" w:eastAsia="de-AT"/>
        </w:rPr>
        <w:t>Böttcher S et al: Minimal Residual Disease Quantification Is an Independent Predictor of Progression-Free and Overall Survival in Chronic Lymphocytic Leukemia: A Multivariate Analysis From the Rando-mized GCLLSG CLL8 Trial. Published Ahead of Print on February 13, 2012 as 10.1200/ JCO.2012.36.9348</w:t>
      </w:r>
    </w:p>
    <w:p w14:paraId="5389ECC6"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p>
    <w:p w14:paraId="5389ECC7" w14:textId="1BC870A5"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r w:rsidRPr="001E1E35">
        <w:rPr>
          <w:rFonts w:asciiTheme="minorHAnsi" w:hAnsiTheme="minorHAnsi" w:cstheme="minorHAnsi"/>
          <w:color w:val="000000" w:themeColor="text1"/>
          <w:szCs w:val="22"/>
          <w:lang w:val="en-US" w:eastAsia="de-AT"/>
        </w:rPr>
        <w:t xml:space="preserve">DGHO/onkopedia, Leitlinie Chronische Lymphatische Leukämie (CLL), Stand </w:t>
      </w:r>
      <w:r w:rsidR="001258C0" w:rsidRPr="001E1E35">
        <w:rPr>
          <w:rFonts w:asciiTheme="minorHAnsi" w:hAnsiTheme="minorHAnsi" w:cstheme="minorHAnsi"/>
          <w:color w:val="000000" w:themeColor="text1"/>
          <w:szCs w:val="22"/>
          <w:lang w:val="en-US" w:eastAsia="de-AT"/>
        </w:rPr>
        <w:t>April 2019.</w:t>
      </w:r>
    </w:p>
    <w:p w14:paraId="5389ECC8"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p>
    <w:p w14:paraId="5389ECC9"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r w:rsidRPr="001E1E35">
        <w:rPr>
          <w:rFonts w:asciiTheme="minorHAnsi" w:hAnsiTheme="minorHAnsi" w:cstheme="minorHAnsi"/>
          <w:color w:val="000000" w:themeColor="text1"/>
          <w:szCs w:val="22"/>
          <w:lang w:val="en-US" w:eastAsia="de-AT"/>
        </w:rPr>
        <w:t>P Dreger et al. Indications for allogeneic stem cell transplantation in chronic lymphocytic leukemia: the EBMT transplant consensus. Leukemia (2007) 21, 12–17</w:t>
      </w:r>
    </w:p>
    <w:p w14:paraId="5389ECCA"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p>
    <w:p w14:paraId="5389ECCB"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r w:rsidRPr="001E1E35">
        <w:rPr>
          <w:rFonts w:asciiTheme="minorHAnsi" w:hAnsiTheme="minorHAnsi" w:cstheme="minorHAnsi"/>
          <w:color w:val="000000" w:themeColor="text1"/>
          <w:szCs w:val="22"/>
          <w:lang w:val="en-US" w:eastAsia="de-AT"/>
        </w:rPr>
        <w:t>The International CLL-IPI working group, An international prognostic index for patients with chronic lymphocytic leukaemia (CLL-IPI): a meta-analysis of individual patient data. Lancet Oncol 2016; 17: 779–90.</w:t>
      </w:r>
    </w:p>
    <w:p w14:paraId="5389ECCC" w14:textId="77777777" w:rsidR="00E76068" w:rsidRPr="001E1E35" w:rsidRDefault="00E76068"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p>
    <w:p w14:paraId="5389ECCD" w14:textId="2A838CDF" w:rsidR="00E76068" w:rsidRPr="001E1E35" w:rsidRDefault="00E76068"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r w:rsidRPr="001E1E35">
        <w:rPr>
          <w:rFonts w:asciiTheme="minorHAnsi" w:hAnsiTheme="minorHAnsi" w:cstheme="minorHAnsi"/>
          <w:color w:val="000000" w:themeColor="text1"/>
          <w:szCs w:val="22"/>
          <w:lang w:val="en-US" w:eastAsia="de-AT"/>
        </w:rPr>
        <w:t>Seymour et al. Venetoclax–Rituximab in Relapsed or Refractory Chronic Lymphocytic Leukemia. N Engl J Med 2018; 378:1107-1120</w:t>
      </w:r>
      <w:r w:rsidR="001D6330" w:rsidRPr="001E1E35">
        <w:rPr>
          <w:rFonts w:asciiTheme="minorHAnsi" w:hAnsiTheme="minorHAnsi" w:cstheme="minorHAnsi"/>
          <w:color w:val="000000" w:themeColor="text1"/>
          <w:szCs w:val="22"/>
          <w:lang w:val="en-US" w:eastAsia="de-AT"/>
        </w:rPr>
        <w:t>.</w:t>
      </w:r>
    </w:p>
    <w:p w14:paraId="4C566C3F" w14:textId="77777777" w:rsidR="001D6330" w:rsidRPr="001E1E35" w:rsidRDefault="001D6330"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p>
    <w:p w14:paraId="04AF1ED0" w14:textId="619461A3" w:rsidR="001D6330" w:rsidRPr="001E1E35" w:rsidRDefault="001D6330" w:rsidP="000C0C21">
      <w:pPr>
        <w:autoSpaceDE w:val="0"/>
        <w:autoSpaceDN w:val="0"/>
        <w:adjustRightInd w:val="0"/>
        <w:spacing w:line="240" w:lineRule="auto"/>
        <w:jc w:val="both"/>
        <w:rPr>
          <w:rFonts w:asciiTheme="minorHAnsi" w:hAnsiTheme="minorHAnsi" w:cstheme="minorHAnsi"/>
          <w:color w:val="000000" w:themeColor="text1"/>
          <w:szCs w:val="22"/>
          <w:lang w:val="en-US" w:eastAsia="de-AT"/>
        </w:rPr>
      </w:pPr>
      <w:r w:rsidRPr="001E1E35">
        <w:rPr>
          <w:rFonts w:asciiTheme="minorHAnsi" w:hAnsiTheme="minorHAnsi" w:cstheme="minorHAnsi"/>
          <w:color w:val="000000" w:themeColor="text1"/>
          <w:szCs w:val="22"/>
          <w:lang w:val="en-US" w:eastAsia="de-AT"/>
        </w:rPr>
        <w:t>Woyach JA et al. Ibrutinib Regimens versus Chemoimmuntherapy in Older Patients with Untreated CLL, N Engl J Med 2018; 379:2517-2528.</w:t>
      </w:r>
    </w:p>
    <w:p w14:paraId="5389ECCE" w14:textId="77777777" w:rsidR="003655E2" w:rsidRPr="001E1E35" w:rsidRDefault="003655E2" w:rsidP="000C0C21">
      <w:pPr>
        <w:autoSpaceDE w:val="0"/>
        <w:autoSpaceDN w:val="0"/>
        <w:adjustRightInd w:val="0"/>
        <w:spacing w:line="240" w:lineRule="auto"/>
        <w:jc w:val="both"/>
        <w:rPr>
          <w:rFonts w:asciiTheme="minorHAnsi" w:hAnsiTheme="minorHAnsi" w:cstheme="minorHAnsi"/>
          <w:color w:val="000000" w:themeColor="text1"/>
          <w:sz w:val="20"/>
          <w:lang w:val="en-US" w:eastAsia="de-AT"/>
        </w:rPr>
      </w:pPr>
    </w:p>
    <w:p w14:paraId="5389ECCF" w14:textId="77777777" w:rsidR="003655E2" w:rsidRPr="001E1E35" w:rsidRDefault="003655E2" w:rsidP="000C0C21">
      <w:pPr>
        <w:pStyle w:val="Textkrper-Einzug2"/>
        <w:spacing w:line="276" w:lineRule="auto"/>
        <w:ind w:left="0"/>
        <w:jc w:val="both"/>
        <w:rPr>
          <w:rFonts w:asciiTheme="minorHAnsi" w:hAnsiTheme="minorHAnsi" w:cstheme="minorHAnsi"/>
          <w:color w:val="000000" w:themeColor="text1"/>
          <w:sz w:val="8"/>
          <w:szCs w:val="8"/>
          <w:lang w:val="en-US"/>
        </w:rPr>
      </w:pPr>
      <w:r w:rsidRPr="001E1E35">
        <w:rPr>
          <w:rFonts w:asciiTheme="minorHAnsi" w:hAnsiTheme="minorHAnsi" w:cstheme="minorHAnsi"/>
          <w:color w:val="000000" w:themeColor="text1"/>
          <w:szCs w:val="22"/>
          <w:lang w:val="en-US"/>
        </w:rPr>
        <w:tab/>
      </w:r>
    </w:p>
    <w:p w14:paraId="5389ECD0" w14:textId="77777777" w:rsidR="003655E2" w:rsidRPr="001E1E35" w:rsidRDefault="003655E2" w:rsidP="000C0C21">
      <w:pPr>
        <w:pStyle w:val="berschrift1"/>
        <w:jc w:val="both"/>
        <w:rPr>
          <w:rFonts w:cstheme="minorHAnsi"/>
          <w:color w:val="000000" w:themeColor="text1"/>
        </w:rPr>
      </w:pPr>
      <w:bookmarkStart w:id="51" w:name="_Toc367183622"/>
      <w:bookmarkStart w:id="52" w:name="_Toc367183860"/>
      <w:bookmarkStart w:id="53" w:name="_Toc408380489"/>
      <w:bookmarkStart w:id="54" w:name="_Toc66727247"/>
      <w:r w:rsidRPr="001E1E35">
        <w:rPr>
          <w:rFonts w:cstheme="minorHAnsi"/>
          <w:color w:val="000000" w:themeColor="text1"/>
        </w:rPr>
        <w:t>Anhang: Studienblatt (optional)</w:t>
      </w:r>
      <w:bookmarkEnd w:id="51"/>
      <w:bookmarkEnd w:id="52"/>
      <w:bookmarkEnd w:id="53"/>
      <w:bookmarkEnd w:id="54"/>
    </w:p>
    <w:p w14:paraId="5389ECD1" w14:textId="77777777" w:rsidR="003655E2" w:rsidRPr="001E1E35" w:rsidRDefault="003655E2" w:rsidP="000C0C21">
      <w:pPr>
        <w:pStyle w:val="Textkrper-Einzug2"/>
        <w:spacing w:line="276" w:lineRule="auto"/>
        <w:ind w:left="0"/>
        <w:jc w:val="both"/>
        <w:rPr>
          <w:rFonts w:asciiTheme="minorHAnsi" w:hAnsiTheme="minorHAnsi" w:cstheme="minorHAnsi"/>
          <w:color w:val="000000" w:themeColor="text1"/>
          <w:sz w:val="18"/>
          <w:szCs w:val="18"/>
        </w:rPr>
      </w:pPr>
    </w:p>
    <w:p w14:paraId="5389ECD2" w14:textId="77777777" w:rsidR="003655E2" w:rsidRPr="001E1E35" w:rsidRDefault="003655E2" w:rsidP="000C0C21">
      <w:pPr>
        <w:pStyle w:val="berschrift1"/>
        <w:jc w:val="both"/>
        <w:rPr>
          <w:rFonts w:cstheme="minorHAnsi"/>
          <w:color w:val="000000" w:themeColor="text1"/>
        </w:rPr>
      </w:pPr>
      <w:bookmarkStart w:id="55" w:name="_Toc367183623"/>
      <w:bookmarkStart w:id="56" w:name="_Toc367183861"/>
      <w:bookmarkStart w:id="57" w:name="_Toc408380490"/>
      <w:bookmarkStart w:id="58" w:name="_Toc66727248"/>
      <w:r w:rsidRPr="001E1E35">
        <w:rPr>
          <w:rFonts w:cstheme="minorHAnsi"/>
          <w:color w:val="000000" w:themeColor="text1"/>
        </w:rPr>
        <w:t>Anhang: Wirtschaftliche Analyse (optional)</w:t>
      </w:r>
      <w:bookmarkEnd w:id="55"/>
      <w:bookmarkEnd w:id="56"/>
      <w:bookmarkEnd w:id="57"/>
      <w:bookmarkEnd w:id="58"/>
    </w:p>
    <w:p w14:paraId="5389ECD3" w14:textId="77777777" w:rsidR="00450568" w:rsidRPr="001E1E35" w:rsidRDefault="00450568" w:rsidP="000C0C21">
      <w:pPr>
        <w:jc w:val="both"/>
        <w:rPr>
          <w:rFonts w:asciiTheme="minorHAnsi" w:hAnsiTheme="minorHAnsi" w:cstheme="minorHAnsi"/>
          <w:color w:val="000000" w:themeColor="text1"/>
        </w:rPr>
      </w:pPr>
    </w:p>
    <w:sectPr w:rsidR="00450568" w:rsidRPr="001E1E35" w:rsidSect="001D11C7">
      <w:headerReference w:type="even" r:id="rId26"/>
      <w:footerReference w:type="even" r:id="rId27"/>
      <w:headerReference w:type="first" r:id="rId28"/>
      <w:footerReference w:type="first" r:id="rId29"/>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B5AE" w14:textId="77777777" w:rsidR="0064398F" w:rsidRDefault="0064398F">
      <w:r>
        <w:separator/>
      </w:r>
    </w:p>
    <w:p w14:paraId="7F9F81B0" w14:textId="77777777" w:rsidR="0064398F" w:rsidRDefault="0064398F"/>
    <w:p w14:paraId="253F46F5" w14:textId="77777777" w:rsidR="0064398F" w:rsidRDefault="0064398F"/>
  </w:endnote>
  <w:endnote w:type="continuationSeparator" w:id="0">
    <w:p w14:paraId="04891190" w14:textId="77777777" w:rsidR="0064398F" w:rsidRDefault="0064398F">
      <w:r>
        <w:continuationSeparator/>
      </w:r>
    </w:p>
    <w:p w14:paraId="19736BA6" w14:textId="77777777" w:rsidR="0064398F" w:rsidRDefault="0064398F"/>
    <w:p w14:paraId="7BF58AD4" w14:textId="77777777" w:rsidR="0064398F" w:rsidRDefault="00643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F9" w14:textId="33AFBC59" w:rsidR="00CF0EFD" w:rsidRDefault="00CF0EFD"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sidR="00822E59">
      <w:rPr>
        <w:sz w:val="18"/>
        <w:szCs w:val="18"/>
      </w:rPr>
      <w:fldChar w:fldCharType="begin"/>
    </w:r>
    <w:r>
      <w:rPr>
        <w:sz w:val="18"/>
        <w:szCs w:val="18"/>
      </w:rPr>
      <w:instrText xml:space="preserve"> PAGE </w:instrText>
    </w:r>
    <w:r w:rsidR="00822E59">
      <w:rPr>
        <w:sz w:val="18"/>
        <w:szCs w:val="18"/>
      </w:rPr>
      <w:fldChar w:fldCharType="separate"/>
    </w:r>
    <w:r w:rsidR="00A1778E">
      <w:rPr>
        <w:noProof/>
        <w:sz w:val="18"/>
        <w:szCs w:val="18"/>
      </w:rPr>
      <w:t>1</w:t>
    </w:r>
    <w:r w:rsidR="00822E59">
      <w:rPr>
        <w:sz w:val="18"/>
        <w:szCs w:val="18"/>
      </w:rPr>
      <w:fldChar w:fldCharType="end"/>
    </w:r>
    <w:r>
      <w:rPr>
        <w:sz w:val="18"/>
        <w:szCs w:val="18"/>
      </w:rPr>
      <w:t xml:space="preserve"> von </w:t>
    </w:r>
    <w:r w:rsidR="00822E59">
      <w:rPr>
        <w:sz w:val="18"/>
        <w:szCs w:val="18"/>
      </w:rPr>
      <w:fldChar w:fldCharType="begin"/>
    </w:r>
    <w:r>
      <w:rPr>
        <w:sz w:val="18"/>
        <w:szCs w:val="18"/>
      </w:rPr>
      <w:instrText xml:space="preserve"> NUMPAGES \*Arabic </w:instrText>
    </w:r>
    <w:r w:rsidR="00822E59">
      <w:rPr>
        <w:sz w:val="18"/>
        <w:szCs w:val="18"/>
      </w:rPr>
      <w:fldChar w:fldCharType="separate"/>
    </w:r>
    <w:r w:rsidR="00A1778E">
      <w:rPr>
        <w:noProof/>
        <w:sz w:val="18"/>
        <w:szCs w:val="18"/>
      </w:rPr>
      <w:t>13</w:t>
    </w:r>
    <w:r w:rsidR="00822E59">
      <w:rPr>
        <w:sz w:val="18"/>
        <w:szCs w:val="18"/>
      </w:rPr>
      <w:fldChar w:fldCharType="end"/>
    </w:r>
  </w:p>
  <w:p w14:paraId="5389ECFA" w14:textId="77777777" w:rsidR="00CF0EFD" w:rsidRPr="00B6342E" w:rsidRDefault="00CF0EFD"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FC" w14:textId="09B72D3D" w:rsidR="00CF0EFD" w:rsidRDefault="00CF0EFD">
    <w:pPr>
      <w:pStyle w:val="Fuzeile"/>
      <w:jc w:val="left"/>
    </w:pPr>
    <w:r>
      <w:rPr>
        <w:snapToGrid w:val="0"/>
        <w:sz w:val="18"/>
      </w:rPr>
      <w:t xml:space="preserve">Abgelegt in: </w:t>
    </w:r>
    <w:r w:rsidR="00822E59">
      <w:rPr>
        <w:snapToGrid w:val="0"/>
        <w:sz w:val="18"/>
      </w:rPr>
      <w:fldChar w:fldCharType="begin"/>
    </w:r>
    <w:r>
      <w:rPr>
        <w:snapToGrid w:val="0"/>
        <w:sz w:val="18"/>
      </w:rPr>
      <w:instrText xml:space="preserve"> FILENAME \p </w:instrText>
    </w:r>
    <w:r w:rsidR="00822E59">
      <w:rPr>
        <w:snapToGrid w:val="0"/>
        <w:sz w:val="18"/>
      </w:rPr>
      <w:fldChar w:fldCharType="separate"/>
    </w:r>
    <w:r w:rsidR="002B6474">
      <w:rPr>
        <w:noProof/>
        <w:snapToGrid w:val="0"/>
        <w:sz w:val="18"/>
      </w:rPr>
      <w:t>https://ooeg.info/dokumente/Lists/KH_Tumorzentrum_Extern/Leitlinie CLL.docx</w:t>
    </w:r>
    <w:r w:rsidR="00822E59">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FE" w14:textId="77777777" w:rsidR="00CF0EFD" w:rsidRDefault="00CF0EF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D00" w14:textId="77777777" w:rsidR="00CF0EFD" w:rsidRDefault="00CF0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DE13" w14:textId="77777777" w:rsidR="0064398F" w:rsidRDefault="0064398F">
      <w:r>
        <w:separator/>
      </w:r>
    </w:p>
    <w:p w14:paraId="36E655E5" w14:textId="77777777" w:rsidR="0064398F" w:rsidRDefault="0064398F"/>
    <w:p w14:paraId="3D7A079C" w14:textId="77777777" w:rsidR="0064398F" w:rsidRDefault="0064398F"/>
  </w:footnote>
  <w:footnote w:type="continuationSeparator" w:id="0">
    <w:p w14:paraId="6D477F9A" w14:textId="77777777" w:rsidR="0064398F" w:rsidRDefault="0064398F">
      <w:r>
        <w:continuationSeparator/>
      </w:r>
    </w:p>
    <w:p w14:paraId="6AF73BCA" w14:textId="77777777" w:rsidR="0064398F" w:rsidRDefault="0064398F"/>
    <w:p w14:paraId="29BDB689" w14:textId="77777777" w:rsidR="0064398F" w:rsidRDefault="0064398F"/>
  </w:footnote>
  <w:footnote w:id="1">
    <w:p w14:paraId="1EC89419" w14:textId="571EA894" w:rsidR="005E59C5" w:rsidRPr="00235318" w:rsidRDefault="005E59C5" w:rsidP="005E59C5">
      <w:pPr>
        <w:pStyle w:val="Funotentext"/>
        <w:jc w:val="left"/>
        <w:rPr>
          <w:color w:val="000000" w:themeColor="text1"/>
          <w:sz w:val="16"/>
          <w:szCs w:val="16"/>
          <w:lang w:val="en-US"/>
        </w:rPr>
      </w:pPr>
      <w:r w:rsidRPr="00235318">
        <w:rPr>
          <w:rStyle w:val="Funotenzeichen"/>
          <w:color w:val="000000" w:themeColor="text1"/>
          <w:sz w:val="16"/>
          <w:szCs w:val="16"/>
        </w:rPr>
        <w:footnoteRef/>
      </w:r>
      <w:r w:rsidRPr="00235318">
        <w:rPr>
          <w:color w:val="000000" w:themeColor="text1"/>
          <w:sz w:val="16"/>
          <w:szCs w:val="16"/>
          <w:lang w:val="en-US"/>
        </w:rPr>
        <w:t xml:space="preserve"> Rigolin, Gian Matteo, et al. "In CLL, comorbidities and the complex karyotype are associated with an inferior outcome independently of CLL-IPI." </w:t>
      </w:r>
      <w:r w:rsidRPr="00235318">
        <w:rPr>
          <w:i/>
          <w:iCs/>
          <w:color w:val="000000" w:themeColor="text1"/>
          <w:sz w:val="16"/>
          <w:szCs w:val="16"/>
          <w:lang w:val="en-US"/>
        </w:rPr>
        <w:t>Blood, The Journal of the American Society of Hematology</w:t>
      </w:r>
      <w:r w:rsidRPr="00235318">
        <w:rPr>
          <w:color w:val="000000" w:themeColor="text1"/>
          <w:sz w:val="16"/>
          <w:szCs w:val="16"/>
          <w:lang w:val="en-US"/>
        </w:rPr>
        <w:t xml:space="preserve"> 129.26 (2017): 3495-3498.</w:t>
      </w:r>
    </w:p>
  </w:footnote>
  <w:footnote w:id="2">
    <w:p w14:paraId="0870EAA9" w14:textId="072DA6ED" w:rsidR="005E59C5" w:rsidRPr="00235318" w:rsidRDefault="005E59C5" w:rsidP="005E59C5">
      <w:pPr>
        <w:pStyle w:val="Funotentext"/>
        <w:jc w:val="left"/>
        <w:rPr>
          <w:color w:val="000000" w:themeColor="text1"/>
          <w:sz w:val="16"/>
          <w:szCs w:val="16"/>
          <w:lang w:val="en-US"/>
        </w:rPr>
      </w:pPr>
      <w:r w:rsidRPr="00235318">
        <w:rPr>
          <w:rStyle w:val="Funotenzeichen"/>
          <w:color w:val="000000" w:themeColor="text1"/>
          <w:sz w:val="16"/>
          <w:szCs w:val="16"/>
        </w:rPr>
        <w:footnoteRef/>
      </w:r>
      <w:r w:rsidRPr="00085BDC">
        <w:rPr>
          <w:color w:val="000000" w:themeColor="text1"/>
          <w:sz w:val="16"/>
          <w:szCs w:val="16"/>
          <w:lang w:val="en-GB"/>
        </w:rPr>
        <w:t xml:space="preserve"> Neilson, J. R., et al. </w:t>
      </w:r>
      <w:r w:rsidRPr="00235318">
        <w:rPr>
          <w:color w:val="000000" w:themeColor="text1"/>
          <w:sz w:val="16"/>
          <w:szCs w:val="16"/>
          <w:lang w:val="en-US"/>
        </w:rPr>
        <w:t xml:space="preserve">"Deletions at 11q identify a subset of patients with typical CLL who show consistent disease progression and reduced survival." </w:t>
      </w:r>
      <w:r w:rsidRPr="00235318">
        <w:rPr>
          <w:i/>
          <w:iCs/>
          <w:color w:val="000000" w:themeColor="text1"/>
          <w:sz w:val="16"/>
          <w:szCs w:val="16"/>
          <w:lang w:val="en-US"/>
        </w:rPr>
        <w:t>Leukemia</w:t>
      </w:r>
      <w:r w:rsidRPr="00235318">
        <w:rPr>
          <w:color w:val="000000" w:themeColor="text1"/>
          <w:sz w:val="16"/>
          <w:szCs w:val="16"/>
          <w:lang w:val="en-US"/>
        </w:rPr>
        <w:t xml:space="preserve"> 11.11 (1997): 1929-1932.</w:t>
      </w:r>
    </w:p>
  </w:footnote>
  <w:footnote w:id="3">
    <w:p w14:paraId="1C4D8F85" w14:textId="5666680A" w:rsidR="005E59C5" w:rsidRPr="00235318" w:rsidRDefault="005E59C5" w:rsidP="005E59C5">
      <w:pPr>
        <w:pStyle w:val="Funotentext"/>
        <w:jc w:val="left"/>
        <w:rPr>
          <w:rFonts w:asciiTheme="minorHAnsi" w:hAnsiTheme="minorHAnsi"/>
          <w:color w:val="000000" w:themeColor="text1"/>
          <w:sz w:val="16"/>
          <w:szCs w:val="16"/>
          <w:lang w:val="en-US"/>
        </w:rPr>
      </w:pPr>
      <w:r w:rsidRPr="00235318">
        <w:rPr>
          <w:rStyle w:val="Funotenzeichen"/>
          <w:rFonts w:asciiTheme="minorHAnsi" w:hAnsiTheme="minorHAnsi"/>
          <w:color w:val="000000" w:themeColor="text1"/>
          <w:sz w:val="16"/>
          <w:szCs w:val="16"/>
        </w:rPr>
        <w:footnoteRef/>
      </w:r>
      <w:r w:rsidRPr="00235318">
        <w:rPr>
          <w:rFonts w:asciiTheme="minorHAnsi" w:hAnsiTheme="minorHAnsi"/>
          <w:color w:val="000000" w:themeColor="text1"/>
          <w:sz w:val="16"/>
          <w:szCs w:val="16"/>
          <w:lang w:val="en-US"/>
        </w:rPr>
        <w:t xml:space="preserve"> Pleyer, Christopher, et al. "Effect of Bruton tyrosine kinase inhibitor on efficacy of adjuvanted recombinant hepatitis B and zoster vaccines." </w:t>
      </w:r>
      <w:r w:rsidRPr="00235318">
        <w:rPr>
          <w:rFonts w:asciiTheme="minorHAnsi" w:hAnsiTheme="minorHAnsi"/>
          <w:i/>
          <w:iCs/>
          <w:color w:val="000000" w:themeColor="text1"/>
          <w:sz w:val="16"/>
          <w:szCs w:val="16"/>
          <w:lang w:val="en-US"/>
        </w:rPr>
        <w:t>Blood, The Journal of the American Society of Hematology</w:t>
      </w:r>
      <w:r w:rsidRPr="00235318">
        <w:rPr>
          <w:rFonts w:asciiTheme="minorHAnsi" w:hAnsiTheme="minorHAnsi"/>
          <w:color w:val="000000" w:themeColor="text1"/>
          <w:sz w:val="16"/>
          <w:szCs w:val="16"/>
          <w:lang w:val="en-US"/>
        </w:rPr>
        <w:t xml:space="preserve"> 137.2 (2021): 185-189.</w:t>
      </w:r>
    </w:p>
  </w:footnote>
  <w:footnote w:id="4">
    <w:p w14:paraId="5F0D9841" w14:textId="29EFA91F" w:rsidR="005E59C5" w:rsidRPr="00235318" w:rsidRDefault="005E59C5" w:rsidP="005E59C5">
      <w:pPr>
        <w:pStyle w:val="Funotentext"/>
        <w:jc w:val="left"/>
        <w:rPr>
          <w:rFonts w:asciiTheme="minorHAnsi" w:hAnsiTheme="minorHAnsi"/>
          <w:color w:val="000000" w:themeColor="text1"/>
          <w:sz w:val="16"/>
          <w:szCs w:val="16"/>
          <w:lang w:val="en-US"/>
        </w:rPr>
      </w:pPr>
      <w:r w:rsidRPr="00235318">
        <w:rPr>
          <w:rStyle w:val="Funotenzeichen"/>
          <w:rFonts w:asciiTheme="minorHAnsi" w:hAnsiTheme="minorHAnsi"/>
          <w:color w:val="000000" w:themeColor="text1"/>
          <w:sz w:val="16"/>
          <w:szCs w:val="16"/>
        </w:rPr>
        <w:footnoteRef/>
      </w:r>
      <w:r w:rsidRPr="00235318">
        <w:rPr>
          <w:rFonts w:asciiTheme="minorHAnsi" w:hAnsiTheme="minorHAnsi"/>
          <w:color w:val="000000" w:themeColor="text1"/>
          <w:sz w:val="16"/>
          <w:szCs w:val="16"/>
          <w:lang w:val="en-US"/>
        </w:rPr>
        <w:t xml:space="preserve"> Baker, David, et al. "COVID</w:t>
      </w:r>
      <w:r w:rsidRPr="00235318">
        <w:rPr>
          <w:rFonts w:asciiTheme="minorHAnsi" w:hAnsiTheme="minorHAnsi" w:cs="Cambria Math"/>
          <w:color w:val="000000" w:themeColor="text1"/>
          <w:sz w:val="16"/>
          <w:szCs w:val="16"/>
          <w:lang w:val="en-US"/>
        </w:rPr>
        <w:t>‐</w:t>
      </w:r>
      <w:r w:rsidRPr="00235318">
        <w:rPr>
          <w:rFonts w:asciiTheme="minorHAnsi" w:hAnsiTheme="minorHAnsi"/>
          <w:color w:val="000000" w:themeColor="text1"/>
          <w:sz w:val="16"/>
          <w:szCs w:val="16"/>
          <w:lang w:val="en-US"/>
        </w:rPr>
        <w:t>19 vaccine</w:t>
      </w:r>
      <w:r w:rsidRPr="00235318">
        <w:rPr>
          <w:rFonts w:asciiTheme="minorHAnsi" w:hAnsiTheme="minorHAnsi" w:cs="Cambria Math"/>
          <w:color w:val="000000" w:themeColor="text1"/>
          <w:sz w:val="16"/>
          <w:szCs w:val="16"/>
          <w:lang w:val="en-US"/>
        </w:rPr>
        <w:t>‐</w:t>
      </w:r>
      <w:r w:rsidRPr="00235318">
        <w:rPr>
          <w:rFonts w:asciiTheme="minorHAnsi" w:hAnsiTheme="minorHAnsi"/>
          <w:color w:val="000000" w:themeColor="text1"/>
          <w:sz w:val="16"/>
          <w:szCs w:val="16"/>
          <w:lang w:val="en-US"/>
        </w:rPr>
        <w:t>readiness for anti</w:t>
      </w:r>
      <w:r w:rsidRPr="00235318">
        <w:rPr>
          <w:rFonts w:asciiTheme="minorHAnsi" w:hAnsiTheme="minorHAnsi" w:cs="Cambria Math"/>
          <w:color w:val="000000" w:themeColor="text1"/>
          <w:sz w:val="16"/>
          <w:szCs w:val="16"/>
          <w:lang w:val="en-US"/>
        </w:rPr>
        <w:t>‐</w:t>
      </w:r>
      <w:r w:rsidRPr="00235318">
        <w:rPr>
          <w:rFonts w:asciiTheme="minorHAnsi" w:hAnsiTheme="minorHAnsi"/>
          <w:color w:val="000000" w:themeColor="text1"/>
          <w:sz w:val="16"/>
          <w:szCs w:val="16"/>
          <w:lang w:val="en-US"/>
        </w:rPr>
        <w:t>CD20</w:t>
      </w:r>
      <w:r w:rsidRPr="00235318">
        <w:rPr>
          <w:rFonts w:asciiTheme="minorHAnsi" w:hAnsiTheme="minorHAnsi" w:cs="Cambria Math"/>
          <w:color w:val="000000" w:themeColor="text1"/>
          <w:sz w:val="16"/>
          <w:szCs w:val="16"/>
          <w:lang w:val="en-US"/>
        </w:rPr>
        <w:t>‐</w:t>
      </w:r>
      <w:r w:rsidRPr="00235318">
        <w:rPr>
          <w:rFonts w:asciiTheme="minorHAnsi" w:hAnsiTheme="minorHAnsi"/>
          <w:color w:val="000000" w:themeColor="text1"/>
          <w:sz w:val="16"/>
          <w:szCs w:val="16"/>
          <w:lang w:val="en-US"/>
        </w:rPr>
        <w:t xml:space="preserve">depleting therapy in autoimmune diseases." </w:t>
      </w:r>
      <w:r w:rsidRPr="00235318">
        <w:rPr>
          <w:rFonts w:asciiTheme="minorHAnsi" w:hAnsiTheme="minorHAnsi"/>
          <w:i/>
          <w:iCs/>
          <w:color w:val="000000" w:themeColor="text1"/>
          <w:sz w:val="16"/>
          <w:szCs w:val="16"/>
          <w:lang w:val="en-US"/>
        </w:rPr>
        <w:t>Clinical &amp; Experimental Immunology</w:t>
      </w:r>
      <w:r w:rsidRPr="00235318">
        <w:rPr>
          <w:rFonts w:asciiTheme="minorHAnsi" w:hAnsiTheme="minorHAnsi"/>
          <w:color w:val="000000" w:themeColor="text1"/>
          <w:sz w:val="16"/>
          <w:szCs w:val="16"/>
          <w:lang w:val="en-US"/>
        </w:rPr>
        <w:t xml:space="preserve"> 202.2 (2020): 149-161.</w:t>
      </w:r>
    </w:p>
  </w:footnote>
  <w:footnote w:id="5">
    <w:p w14:paraId="60FF8147" w14:textId="30D1574D" w:rsidR="005E59C5" w:rsidRPr="00235318" w:rsidRDefault="005E59C5" w:rsidP="005E59C5">
      <w:pPr>
        <w:pStyle w:val="Funotentext"/>
        <w:jc w:val="left"/>
        <w:rPr>
          <w:color w:val="000000" w:themeColor="text1"/>
          <w:lang w:val="en-US"/>
        </w:rPr>
      </w:pPr>
      <w:r w:rsidRPr="00235318">
        <w:rPr>
          <w:rStyle w:val="Funotenzeichen"/>
          <w:rFonts w:asciiTheme="minorHAnsi" w:hAnsiTheme="minorHAnsi"/>
          <w:color w:val="000000" w:themeColor="text1"/>
          <w:sz w:val="16"/>
          <w:szCs w:val="16"/>
        </w:rPr>
        <w:footnoteRef/>
      </w:r>
      <w:r w:rsidRPr="00235318">
        <w:rPr>
          <w:rFonts w:asciiTheme="minorHAnsi" w:hAnsiTheme="minorHAnsi"/>
          <w:color w:val="000000" w:themeColor="text1"/>
          <w:sz w:val="16"/>
          <w:szCs w:val="16"/>
          <w:lang w:val="en-US"/>
        </w:rPr>
        <w:t xml:space="preserve"> Houot, Roch, et al. "Could anti-CD20 therapy jeopardise the efficacy of a SARS-CoV-2 vaccine?." </w:t>
      </w:r>
      <w:r w:rsidRPr="00235318">
        <w:rPr>
          <w:rFonts w:asciiTheme="minorHAnsi" w:hAnsiTheme="minorHAnsi"/>
          <w:i/>
          <w:iCs/>
          <w:color w:val="000000" w:themeColor="text1"/>
          <w:sz w:val="16"/>
          <w:szCs w:val="16"/>
          <w:lang w:val="en-US"/>
        </w:rPr>
        <w:t>European Journal of Cancer</w:t>
      </w:r>
      <w:r w:rsidRPr="00235318">
        <w:rPr>
          <w:rFonts w:asciiTheme="minorHAnsi" w:hAnsiTheme="minorHAnsi"/>
          <w:color w:val="000000" w:themeColor="text1"/>
          <w:sz w:val="16"/>
          <w:szCs w:val="16"/>
          <w:lang w:val="en-US"/>
        </w:rPr>
        <w:t xml:space="preserve"> 136 (2020): 4-6.</w:t>
      </w:r>
    </w:p>
  </w:footnote>
  <w:footnote w:id="6">
    <w:p w14:paraId="65DAEC8C" w14:textId="79244959" w:rsidR="00111D34" w:rsidRPr="00235318" w:rsidRDefault="00111D34" w:rsidP="00111D34">
      <w:pPr>
        <w:pStyle w:val="Funotentext"/>
        <w:jc w:val="left"/>
        <w:rPr>
          <w:color w:val="000000" w:themeColor="text1"/>
          <w:sz w:val="16"/>
          <w:szCs w:val="16"/>
          <w:lang w:val="en-US"/>
        </w:rPr>
      </w:pPr>
      <w:r w:rsidRPr="00235318">
        <w:rPr>
          <w:rStyle w:val="Funotenzeichen"/>
          <w:color w:val="000000" w:themeColor="text1"/>
          <w:sz w:val="16"/>
          <w:szCs w:val="16"/>
        </w:rPr>
        <w:footnoteRef/>
      </w:r>
      <w:r w:rsidRPr="00235318">
        <w:rPr>
          <w:color w:val="000000" w:themeColor="text1"/>
          <w:sz w:val="16"/>
          <w:szCs w:val="16"/>
          <w:lang w:val="en-US"/>
        </w:rPr>
        <w:t xml:space="preserve"> Dreger, Peter, et al. "High-risk chronic lymphocytic leukemia in the era of pathway inhibitors: integrating molecular and cellular therapies." </w:t>
      </w:r>
      <w:r w:rsidRPr="00235318">
        <w:rPr>
          <w:i/>
          <w:iCs/>
          <w:color w:val="000000" w:themeColor="text1"/>
          <w:sz w:val="16"/>
          <w:szCs w:val="16"/>
          <w:lang w:val="en-US"/>
        </w:rPr>
        <w:t>Blood, The Journal of the American Society of Hematology</w:t>
      </w:r>
      <w:r w:rsidRPr="00235318">
        <w:rPr>
          <w:color w:val="000000" w:themeColor="text1"/>
          <w:sz w:val="16"/>
          <w:szCs w:val="16"/>
          <w:lang w:val="en-US"/>
        </w:rPr>
        <w:t xml:space="preserve"> 132.9 (2018): 892-902.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EE" w14:textId="592FBB0D" w:rsidR="00CF0EFD" w:rsidRDefault="00822E59">
    <w:pPr>
      <w:pStyle w:val="Kopfzeile"/>
      <w:framePr w:wrap="around" w:vAnchor="text" w:hAnchor="margin" w:xAlign="right" w:y="1"/>
      <w:rPr>
        <w:rStyle w:val="Seitenzahl"/>
      </w:rPr>
    </w:pPr>
    <w:r>
      <w:rPr>
        <w:rStyle w:val="Seitenzahl"/>
      </w:rPr>
      <w:fldChar w:fldCharType="begin"/>
    </w:r>
    <w:r w:rsidR="00CF0EFD">
      <w:rPr>
        <w:rStyle w:val="Seitenzahl"/>
      </w:rPr>
      <w:instrText xml:space="preserve">PAGE  </w:instrText>
    </w:r>
    <w:r>
      <w:rPr>
        <w:rStyle w:val="Seitenzahl"/>
      </w:rPr>
      <w:fldChar w:fldCharType="separate"/>
    </w:r>
    <w:r w:rsidR="002B6474">
      <w:rPr>
        <w:rStyle w:val="Seitenzahl"/>
        <w:noProof/>
      </w:rPr>
      <w:t>11</w:t>
    </w:r>
    <w:r>
      <w:rPr>
        <w:rStyle w:val="Seitenzahl"/>
      </w:rPr>
      <w:fldChar w:fldCharType="end"/>
    </w:r>
  </w:p>
  <w:p w14:paraId="5389ECEF" w14:textId="77777777" w:rsidR="00CF0EFD" w:rsidRDefault="00CF0EF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512312" w14:paraId="478024DB" w14:textId="77777777" w:rsidTr="00777FD0">
      <w:tc>
        <w:tcPr>
          <w:tcW w:w="3687" w:type="dxa"/>
        </w:tcPr>
        <w:p w14:paraId="65C42063" w14:textId="77777777" w:rsidR="00512312" w:rsidRDefault="00512312" w:rsidP="00512312">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1A12B715" wp14:editId="5B066C15">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301B7126" w14:textId="77777777" w:rsidR="00512312" w:rsidRDefault="00512312" w:rsidP="00512312">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27D089F6" w14:textId="77777777" w:rsidR="00512312" w:rsidRDefault="00512312" w:rsidP="00512312">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06495CF7" w14:textId="5E430BD1" w:rsidR="00512312" w:rsidRDefault="00512312" w:rsidP="00512312">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CLL</w:t>
              </w:r>
            </w:sdtContent>
          </w:sdt>
        </w:p>
      </w:tc>
    </w:tr>
  </w:tbl>
  <w:p w14:paraId="5389ECF8" w14:textId="77777777" w:rsidR="0029432C" w:rsidRPr="00512312" w:rsidRDefault="0029432C" w:rsidP="005123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FB" w14:textId="1157C672" w:rsidR="00CF0EFD" w:rsidRDefault="00CF0EFD">
    <w:pPr>
      <w:pStyle w:val="Kopfzeile"/>
      <w:jc w:val="right"/>
    </w:pPr>
    <w:r>
      <w:rPr>
        <w:noProof/>
        <w:sz w:val="20"/>
        <w:lang w:eastAsia="de-AT"/>
      </w:rPr>
      <w:drawing>
        <wp:anchor distT="0" distB="0" distL="114300" distR="114300" simplePos="0" relativeHeight="251657728" behindDoc="0" locked="0" layoutInCell="1" allowOverlap="1" wp14:anchorId="5389ED05" wp14:editId="5389ED06">
          <wp:simplePos x="0" y="0"/>
          <wp:positionH relativeFrom="column">
            <wp:posOffset>-48895</wp:posOffset>
          </wp:positionH>
          <wp:positionV relativeFrom="paragraph">
            <wp:posOffset>-14605</wp:posOffset>
          </wp:positionV>
          <wp:extent cx="1010920" cy="310515"/>
          <wp:effectExtent l="0" t="0" r="0" b="0"/>
          <wp:wrapSquare wrapText="bothSides"/>
          <wp:docPr id="4"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sidR="00822E59">
      <w:rPr>
        <w:rStyle w:val="Seitenzahl"/>
        <w:sz w:val="18"/>
      </w:rPr>
      <w:fldChar w:fldCharType="begin"/>
    </w:r>
    <w:r>
      <w:rPr>
        <w:rStyle w:val="Seitenzahl"/>
        <w:sz w:val="18"/>
      </w:rPr>
      <w:instrText xml:space="preserve">PAGE  </w:instrText>
    </w:r>
    <w:r w:rsidR="00822E59">
      <w:rPr>
        <w:rStyle w:val="Seitenzahl"/>
        <w:sz w:val="18"/>
      </w:rPr>
      <w:fldChar w:fldCharType="separate"/>
    </w:r>
    <w:r w:rsidR="002B6474">
      <w:rPr>
        <w:rStyle w:val="Seitenzahl"/>
        <w:noProof/>
        <w:sz w:val="18"/>
      </w:rPr>
      <w:t>11</w:t>
    </w:r>
    <w:r w:rsidR="00822E59">
      <w:rPr>
        <w:rStyle w:val="Seitenzahl"/>
        <w:sz w:val="18"/>
      </w:rPr>
      <w:fldChar w:fldCharType="end"/>
    </w:r>
    <w:r>
      <w:rPr>
        <w:rStyle w:val="Seitenzahl"/>
        <w:sz w:val="18"/>
      </w:rPr>
      <w:t xml:space="preserve"> von </w:t>
    </w:r>
    <w:r w:rsidR="00822E59">
      <w:rPr>
        <w:rStyle w:val="Seitenzahl"/>
        <w:sz w:val="18"/>
      </w:rPr>
      <w:fldChar w:fldCharType="begin"/>
    </w:r>
    <w:r>
      <w:rPr>
        <w:rStyle w:val="Seitenzahl"/>
        <w:sz w:val="18"/>
      </w:rPr>
      <w:instrText xml:space="preserve"> NUMPAGES </w:instrText>
    </w:r>
    <w:r w:rsidR="00822E59">
      <w:rPr>
        <w:rStyle w:val="Seitenzahl"/>
        <w:sz w:val="18"/>
      </w:rPr>
      <w:fldChar w:fldCharType="separate"/>
    </w:r>
    <w:r w:rsidR="002B6474">
      <w:rPr>
        <w:rStyle w:val="Seitenzahl"/>
        <w:noProof/>
        <w:sz w:val="18"/>
      </w:rPr>
      <w:t>11</w:t>
    </w:r>
    <w:r w:rsidR="00822E59">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FD" w14:textId="77777777" w:rsidR="00CF0EFD" w:rsidRDefault="00CF0EF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ECFF" w14:textId="77777777" w:rsidR="00CF0EFD" w:rsidRDefault="00CF0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 w15:restartNumberingAfterBreak="0">
    <w:nsid w:val="1F3B55E5"/>
    <w:multiLevelType w:val="hybridMultilevel"/>
    <w:tmpl w:val="3D8A69D6"/>
    <w:lvl w:ilvl="0" w:tplc="304AF99A">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9D20F4D"/>
    <w:multiLevelType w:val="multilevel"/>
    <w:tmpl w:val="B82ABC2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906FBE"/>
    <w:multiLevelType w:val="hybridMultilevel"/>
    <w:tmpl w:val="D6FC317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F1D1FCC"/>
    <w:multiLevelType w:val="multilevel"/>
    <w:tmpl w:val="7B76D09C"/>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D2B4D47"/>
    <w:multiLevelType w:val="multilevel"/>
    <w:tmpl w:val="C37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105DB"/>
    <w:multiLevelType w:val="hybridMultilevel"/>
    <w:tmpl w:val="BE22BC6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4"/>
  </w:num>
  <w:num w:numId="8">
    <w:abstractNumId w:val="4"/>
  </w:num>
  <w:num w:numId="9">
    <w:abstractNumId w:val="4"/>
  </w:num>
  <w:num w:numId="10">
    <w:abstractNumId w:val="4"/>
  </w:num>
  <w:num w:numId="11">
    <w:abstractNumId w:val="2"/>
  </w:num>
  <w:num w:numId="12">
    <w:abstractNumId w:val="4"/>
  </w:num>
  <w:num w:numId="13">
    <w:abstractNumId w:val="4"/>
  </w:num>
  <w:num w:numId="14">
    <w:abstractNumId w:val="4"/>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7A0D"/>
    <w:rsid w:val="0002186C"/>
    <w:rsid w:val="00030D42"/>
    <w:rsid w:val="00045ABC"/>
    <w:rsid w:val="000660ED"/>
    <w:rsid w:val="00085BDC"/>
    <w:rsid w:val="00090105"/>
    <w:rsid w:val="0009476C"/>
    <w:rsid w:val="000A2694"/>
    <w:rsid w:val="000C0C21"/>
    <w:rsid w:val="000C1C85"/>
    <w:rsid w:val="000D5C01"/>
    <w:rsid w:val="000E3EFA"/>
    <w:rsid w:val="00111D34"/>
    <w:rsid w:val="00115BB4"/>
    <w:rsid w:val="00122922"/>
    <w:rsid w:val="001258C0"/>
    <w:rsid w:val="00126BCE"/>
    <w:rsid w:val="00137388"/>
    <w:rsid w:val="00140FA9"/>
    <w:rsid w:val="001448E2"/>
    <w:rsid w:val="001573C3"/>
    <w:rsid w:val="001578D1"/>
    <w:rsid w:val="00170FFF"/>
    <w:rsid w:val="00183CD1"/>
    <w:rsid w:val="001876E7"/>
    <w:rsid w:val="00190B69"/>
    <w:rsid w:val="00195521"/>
    <w:rsid w:val="001A336E"/>
    <w:rsid w:val="001B222A"/>
    <w:rsid w:val="001B2A23"/>
    <w:rsid w:val="001C16B2"/>
    <w:rsid w:val="001D11C7"/>
    <w:rsid w:val="001D34A4"/>
    <w:rsid w:val="001D6330"/>
    <w:rsid w:val="001E1A7A"/>
    <w:rsid w:val="001E1E35"/>
    <w:rsid w:val="001F2BEC"/>
    <w:rsid w:val="00217C51"/>
    <w:rsid w:val="002201ED"/>
    <w:rsid w:val="00230C08"/>
    <w:rsid w:val="00235318"/>
    <w:rsid w:val="002410A2"/>
    <w:rsid w:val="00241E14"/>
    <w:rsid w:val="00250E53"/>
    <w:rsid w:val="002659E6"/>
    <w:rsid w:val="002742A5"/>
    <w:rsid w:val="002758C3"/>
    <w:rsid w:val="0029432C"/>
    <w:rsid w:val="002A2023"/>
    <w:rsid w:val="002B6474"/>
    <w:rsid w:val="002C15AA"/>
    <w:rsid w:val="002C1F4E"/>
    <w:rsid w:val="002E3E98"/>
    <w:rsid w:val="002E4DD8"/>
    <w:rsid w:val="002E73AE"/>
    <w:rsid w:val="002E7743"/>
    <w:rsid w:val="002F296D"/>
    <w:rsid w:val="003050D6"/>
    <w:rsid w:val="00313B47"/>
    <w:rsid w:val="00314C9C"/>
    <w:rsid w:val="0031789B"/>
    <w:rsid w:val="00327D55"/>
    <w:rsid w:val="00330AFE"/>
    <w:rsid w:val="00332A40"/>
    <w:rsid w:val="00354E5E"/>
    <w:rsid w:val="003655E2"/>
    <w:rsid w:val="0037276D"/>
    <w:rsid w:val="00394EC6"/>
    <w:rsid w:val="003A70E3"/>
    <w:rsid w:val="003A772A"/>
    <w:rsid w:val="003C182E"/>
    <w:rsid w:val="003C4308"/>
    <w:rsid w:val="003C6310"/>
    <w:rsid w:val="003D245A"/>
    <w:rsid w:val="004252AA"/>
    <w:rsid w:val="00433362"/>
    <w:rsid w:val="00450568"/>
    <w:rsid w:val="0045594E"/>
    <w:rsid w:val="00470F84"/>
    <w:rsid w:val="00480033"/>
    <w:rsid w:val="00486C3A"/>
    <w:rsid w:val="00491093"/>
    <w:rsid w:val="0049282D"/>
    <w:rsid w:val="0049768A"/>
    <w:rsid w:val="004B2361"/>
    <w:rsid w:val="004D5CA7"/>
    <w:rsid w:val="004D7B99"/>
    <w:rsid w:val="004F0D6D"/>
    <w:rsid w:val="004F5A61"/>
    <w:rsid w:val="00512312"/>
    <w:rsid w:val="005163F4"/>
    <w:rsid w:val="00516467"/>
    <w:rsid w:val="00522FFB"/>
    <w:rsid w:val="00524A45"/>
    <w:rsid w:val="00532C50"/>
    <w:rsid w:val="00534643"/>
    <w:rsid w:val="00545067"/>
    <w:rsid w:val="005716B3"/>
    <w:rsid w:val="005847E4"/>
    <w:rsid w:val="005915C3"/>
    <w:rsid w:val="00592BA2"/>
    <w:rsid w:val="005973BD"/>
    <w:rsid w:val="005A3EDD"/>
    <w:rsid w:val="005C2135"/>
    <w:rsid w:val="005C5568"/>
    <w:rsid w:val="005D23B9"/>
    <w:rsid w:val="005D5403"/>
    <w:rsid w:val="005E0058"/>
    <w:rsid w:val="005E59C5"/>
    <w:rsid w:val="005F00D9"/>
    <w:rsid w:val="005F528B"/>
    <w:rsid w:val="006013B3"/>
    <w:rsid w:val="00601C83"/>
    <w:rsid w:val="0062318C"/>
    <w:rsid w:val="00632D4B"/>
    <w:rsid w:val="00636CDE"/>
    <w:rsid w:val="0064012B"/>
    <w:rsid w:val="006407F4"/>
    <w:rsid w:val="0064398F"/>
    <w:rsid w:val="00643FFE"/>
    <w:rsid w:val="00664109"/>
    <w:rsid w:val="00670B44"/>
    <w:rsid w:val="0067150E"/>
    <w:rsid w:val="00671A8B"/>
    <w:rsid w:val="00672A00"/>
    <w:rsid w:val="006A0570"/>
    <w:rsid w:val="006A5DF9"/>
    <w:rsid w:val="006B1652"/>
    <w:rsid w:val="006C5EB4"/>
    <w:rsid w:val="006D2777"/>
    <w:rsid w:val="006D4DAC"/>
    <w:rsid w:val="006D6C87"/>
    <w:rsid w:val="00701184"/>
    <w:rsid w:val="007067AC"/>
    <w:rsid w:val="007132F1"/>
    <w:rsid w:val="00713504"/>
    <w:rsid w:val="007153C6"/>
    <w:rsid w:val="007172A6"/>
    <w:rsid w:val="00733408"/>
    <w:rsid w:val="00734878"/>
    <w:rsid w:val="007473D9"/>
    <w:rsid w:val="00762895"/>
    <w:rsid w:val="00784585"/>
    <w:rsid w:val="00793157"/>
    <w:rsid w:val="00794700"/>
    <w:rsid w:val="007C18C9"/>
    <w:rsid w:val="007C1D08"/>
    <w:rsid w:val="007F0A54"/>
    <w:rsid w:val="007F3064"/>
    <w:rsid w:val="00800B21"/>
    <w:rsid w:val="00822E59"/>
    <w:rsid w:val="00825CB1"/>
    <w:rsid w:val="00836EC1"/>
    <w:rsid w:val="00837FDE"/>
    <w:rsid w:val="00844FD0"/>
    <w:rsid w:val="008456E6"/>
    <w:rsid w:val="008544D2"/>
    <w:rsid w:val="00856B87"/>
    <w:rsid w:val="00864E4B"/>
    <w:rsid w:val="00877045"/>
    <w:rsid w:val="008772E0"/>
    <w:rsid w:val="008775DC"/>
    <w:rsid w:val="00880B3B"/>
    <w:rsid w:val="00895341"/>
    <w:rsid w:val="008A1E23"/>
    <w:rsid w:val="008A3694"/>
    <w:rsid w:val="008A7324"/>
    <w:rsid w:val="008B2595"/>
    <w:rsid w:val="008B2917"/>
    <w:rsid w:val="008E2288"/>
    <w:rsid w:val="008E2521"/>
    <w:rsid w:val="008F3C62"/>
    <w:rsid w:val="008F4D5E"/>
    <w:rsid w:val="00900461"/>
    <w:rsid w:val="00905C5A"/>
    <w:rsid w:val="00913D1D"/>
    <w:rsid w:val="009229DF"/>
    <w:rsid w:val="00932ADE"/>
    <w:rsid w:val="00934CFE"/>
    <w:rsid w:val="0095092F"/>
    <w:rsid w:val="00951BE2"/>
    <w:rsid w:val="00954004"/>
    <w:rsid w:val="0095612D"/>
    <w:rsid w:val="0096742E"/>
    <w:rsid w:val="009730E0"/>
    <w:rsid w:val="00985C80"/>
    <w:rsid w:val="0099254E"/>
    <w:rsid w:val="009952D0"/>
    <w:rsid w:val="00996D15"/>
    <w:rsid w:val="009A01D6"/>
    <w:rsid w:val="009B5C04"/>
    <w:rsid w:val="009C1F85"/>
    <w:rsid w:val="009C39DC"/>
    <w:rsid w:val="009C41D2"/>
    <w:rsid w:val="009C5890"/>
    <w:rsid w:val="009D73E9"/>
    <w:rsid w:val="00A00776"/>
    <w:rsid w:val="00A1778E"/>
    <w:rsid w:val="00A24E96"/>
    <w:rsid w:val="00A33E5B"/>
    <w:rsid w:val="00A34AB1"/>
    <w:rsid w:val="00A41523"/>
    <w:rsid w:val="00A41F9F"/>
    <w:rsid w:val="00A6435E"/>
    <w:rsid w:val="00A76551"/>
    <w:rsid w:val="00A80247"/>
    <w:rsid w:val="00AA0D47"/>
    <w:rsid w:val="00AA0F0C"/>
    <w:rsid w:val="00AA5041"/>
    <w:rsid w:val="00AA7B86"/>
    <w:rsid w:val="00AB010D"/>
    <w:rsid w:val="00AB20C4"/>
    <w:rsid w:val="00AC7335"/>
    <w:rsid w:val="00AD1B8D"/>
    <w:rsid w:val="00B00C98"/>
    <w:rsid w:val="00B1497F"/>
    <w:rsid w:val="00B200BB"/>
    <w:rsid w:val="00B558AF"/>
    <w:rsid w:val="00B63247"/>
    <w:rsid w:val="00B6342E"/>
    <w:rsid w:val="00B66DB3"/>
    <w:rsid w:val="00B76073"/>
    <w:rsid w:val="00B76C7B"/>
    <w:rsid w:val="00B80CD1"/>
    <w:rsid w:val="00B96F18"/>
    <w:rsid w:val="00BA6342"/>
    <w:rsid w:val="00BA6854"/>
    <w:rsid w:val="00BB0871"/>
    <w:rsid w:val="00BB2D1D"/>
    <w:rsid w:val="00BC1242"/>
    <w:rsid w:val="00BD259B"/>
    <w:rsid w:val="00BD2FE2"/>
    <w:rsid w:val="00C02676"/>
    <w:rsid w:val="00C12E87"/>
    <w:rsid w:val="00C206CC"/>
    <w:rsid w:val="00C26F7E"/>
    <w:rsid w:val="00C43598"/>
    <w:rsid w:val="00C46AF6"/>
    <w:rsid w:val="00C47A83"/>
    <w:rsid w:val="00C529CA"/>
    <w:rsid w:val="00C709F4"/>
    <w:rsid w:val="00C7301A"/>
    <w:rsid w:val="00C758E7"/>
    <w:rsid w:val="00C80423"/>
    <w:rsid w:val="00C81BA8"/>
    <w:rsid w:val="00C86F05"/>
    <w:rsid w:val="00C90FB9"/>
    <w:rsid w:val="00CA5AAA"/>
    <w:rsid w:val="00CA75DF"/>
    <w:rsid w:val="00CD6389"/>
    <w:rsid w:val="00CE05A3"/>
    <w:rsid w:val="00CE09EE"/>
    <w:rsid w:val="00CE59DE"/>
    <w:rsid w:val="00CF0EFD"/>
    <w:rsid w:val="00CF3031"/>
    <w:rsid w:val="00D02334"/>
    <w:rsid w:val="00D03B7B"/>
    <w:rsid w:val="00D43CBD"/>
    <w:rsid w:val="00D441D3"/>
    <w:rsid w:val="00D570ED"/>
    <w:rsid w:val="00D57F20"/>
    <w:rsid w:val="00D60E5E"/>
    <w:rsid w:val="00D777C4"/>
    <w:rsid w:val="00D85B76"/>
    <w:rsid w:val="00D923DA"/>
    <w:rsid w:val="00D960A9"/>
    <w:rsid w:val="00DA3DB0"/>
    <w:rsid w:val="00DA784B"/>
    <w:rsid w:val="00DB3EB6"/>
    <w:rsid w:val="00DB67BC"/>
    <w:rsid w:val="00DB70CB"/>
    <w:rsid w:val="00DC65EB"/>
    <w:rsid w:val="00DC7340"/>
    <w:rsid w:val="00DD7B03"/>
    <w:rsid w:val="00DE5804"/>
    <w:rsid w:val="00DF249D"/>
    <w:rsid w:val="00DF62C6"/>
    <w:rsid w:val="00E021C2"/>
    <w:rsid w:val="00E036CC"/>
    <w:rsid w:val="00E12F9B"/>
    <w:rsid w:val="00E344D4"/>
    <w:rsid w:val="00E43A76"/>
    <w:rsid w:val="00E475D2"/>
    <w:rsid w:val="00E54D0E"/>
    <w:rsid w:val="00E55456"/>
    <w:rsid w:val="00E62529"/>
    <w:rsid w:val="00E62655"/>
    <w:rsid w:val="00E63272"/>
    <w:rsid w:val="00E67988"/>
    <w:rsid w:val="00E76068"/>
    <w:rsid w:val="00EB0F6F"/>
    <w:rsid w:val="00ED1117"/>
    <w:rsid w:val="00ED24ED"/>
    <w:rsid w:val="00EF0F48"/>
    <w:rsid w:val="00EF46F8"/>
    <w:rsid w:val="00F31FAD"/>
    <w:rsid w:val="00F3386D"/>
    <w:rsid w:val="00F443D5"/>
    <w:rsid w:val="00F54D35"/>
    <w:rsid w:val="00F55814"/>
    <w:rsid w:val="00F55B3C"/>
    <w:rsid w:val="00F70285"/>
    <w:rsid w:val="00F7193C"/>
    <w:rsid w:val="00F72AC8"/>
    <w:rsid w:val="00F73C57"/>
    <w:rsid w:val="00F74762"/>
    <w:rsid w:val="00F74E28"/>
    <w:rsid w:val="00F75C7C"/>
    <w:rsid w:val="00FA0941"/>
    <w:rsid w:val="00FA5241"/>
    <w:rsid w:val="00FB5F73"/>
    <w:rsid w:val="00FD6D58"/>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9EB18"/>
  <w15:docId w15:val="{E3A60799-D592-4ED3-BBE4-545C7DB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085BDC"/>
    <w:pPr>
      <w:keepNext/>
      <w:numPr>
        <w:ilvl w:val="1"/>
        <w:numId w:val="2"/>
      </w:numPr>
      <w:spacing w:before="240" w:after="60" w:line="276" w:lineRule="auto"/>
      <w:jc w:val="both"/>
      <w:outlineLvl w:val="1"/>
    </w:pPr>
    <w:rPr>
      <w:rFonts w:asciiTheme="minorHAnsi" w:hAnsiTheme="minorHAnsi" w:cstheme="minorHAnsi"/>
      <w:b/>
      <w:bCs/>
      <w:i/>
      <w:iCs/>
      <w:color w:val="000000" w:themeColor="text1"/>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character" w:customStyle="1" w:styleId="jrnl">
    <w:name w:val="jrnl"/>
    <w:basedOn w:val="Absatz-Standardschriftart"/>
    <w:rsid w:val="009D73E9"/>
  </w:style>
  <w:style w:type="character" w:customStyle="1" w:styleId="KopfzeileZchn">
    <w:name w:val="Kopfzeile Zchn"/>
    <w:basedOn w:val="Absatz-Standardschriftart"/>
    <w:link w:val="Kopfzeile"/>
    <w:rsid w:val="00512312"/>
    <w:rPr>
      <w:rFonts w:ascii="Arial" w:hAnsi="Arial"/>
      <w:sz w:val="22"/>
      <w:lang w:eastAsia="de-DE"/>
    </w:rPr>
  </w:style>
  <w:style w:type="paragraph" w:customStyle="1" w:styleId="text-wrap2">
    <w:name w:val="text-wrap2"/>
    <w:basedOn w:val="Standard"/>
    <w:rsid w:val="0037276D"/>
    <w:pPr>
      <w:spacing w:line="240" w:lineRule="auto"/>
      <w:jc w:val="left"/>
    </w:pPr>
    <w:rPr>
      <w:rFonts w:cs="Arial"/>
      <w:sz w:val="23"/>
      <w:szCs w:val="23"/>
      <w:lang w:val="de-DE"/>
    </w:rPr>
  </w:style>
  <w:style w:type="paragraph" w:styleId="Funotentext">
    <w:name w:val="footnote text"/>
    <w:basedOn w:val="Standard"/>
    <w:link w:val="FunotentextZchn"/>
    <w:unhideWhenUsed/>
    <w:rsid w:val="0037276D"/>
    <w:pPr>
      <w:spacing w:line="240" w:lineRule="auto"/>
    </w:pPr>
    <w:rPr>
      <w:sz w:val="20"/>
    </w:rPr>
  </w:style>
  <w:style w:type="character" w:customStyle="1" w:styleId="FunotentextZchn">
    <w:name w:val="Fußnotentext Zchn"/>
    <w:basedOn w:val="Absatz-Standardschriftart"/>
    <w:link w:val="Funotentext"/>
    <w:rsid w:val="0037276D"/>
    <w:rPr>
      <w:rFonts w:ascii="Arial" w:hAnsi="Arial"/>
      <w:lang w:eastAsia="de-DE"/>
    </w:rPr>
  </w:style>
  <w:style w:type="character" w:styleId="Funotenzeichen">
    <w:name w:val="footnote reference"/>
    <w:basedOn w:val="Absatz-Standardschriftart"/>
    <w:semiHidden/>
    <w:unhideWhenUsed/>
    <w:rsid w:val="0037276D"/>
    <w:rPr>
      <w:vertAlign w:val="superscript"/>
    </w:rPr>
  </w:style>
  <w:style w:type="paragraph" w:styleId="Endnotentext">
    <w:name w:val="endnote text"/>
    <w:basedOn w:val="Standard"/>
    <w:link w:val="EndnotentextZchn"/>
    <w:semiHidden/>
    <w:unhideWhenUsed/>
    <w:rsid w:val="005E59C5"/>
    <w:pPr>
      <w:spacing w:line="240" w:lineRule="auto"/>
    </w:pPr>
    <w:rPr>
      <w:sz w:val="20"/>
    </w:rPr>
  </w:style>
  <w:style w:type="character" w:customStyle="1" w:styleId="EndnotentextZchn">
    <w:name w:val="Endnotentext Zchn"/>
    <w:basedOn w:val="Absatz-Standardschriftart"/>
    <w:link w:val="Endnotentext"/>
    <w:semiHidden/>
    <w:rsid w:val="005E59C5"/>
    <w:rPr>
      <w:rFonts w:ascii="Arial" w:hAnsi="Arial"/>
      <w:lang w:eastAsia="de-DE"/>
    </w:rPr>
  </w:style>
  <w:style w:type="character" w:styleId="Endnotenzeichen">
    <w:name w:val="endnote reference"/>
    <w:basedOn w:val="Absatz-Standardschriftart"/>
    <w:semiHidden/>
    <w:unhideWhenUsed/>
    <w:rsid w:val="005E5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145582772">
      <w:bodyDiv w:val="1"/>
      <w:marLeft w:val="0"/>
      <w:marRight w:val="0"/>
      <w:marTop w:val="0"/>
      <w:marBottom w:val="0"/>
      <w:divBdr>
        <w:top w:val="none" w:sz="0" w:space="0" w:color="auto"/>
        <w:left w:val="none" w:sz="0" w:space="0" w:color="auto"/>
        <w:bottom w:val="none" w:sz="0" w:space="0" w:color="auto"/>
        <w:right w:val="none" w:sz="0" w:space="0" w:color="auto"/>
      </w:divBdr>
    </w:div>
    <w:div w:id="1209146116">
      <w:bodyDiv w:val="1"/>
      <w:marLeft w:val="0"/>
      <w:marRight w:val="0"/>
      <w:marTop w:val="0"/>
      <w:marBottom w:val="0"/>
      <w:divBdr>
        <w:top w:val="none" w:sz="0" w:space="0" w:color="auto"/>
        <w:left w:val="none" w:sz="0" w:space="0" w:color="auto"/>
        <w:bottom w:val="none" w:sz="0" w:space="0" w:color="auto"/>
        <w:right w:val="none" w:sz="0" w:space="0" w:color="auto"/>
      </w:divBdr>
      <w:divsChild>
        <w:div w:id="805468994">
          <w:marLeft w:val="0"/>
          <w:marRight w:val="0"/>
          <w:marTop w:val="0"/>
          <w:marBottom w:val="0"/>
          <w:divBdr>
            <w:top w:val="none" w:sz="0" w:space="0" w:color="auto"/>
            <w:left w:val="none" w:sz="0" w:space="0" w:color="auto"/>
            <w:bottom w:val="none" w:sz="0" w:space="0" w:color="auto"/>
            <w:right w:val="none" w:sz="0" w:space="0" w:color="auto"/>
          </w:divBdr>
          <w:divsChild>
            <w:div w:id="213395970">
              <w:marLeft w:val="0"/>
              <w:marRight w:val="0"/>
              <w:marTop w:val="0"/>
              <w:marBottom w:val="0"/>
              <w:divBdr>
                <w:top w:val="none" w:sz="0" w:space="0" w:color="auto"/>
                <w:left w:val="none" w:sz="0" w:space="0" w:color="auto"/>
                <w:bottom w:val="none" w:sz="0" w:space="0" w:color="auto"/>
                <w:right w:val="none" w:sz="0" w:space="0" w:color="auto"/>
              </w:divBdr>
              <w:divsChild>
                <w:div w:id="50233050">
                  <w:marLeft w:val="0"/>
                  <w:marRight w:val="0"/>
                  <w:marTop w:val="0"/>
                  <w:marBottom w:val="0"/>
                  <w:divBdr>
                    <w:top w:val="none" w:sz="0" w:space="0" w:color="auto"/>
                    <w:left w:val="none" w:sz="0" w:space="0" w:color="auto"/>
                    <w:bottom w:val="none" w:sz="0" w:space="0" w:color="auto"/>
                    <w:right w:val="none" w:sz="0" w:space="0" w:color="auto"/>
                  </w:divBdr>
                  <w:divsChild>
                    <w:div w:id="2059356859">
                      <w:marLeft w:val="0"/>
                      <w:marRight w:val="0"/>
                      <w:marTop w:val="0"/>
                      <w:marBottom w:val="0"/>
                      <w:divBdr>
                        <w:top w:val="none" w:sz="0" w:space="0" w:color="auto"/>
                        <w:left w:val="none" w:sz="0" w:space="0" w:color="auto"/>
                        <w:bottom w:val="none" w:sz="0" w:space="0" w:color="auto"/>
                        <w:right w:val="none" w:sz="0" w:space="0" w:color="auto"/>
                      </w:divBdr>
                      <w:divsChild>
                        <w:div w:id="594480035">
                          <w:marLeft w:val="0"/>
                          <w:marRight w:val="0"/>
                          <w:marTop w:val="0"/>
                          <w:marBottom w:val="0"/>
                          <w:divBdr>
                            <w:top w:val="none" w:sz="0" w:space="0" w:color="auto"/>
                            <w:left w:val="none" w:sz="0" w:space="0" w:color="auto"/>
                            <w:bottom w:val="none" w:sz="0" w:space="0" w:color="auto"/>
                            <w:right w:val="none" w:sz="0" w:space="0" w:color="auto"/>
                          </w:divBdr>
                          <w:divsChild>
                            <w:div w:id="323359756">
                              <w:marLeft w:val="0"/>
                              <w:marRight w:val="0"/>
                              <w:marTop w:val="0"/>
                              <w:marBottom w:val="0"/>
                              <w:divBdr>
                                <w:top w:val="none" w:sz="0" w:space="0" w:color="auto"/>
                                <w:left w:val="none" w:sz="0" w:space="0" w:color="auto"/>
                                <w:bottom w:val="none" w:sz="0" w:space="0" w:color="auto"/>
                                <w:right w:val="none" w:sz="0" w:space="0" w:color="auto"/>
                              </w:divBdr>
                              <w:divsChild>
                                <w:div w:id="951015467">
                                  <w:marLeft w:val="0"/>
                                  <w:marRight w:val="0"/>
                                  <w:marTop w:val="0"/>
                                  <w:marBottom w:val="0"/>
                                  <w:divBdr>
                                    <w:top w:val="none" w:sz="0" w:space="0" w:color="auto"/>
                                    <w:left w:val="none" w:sz="0" w:space="0" w:color="auto"/>
                                    <w:bottom w:val="none" w:sz="0" w:space="0" w:color="auto"/>
                                    <w:right w:val="none" w:sz="0" w:space="0" w:color="auto"/>
                                  </w:divBdr>
                                  <w:divsChild>
                                    <w:div w:id="1536309941">
                                      <w:marLeft w:val="0"/>
                                      <w:marRight w:val="0"/>
                                      <w:marTop w:val="0"/>
                                      <w:marBottom w:val="0"/>
                                      <w:divBdr>
                                        <w:top w:val="none" w:sz="0" w:space="0" w:color="auto"/>
                                        <w:left w:val="none" w:sz="0" w:space="0" w:color="auto"/>
                                        <w:bottom w:val="none" w:sz="0" w:space="0" w:color="auto"/>
                                        <w:right w:val="none" w:sz="0" w:space="0" w:color="auto"/>
                                      </w:divBdr>
                                      <w:divsChild>
                                        <w:div w:id="605886505">
                                          <w:marLeft w:val="0"/>
                                          <w:marRight w:val="0"/>
                                          <w:marTop w:val="0"/>
                                          <w:marBottom w:val="0"/>
                                          <w:divBdr>
                                            <w:top w:val="none" w:sz="0" w:space="0" w:color="auto"/>
                                            <w:left w:val="none" w:sz="0" w:space="0" w:color="auto"/>
                                            <w:bottom w:val="none" w:sz="0" w:space="0" w:color="auto"/>
                                            <w:right w:val="none" w:sz="0" w:space="0" w:color="auto"/>
                                          </w:divBdr>
                                          <w:divsChild>
                                            <w:div w:id="597564492">
                                              <w:marLeft w:val="0"/>
                                              <w:marRight w:val="0"/>
                                              <w:marTop w:val="0"/>
                                              <w:marBottom w:val="0"/>
                                              <w:divBdr>
                                                <w:top w:val="none" w:sz="0" w:space="0" w:color="auto"/>
                                                <w:left w:val="none" w:sz="0" w:space="0" w:color="auto"/>
                                                <w:bottom w:val="none" w:sz="0" w:space="0" w:color="auto"/>
                                                <w:right w:val="none" w:sz="0" w:space="0" w:color="auto"/>
                                              </w:divBdr>
                                              <w:divsChild>
                                                <w:div w:id="1848671538">
                                                  <w:marLeft w:val="0"/>
                                                  <w:marRight w:val="0"/>
                                                  <w:marTop w:val="0"/>
                                                  <w:marBottom w:val="0"/>
                                                  <w:divBdr>
                                                    <w:top w:val="none" w:sz="0" w:space="0" w:color="auto"/>
                                                    <w:left w:val="none" w:sz="0" w:space="0" w:color="auto"/>
                                                    <w:bottom w:val="none" w:sz="0" w:space="0" w:color="auto"/>
                                                    <w:right w:val="none" w:sz="0" w:space="0" w:color="auto"/>
                                                  </w:divBdr>
                                                  <w:divsChild>
                                                    <w:div w:id="578442509">
                                                      <w:marLeft w:val="0"/>
                                                      <w:marRight w:val="0"/>
                                                      <w:marTop w:val="0"/>
                                                      <w:marBottom w:val="0"/>
                                                      <w:divBdr>
                                                        <w:top w:val="none" w:sz="0" w:space="0" w:color="auto"/>
                                                        <w:left w:val="none" w:sz="0" w:space="0" w:color="auto"/>
                                                        <w:bottom w:val="none" w:sz="0" w:space="0" w:color="auto"/>
                                                        <w:right w:val="none" w:sz="0" w:space="0" w:color="auto"/>
                                                      </w:divBdr>
                                                      <w:divsChild>
                                                        <w:div w:id="487405823">
                                                          <w:marLeft w:val="0"/>
                                                          <w:marRight w:val="0"/>
                                                          <w:marTop w:val="0"/>
                                                          <w:marBottom w:val="0"/>
                                                          <w:divBdr>
                                                            <w:top w:val="none" w:sz="0" w:space="0" w:color="auto"/>
                                                            <w:left w:val="none" w:sz="0" w:space="0" w:color="auto"/>
                                                            <w:bottom w:val="none" w:sz="0" w:space="0" w:color="auto"/>
                                                            <w:right w:val="none" w:sz="0" w:space="0" w:color="auto"/>
                                                          </w:divBdr>
                                                          <w:divsChild>
                                                            <w:div w:id="2136286885">
                                                              <w:marLeft w:val="0"/>
                                                              <w:marRight w:val="0"/>
                                                              <w:marTop w:val="0"/>
                                                              <w:marBottom w:val="0"/>
                                                              <w:divBdr>
                                                                <w:top w:val="none" w:sz="0" w:space="0" w:color="auto"/>
                                                                <w:left w:val="none" w:sz="0" w:space="0" w:color="auto"/>
                                                                <w:bottom w:val="none" w:sz="0" w:space="0" w:color="auto"/>
                                                                <w:right w:val="none" w:sz="0" w:space="0" w:color="auto"/>
                                                              </w:divBdr>
                                                              <w:divsChild>
                                                                <w:div w:id="1421020641">
                                                                  <w:marLeft w:val="0"/>
                                                                  <w:marRight w:val="0"/>
                                                                  <w:marTop w:val="0"/>
                                                                  <w:marBottom w:val="0"/>
                                                                  <w:divBdr>
                                                                    <w:top w:val="none" w:sz="0" w:space="0" w:color="auto"/>
                                                                    <w:left w:val="none" w:sz="0" w:space="0" w:color="auto"/>
                                                                    <w:bottom w:val="none" w:sz="0" w:space="0" w:color="auto"/>
                                                                    <w:right w:val="none" w:sz="0" w:space="0" w:color="auto"/>
                                                                  </w:divBdr>
                                                                  <w:divsChild>
                                                                    <w:div w:id="1009719840">
                                                                      <w:marLeft w:val="405"/>
                                                                      <w:marRight w:val="0"/>
                                                                      <w:marTop w:val="0"/>
                                                                      <w:marBottom w:val="0"/>
                                                                      <w:divBdr>
                                                                        <w:top w:val="none" w:sz="0" w:space="0" w:color="auto"/>
                                                                        <w:left w:val="none" w:sz="0" w:space="0" w:color="auto"/>
                                                                        <w:bottom w:val="none" w:sz="0" w:space="0" w:color="auto"/>
                                                                        <w:right w:val="none" w:sz="0" w:space="0" w:color="auto"/>
                                                                      </w:divBdr>
                                                                      <w:divsChild>
                                                                        <w:div w:id="1153718890">
                                                                          <w:marLeft w:val="0"/>
                                                                          <w:marRight w:val="0"/>
                                                                          <w:marTop w:val="0"/>
                                                                          <w:marBottom w:val="0"/>
                                                                          <w:divBdr>
                                                                            <w:top w:val="none" w:sz="0" w:space="0" w:color="auto"/>
                                                                            <w:left w:val="none" w:sz="0" w:space="0" w:color="auto"/>
                                                                            <w:bottom w:val="none" w:sz="0" w:space="0" w:color="auto"/>
                                                                            <w:right w:val="none" w:sz="0" w:space="0" w:color="auto"/>
                                                                          </w:divBdr>
                                                                          <w:divsChild>
                                                                            <w:div w:id="1925915796">
                                                                              <w:marLeft w:val="0"/>
                                                                              <w:marRight w:val="0"/>
                                                                              <w:marTop w:val="0"/>
                                                                              <w:marBottom w:val="0"/>
                                                                              <w:divBdr>
                                                                                <w:top w:val="none" w:sz="0" w:space="0" w:color="auto"/>
                                                                                <w:left w:val="none" w:sz="0" w:space="0" w:color="auto"/>
                                                                                <w:bottom w:val="none" w:sz="0" w:space="0" w:color="auto"/>
                                                                                <w:right w:val="none" w:sz="0" w:space="0" w:color="auto"/>
                                                                              </w:divBdr>
                                                                              <w:divsChild>
                                                                                <w:div w:id="1106802245">
                                                                                  <w:marLeft w:val="0"/>
                                                                                  <w:marRight w:val="0"/>
                                                                                  <w:marTop w:val="0"/>
                                                                                  <w:marBottom w:val="0"/>
                                                                                  <w:divBdr>
                                                                                    <w:top w:val="none" w:sz="0" w:space="0" w:color="auto"/>
                                                                                    <w:left w:val="none" w:sz="0" w:space="0" w:color="auto"/>
                                                                                    <w:bottom w:val="none" w:sz="0" w:space="0" w:color="auto"/>
                                                                                    <w:right w:val="none" w:sz="0" w:space="0" w:color="auto"/>
                                                                                  </w:divBdr>
                                                                                  <w:divsChild>
                                                                                    <w:div w:id="171526981">
                                                                                      <w:marLeft w:val="0"/>
                                                                                      <w:marRight w:val="0"/>
                                                                                      <w:marTop w:val="0"/>
                                                                                      <w:marBottom w:val="0"/>
                                                                                      <w:divBdr>
                                                                                        <w:top w:val="none" w:sz="0" w:space="0" w:color="auto"/>
                                                                                        <w:left w:val="none" w:sz="0" w:space="0" w:color="auto"/>
                                                                                        <w:bottom w:val="none" w:sz="0" w:space="0" w:color="auto"/>
                                                                                        <w:right w:val="none" w:sz="0" w:space="0" w:color="auto"/>
                                                                                      </w:divBdr>
                                                                                      <w:divsChild>
                                                                                        <w:div w:id="1588658987">
                                                                                          <w:marLeft w:val="0"/>
                                                                                          <w:marRight w:val="0"/>
                                                                                          <w:marTop w:val="0"/>
                                                                                          <w:marBottom w:val="0"/>
                                                                                          <w:divBdr>
                                                                                            <w:top w:val="none" w:sz="0" w:space="0" w:color="auto"/>
                                                                                            <w:left w:val="none" w:sz="0" w:space="0" w:color="auto"/>
                                                                                            <w:bottom w:val="none" w:sz="0" w:space="0" w:color="auto"/>
                                                                                            <w:right w:val="none" w:sz="0" w:space="0" w:color="auto"/>
                                                                                          </w:divBdr>
                                                                                          <w:divsChild>
                                                                                            <w:div w:id="973564868">
                                                                                              <w:marLeft w:val="0"/>
                                                                                              <w:marRight w:val="0"/>
                                                                                              <w:marTop w:val="0"/>
                                                                                              <w:marBottom w:val="0"/>
                                                                                              <w:divBdr>
                                                                                                <w:top w:val="none" w:sz="0" w:space="0" w:color="auto"/>
                                                                                                <w:left w:val="none" w:sz="0" w:space="0" w:color="auto"/>
                                                                                                <w:bottom w:val="none" w:sz="0" w:space="0" w:color="auto"/>
                                                                                                <w:right w:val="none" w:sz="0" w:space="0" w:color="auto"/>
                                                                                              </w:divBdr>
                                                                                              <w:divsChild>
                                                                                                <w:div w:id="1894270956">
                                                                                                  <w:marLeft w:val="0"/>
                                                                                                  <w:marRight w:val="0"/>
                                                                                                  <w:marTop w:val="15"/>
                                                                                                  <w:marBottom w:val="0"/>
                                                                                                  <w:divBdr>
                                                                                                    <w:top w:val="none" w:sz="0" w:space="0" w:color="auto"/>
                                                                                                    <w:left w:val="none" w:sz="0" w:space="0" w:color="auto"/>
                                                                                                    <w:bottom w:val="single" w:sz="6" w:space="15" w:color="auto"/>
                                                                                                    <w:right w:val="none" w:sz="0" w:space="0" w:color="auto"/>
                                                                                                  </w:divBdr>
                                                                                                  <w:divsChild>
                                                                                                    <w:div w:id="1657687462">
                                                                                                      <w:marLeft w:val="0"/>
                                                                                                      <w:marRight w:val="0"/>
                                                                                                      <w:marTop w:val="180"/>
                                                                                                      <w:marBottom w:val="0"/>
                                                                                                      <w:divBdr>
                                                                                                        <w:top w:val="none" w:sz="0" w:space="0" w:color="auto"/>
                                                                                                        <w:left w:val="none" w:sz="0" w:space="0" w:color="auto"/>
                                                                                                        <w:bottom w:val="none" w:sz="0" w:space="0" w:color="auto"/>
                                                                                                        <w:right w:val="none" w:sz="0" w:space="0" w:color="auto"/>
                                                                                                      </w:divBdr>
                                                                                                      <w:divsChild>
                                                                                                        <w:div w:id="713195515">
                                                                                                          <w:marLeft w:val="0"/>
                                                                                                          <w:marRight w:val="0"/>
                                                                                                          <w:marTop w:val="0"/>
                                                                                                          <w:marBottom w:val="0"/>
                                                                                                          <w:divBdr>
                                                                                                            <w:top w:val="none" w:sz="0" w:space="0" w:color="auto"/>
                                                                                                            <w:left w:val="none" w:sz="0" w:space="0" w:color="auto"/>
                                                                                                            <w:bottom w:val="none" w:sz="0" w:space="0" w:color="auto"/>
                                                                                                            <w:right w:val="none" w:sz="0" w:space="0" w:color="auto"/>
                                                                                                          </w:divBdr>
                                                                                                          <w:divsChild>
                                                                                                            <w:div w:id="2045867050">
                                                                                                              <w:marLeft w:val="0"/>
                                                                                                              <w:marRight w:val="0"/>
                                                                                                              <w:marTop w:val="0"/>
                                                                                                              <w:marBottom w:val="0"/>
                                                                                                              <w:divBdr>
                                                                                                                <w:top w:val="none" w:sz="0" w:space="0" w:color="auto"/>
                                                                                                                <w:left w:val="none" w:sz="0" w:space="0" w:color="auto"/>
                                                                                                                <w:bottom w:val="none" w:sz="0" w:space="0" w:color="auto"/>
                                                                                                                <w:right w:val="none" w:sz="0" w:space="0" w:color="auto"/>
                                                                                                              </w:divBdr>
                                                                                                              <w:divsChild>
                                                                                                                <w:div w:id="473566229">
                                                                                                                  <w:marLeft w:val="0"/>
                                                                                                                  <w:marRight w:val="0"/>
                                                                                                                  <w:marTop w:val="30"/>
                                                                                                                  <w:marBottom w:val="0"/>
                                                                                                                  <w:divBdr>
                                                                                                                    <w:top w:val="none" w:sz="0" w:space="0" w:color="auto"/>
                                                                                                                    <w:left w:val="none" w:sz="0" w:space="0" w:color="auto"/>
                                                                                                                    <w:bottom w:val="none" w:sz="0" w:space="0" w:color="auto"/>
                                                                                                                    <w:right w:val="none" w:sz="0" w:space="0" w:color="auto"/>
                                                                                                                  </w:divBdr>
                                                                                                                  <w:divsChild>
                                                                                                                    <w:div w:id="1101101982">
                                                                                                                      <w:marLeft w:val="0"/>
                                                                                                                      <w:marRight w:val="0"/>
                                                                                                                      <w:marTop w:val="0"/>
                                                                                                                      <w:marBottom w:val="0"/>
                                                                                                                      <w:divBdr>
                                                                                                                        <w:top w:val="none" w:sz="0" w:space="0" w:color="auto"/>
                                                                                                                        <w:left w:val="none" w:sz="0" w:space="0" w:color="auto"/>
                                                                                                                        <w:bottom w:val="none" w:sz="0" w:space="0" w:color="auto"/>
                                                                                                                        <w:right w:val="none" w:sz="0" w:space="0" w:color="auto"/>
                                                                                                                      </w:divBdr>
                                                                                                                      <w:divsChild>
                                                                                                                        <w:div w:id="906914852">
                                                                                                                          <w:marLeft w:val="0"/>
                                                                                                                          <w:marRight w:val="0"/>
                                                                                                                          <w:marTop w:val="0"/>
                                                                                                                          <w:marBottom w:val="0"/>
                                                                                                                          <w:divBdr>
                                                                                                                            <w:top w:val="none" w:sz="0" w:space="0" w:color="auto"/>
                                                                                                                            <w:left w:val="none" w:sz="0" w:space="0" w:color="auto"/>
                                                                                                                            <w:bottom w:val="none" w:sz="0" w:space="0" w:color="auto"/>
                                                                                                                            <w:right w:val="none" w:sz="0" w:space="0" w:color="auto"/>
                                                                                                                          </w:divBdr>
                                                                                                                          <w:divsChild>
                                                                                                                            <w:div w:id="471100365">
                                                                                                                              <w:marLeft w:val="0"/>
                                                                                                                              <w:marRight w:val="0"/>
                                                                                                                              <w:marTop w:val="0"/>
                                                                                                                              <w:marBottom w:val="0"/>
                                                                                                                              <w:divBdr>
                                                                                                                                <w:top w:val="none" w:sz="0" w:space="0" w:color="auto"/>
                                                                                                                                <w:left w:val="none" w:sz="0" w:space="0" w:color="auto"/>
                                                                                                                                <w:bottom w:val="none" w:sz="0" w:space="0" w:color="auto"/>
                                                                                                                                <w:right w:val="none" w:sz="0" w:space="0" w:color="auto"/>
                                                                                                                              </w:divBdr>
                                                                                                                              <w:divsChild>
                                                                                                                                <w:div w:id="1291324871">
                                                                                                                                  <w:marLeft w:val="0"/>
                                                                                                                                  <w:marRight w:val="0"/>
                                                                                                                                  <w:marTop w:val="0"/>
                                                                                                                                  <w:marBottom w:val="0"/>
                                                                                                                                  <w:divBdr>
                                                                                                                                    <w:top w:val="none" w:sz="0" w:space="0" w:color="auto"/>
                                                                                                                                    <w:left w:val="none" w:sz="0" w:space="0" w:color="auto"/>
                                                                                                                                    <w:bottom w:val="none" w:sz="0" w:space="0" w:color="auto"/>
                                                                                                                                    <w:right w:val="none" w:sz="0" w:space="0" w:color="auto"/>
                                                                                                                                  </w:divBdr>
                                                                                                                                  <w:divsChild>
                                                                                                                                    <w:div w:id="2038500859">
                                                                                                                                      <w:marLeft w:val="0"/>
                                                                                                                                      <w:marRight w:val="0"/>
                                                                                                                                      <w:marTop w:val="0"/>
                                                                                                                                      <w:marBottom w:val="0"/>
                                                                                                                                      <w:divBdr>
                                                                                                                                        <w:top w:val="none" w:sz="0" w:space="0" w:color="auto"/>
                                                                                                                                        <w:left w:val="none" w:sz="0" w:space="0" w:color="auto"/>
                                                                                                                                        <w:bottom w:val="none" w:sz="0" w:space="0" w:color="auto"/>
                                                                                                                                        <w:right w:val="none" w:sz="0" w:space="0" w:color="auto"/>
                                                                                                                                      </w:divBdr>
                                                                                                                                    </w:div>
                                                                                                                                    <w:div w:id="743454194">
                                                                                                                                      <w:marLeft w:val="0"/>
                                                                                                                                      <w:marRight w:val="0"/>
                                                                                                                                      <w:marTop w:val="0"/>
                                                                                                                                      <w:marBottom w:val="0"/>
                                                                                                                                      <w:divBdr>
                                                                                                                                        <w:top w:val="none" w:sz="0" w:space="0" w:color="auto"/>
                                                                                                                                        <w:left w:val="none" w:sz="0" w:space="0" w:color="auto"/>
                                                                                                                                        <w:bottom w:val="none" w:sz="0" w:space="0" w:color="auto"/>
                                                                                                                                        <w:right w:val="none" w:sz="0" w:space="0" w:color="auto"/>
                                                                                                                                      </w:divBdr>
                                                                                                                                    </w:div>
                                                                                                                                    <w:div w:id="516627108">
                                                                                                                                      <w:marLeft w:val="0"/>
                                                                                                                                      <w:marRight w:val="0"/>
                                                                                                                                      <w:marTop w:val="0"/>
                                                                                                                                      <w:marBottom w:val="0"/>
                                                                                                                                      <w:divBdr>
                                                                                                                                        <w:top w:val="none" w:sz="0" w:space="0" w:color="auto"/>
                                                                                                                                        <w:left w:val="none" w:sz="0" w:space="0" w:color="auto"/>
                                                                                                                                        <w:bottom w:val="none" w:sz="0" w:space="0" w:color="auto"/>
                                                                                                                                        <w:right w:val="none" w:sz="0" w:space="0" w:color="auto"/>
                                                                                                                                      </w:divBdr>
                                                                                                                                    </w:div>
                                                                                                                                    <w:div w:id="450171893">
                                                                                                                                      <w:marLeft w:val="0"/>
                                                                                                                                      <w:marRight w:val="0"/>
                                                                                                                                      <w:marTop w:val="0"/>
                                                                                                                                      <w:marBottom w:val="0"/>
                                                                                                                                      <w:divBdr>
                                                                                                                                        <w:top w:val="none" w:sz="0" w:space="0" w:color="auto"/>
                                                                                                                                        <w:left w:val="none" w:sz="0" w:space="0" w:color="auto"/>
                                                                                                                                        <w:bottom w:val="none" w:sz="0" w:space="0" w:color="auto"/>
                                                                                                                                        <w:right w:val="none" w:sz="0" w:space="0" w:color="auto"/>
                                                                                                                                      </w:divBdr>
                                                                                                                                    </w:div>
                                                                                                                                    <w:div w:id="958075246">
                                                                                                                                      <w:marLeft w:val="0"/>
                                                                                                                                      <w:marRight w:val="0"/>
                                                                                                                                      <w:marTop w:val="0"/>
                                                                                                                                      <w:marBottom w:val="0"/>
                                                                                                                                      <w:divBdr>
                                                                                                                                        <w:top w:val="none" w:sz="0" w:space="0" w:color="auto"/>
                                                                                                                                        <w:left w:val="none" w:sz="0" w:space="0" w:color="auto"/>
                                                                                                                                        <w:bottom w:val="none" w:sz="0" w:space="0" w:color="auto"/>
                                                                                                                                        <w:right w:val="none" w:sz="0" w:space="0" w:color="auto"/>
                                                                                                                                      </w:divBdr>
                                                                                                                                    </w:div>
                                                                                                                                    <w:div w:id="989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27739670">
      <w:bodyDiv w:val="1"/>
      <w:marLeft w:val="0"/>
      <w:marRight w:val="0"/>
      <w:marTop w:val="0"/>
      <w:marBottom w:val="0"/>
      <w:divBdr>
        <w:top w:val="none" w:sz="0" w:space="0" w:color="auto"/>
        <w:left w:val="none" w:sz="0" w:space="0" w:color="auto"/>
        <w:bottom w:val="none" w:sz="0" w:space="0" w:color="auto"/>
        <w:right w:val="none" w:sz="0" w:space="0" w:color="auto"/>
      </w:divBdr>
      <w:divsChild>
        <w:div w:id="1277832805">
          <w:marLeft w:val="547"/>
          <w:marRight w:val="0"/>
          <w:marTop w:val="0"/>
          <w:marBottom w:val="0"/>
          <w:divBdr>
            <w:top w:val="none" w:sz="0" w:space="0" w:color="auto"/>
            <w:left w:val="none" w:sz="0" w:space="0" w:color="auto"/>
            <w:bottom w:val="none" w:sz="0" w:space="0" w:color="auto"/>
            <w:right w:val="none" w:sz="0" w:space="0" w:color="auto"/>
          </w:divBdr>
        </w:div>
      </w:divsChild>
    </w:div>
    <w:div w:id="1631285871">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qxmd.com/apps/calculate-by-qxmd" TargetMode="External"/><Relationship Id="rId25" Type="http://schemas.openxmlformats.org/officeDocument/2006/relationships/image" Target="media/image9.gif"/><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package" Target="embeddings/Microsoft_Visio-Zeichnung.vsdx"/><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cbi.nlm.nih.gov/pubmed/24450857"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0F06FD"/>
    <w:rsid w:val="001740D5"/>
    <w:rsid w:val="002F4FD9"/>
    <w:rsid w:val="00303C27"/>
    <w:rsid w:val="003207F8"/>
    <w:rsid w:val="003A13AC"/>
    <w:rsid w:val="00462D76"/>
    <w:rsid w:val="004F4D6C"/>
    <w:rsid w:val="00741567"/>
    <w:rsid w:val="007F198B"/>
    <w:rsid w:val="008E64F7"/>
    <w:rsid w:val="00B772E3"/>
    <w:rsid w:val="00C9385A"/>
    <w:rsid w:val="00CD52B1"/>
    <w:rsid w:val="00E25D2E"/>
    <w:rsid w:val="00E62305"/>
    <w:rsid w:val="00EA4DDB"/>
    <w:rsid w:val="00EF42B3"/>
    <w:rsid w:val="00F21A0F"/>
    <w:rsid w:val="00F373CA"/>
    <w:rsid w:val="00FC5F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33985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https://ooeg.info/dokumente/_layouts/gespag.dfr/revise.aspx?IsDlg=1&amp;listID=18c45198-6fc7-4da6-aad9-951c94b71f4f&amp;itemID=125, revisionieren</dfr_actionlink>
    <dfr_prevdepartment xmlns="http://schemas.microsoft.com/sharepoint/v3" xsi:nil="true"/>
    <dfr_creator xmlns="http://schemas.microsoft.com/sharepoint/v3">
      <UserInfo>
        <DisplayName>Girschikofsky Michael</DisplayName>
        <AccountId>26809</AccountId>
        <AccountType/>
      </UserInfo>
    </dfr_creator>
    <dfr_approvalid xmlns="http://schemas.microsoft.com/sharepoint/v3">b5a6abcb-68bc-4d64-83cf-c711d761916f</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04.07.2022 12:10:59 Pichler Thomas (Initiator) : Freigabe der Revision Dr. Orlinger per Mail vom 04.07.2022
04.07.2022 12:11:20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2023-07-04T10:11:25+00:00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Hämatologie</dfr_department>
    <dfr_taskownerresponsibility xmlns="http://schemas.microsoft.com/sharepoint/v3" xsi:nil="true"/>
    <dfr_publisheddate xmlns="http://schemas.microsoft.com/sharepoint/v3">2022-07-04T10:11:20+00:00</dfr_publisheddate>
    <customfield_majorversion xmlns="http://schemas.microsoft.com/sharepoint/v3" xsi:nil="true"/>
    <dfr_location xmlns="http://schemas.microsoft.com/sharepoint/v3">KH</dfr_location>
    <dfr_majorversion xmlns="18c45198-6fc7-4da6-aad9-951c94b71f4f">12.0</dfr_majorvers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dfr_classification xmlns="18c45198-6fc7-4da6-aad9-951c94b71f4f">öffentlich</dfr_classification>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4FF2B-BFEF-4DFE-A0DD-3AA299699AD2}"/>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6BD7002F-7783-4DDB-89FE-9B0AC78D727F}"/>
</file>

<file path=docProps/app.xml><?xml version="1.0" encoding="utf-8"?>
<Properties xmlns="http://schemas.openxmlformats.org/officeDocument/2006/extended-properties" xmlns:vt="http://schemas.openxmlformats.org/officeDocument/2006/docPropsVTypes">
  <Template>Normal</Template>
  <TotalTime>0</TotalTime>
  <Pages>13</Pages>
  <Words>2078</Words>
  <Characters>13095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CLL</vt:lpstr>
    </vt:vector>
  </TitlesOfParts>
  <Company>gespag</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dc:title>
  <dc:creator>Freinhofer Regina</dc:creator>
  <cp:keywords/>
  <cp:lastModifiedBy>Pichler, Thomas</cp:lastModifiedBy>
  <cp:revision>12</cp:revision>
  <cp:lastPrinted>2020-03-09T06:53:00Z</cp:lastPrinted>
  <dcterms:created xsi:type="dcterms:W3CDTF">2021-03-01T13:55:00Z</dcterms:created>
  <dcterms:modified xsi:type="dcterms:W3CDTF">2022-07-04T06:57:00Z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2;#;#4;#;#5;#;#3;#;#6;#;#1;#</vt:lpwstr>
  </property>
  <property fmtid="{D5CDD505-2E9C-101B-9397-08002B2CF9AE}" pid="23" name="Bereich">
    <vt:lpwstr>Vorlagen</vt:lpwstr>
  </property>
  <property fmtid="{D5CDD505-2E9C-101B-9397-08002B2CF9AE}" pid="24" name="Archivieren">
    <vt:lpwstr>Nein</vt:lpwstr>
  </property>
  <property fmtid="{D5CDD505-2E9C-101B-9397-08002B2CF9AE}" pid="25" name="läuft ab am">
    <vt:lpwstr>2098-12-31T23:00:00+00:00</vt:lpwstr>
  </property>
  <property fmtid="{D5CDD505-2E9C-101B-9397-08002B2CF9AE}" pid="26" name="TaxKeyword">
    <vt:lpwstr/>
  </property>
</Properties>
</file>