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2E" w:rsidRPr="00B6342E" w:rsidRDefault="00B6342E" w:rsidP="00B6342E">
      <w:pPr>
        <w:pStyle w:val="Titel"/>
        <w:jc w:val="left"/>
        <w:rPr>
          <w:b/>
          <w:sz w:val="20"/>
        </w:rPr>
      </w:pPr>
      <w:bookmarkStart w:id="0" w:name="_GoBack"/>
      <w:bookmarkEnd w:id="0"/>
    </w:p>
    <w:p w:rsidR="00B6342E" w:rsidRPr="00B6342E" w:rsidRDefault="00B6342E" w:rsidP="00B6342E">
      <w:pPr>
        <w:pStyle w:val="Titel"/>
        <w:jc w:val="left"/>
        <w:rPr>
          <w:b/>
          <w:sz w:val="20"/>
        </w:rPr>
      </w:pPr>
    </w:p>
    <w:p w:rsidR="00B6342E" w:rsidRPr="00B6342E" w:rsidRDefault="00B6342E" w:rsidP="00B6342E">
      <w:pPr>
        <w:pStyle w:val="Titel"/>
        <w:jc w:val="left"/>
        <w:rPr>
          <w:b/>
          <w:sz w:val="20"/>
        </w:rPr>
      </w:pPr>
    </w:p>
    <w:p w:rsidR="00B6342E" w:rsidRPr="00B6342E" w:rsidRDefault="00B6342E" w:rsidP="00B6342E">
      <w:pPr>
        <w:pStyle w:val="Titel"/>
        <w:jc w:val="left"/>
        <w:rPr>
          <w:b/>
          <w:sz w:val="20"/>
        </w:rPr>
      </w:pPr>
    </w:p>
    <w:p w:rsidR="00B6342E" w:rsidRDefault="00B6342E" w:rsidP="00B6342E">
      <w:pPr>
        <w:pStyle w:val="Titel"/>
        <w:jc w:val="left"/>
        <w:rPr>
          <w:b/>
          <w:sz w:val="48"/>
          <w:szCs w:val="48"/>
        </w:rPr>
      </w:pPr>
    </w:p>
    <w:p w:rsidR="00E67988" w:rsidRDefault="00E67988" w:rsidP="00B6342E">
      <w:pPr>
        <w:pStyle w:val="Titel"/>
        <w:jc w:val="left"/>
        <w:rPr>
          <w:b/>
          <w:sz w:val="48"/>
          <w:szCs w:val="48"/>
        </w:rPr>
      </w:pPr>
    </w:p>
    <w:p w:rsidR="00250E53" w:rsidRDefault="00250E53" w:rsidP="00B6342E">
      <w:pPr>
        <w:pStyle w:val="Titel"/>
        <w:jc w:val="left"/>
        <w:rPr>
          <w:b/>
          <w:sz w:val="48"/>
          <w:szCs w:val="48"/>
        </w:rPr>
      </w:pPr>
    </w:p>
    <w:p w:rsidR="008A7324" w:rsidRPr="00E344D4" w:rsidRDefault="00552353" w:rsidP="00B6342E">
      <w:pPr>
        <w:pStyle w:val="Titel"/>
        <w:jc w:val="left"/>
        <w:rPr>
          <w:b/>
          <w:sz w:val="48"/>
          <w:szCs w:val="48"/>
        </w:rPr>
      </w:pPr>
      <w:sdt>
        <w:sdtPr>
          <w:rPr>
            <w:b/>
            <w:sz w:val="48"/>
            <w:szCs w:val="48"/>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6A3E7B">
            <w:rPr>
              <w:b/>
              <w:sz w:val="48"/>
              <w:szCs w:val="48"/>
            </w:rPr>
            <w:t>Antiemese</w:t>
          </w:r>
        </w:sdtContent>
      </w:sdt>
    </w:p>
    <w:p w:rsidR="008A7324" w:rsidRPr="00B6342E" w:rsidRDefault="008A7324" w:rsidP="005E0058">
      <w:pPr>
        <w:pStyle w:val="Titel"/>
        <w:ind w:left="-56"/>
        <w:jc w:val="left"/>
        <w:rPr>
          <w:sz w:val="28"/>
          <w:szCs w:val="28"/>
        </w:rPr>
      </w:pPr>
    </w:p>
    <w:p w:rsidR="005163F4" w:rsidRDefault="005163F4" w:rsidP="00B6342E">
      <w:pPr>
        <w:tabs>
          <w:tab w:val="left" w:pos="1418"/>
        </w:tabs>
        <w:spacing w:line="276" w:lineRule="auto"/>
        <w:jc w:val="both"/>
        <w:rPr>
          <w:rFonts w:cs="Arial"/>
          <w:sz w:val="28"/>
          <w:szCs w:val="28"/>
        </w:rPr>
      </w:pPr>
    </w:p>
    <w:p w:rsidR="00B6342E" w:rsidRDefault="00B6342E" w:rsidP="00B6342E">
      <w:pPr>
        <w:tabs>
          <w:tab w:val="left" w:pos="1418"/>
        </w:tabs>
        <w:spacing w:line="276" w:lineRule="auto"/>
        <w:jc w:val="both"/>
        <w:rPr>
          <w:rFonts w:cs="Arial"/>
          <w:sz w:val="28"/>
          <w:szCs w:val="28"/>
        </w:rPr>
      </w:pPr>
    </w:p>
    <w:p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rsidR="00B6342E" w:rsidRDefault="00B6342E" w:rsidP="00B6342E">
      <w:pPr>
        <w:tabs>
          <w:tab w:val="left" w:pos="1418"/>
        </w:tabs>
        <w:spacing w:line="276" w:lineRule="auto"/>
        <w:jc w:val="both"/>
        <w:rPr>
          <w:rFonts w:cs="Arial"/>
          <w:sz w:val="28"/>
          <w:szCs w:val="28"/>
        </w:rPr>
      </w:pPr>
    </w:p>
    <w:p w:rsidR="00B6342E" w:rsidRDefault="00B6342E" w:rsidP="00B6342E">
      <w:pPr>
        <w:tabs>
          <w:tab w:val="left" w:pos="1418"/>
        </w:tabs>
        <w:spacing w:line="276" w:lineRule="auto"/>
        <w:jc w:val="both"/>
        <w:rPr>
          <w:rFonts w:cs="Arial"/>
          <w:sz w:val="28"/>
          <w:szCs w:val="28"/>
        </w:rPr>
      </w:pPr>
    </w:p>
    <w:p w:rsidR="00B6342E" w:rsidRDefault="00B6342E" w:rsidP="00B6342E">
      <w:pPr>
        <w:tabs>
          <w:tab w:val="left" w:pos="1418"/>
        </w:tabs>
        <w:spacing w:line="276" w:lineRule="auto"/>
        <w:jc w:val="both"/>
        <w:rPr>
          <w:rFonts w:cs="Arial"/>
          <w:sz w:val="28"/>
          <w:szCs w:val="28"/>
        </w:rPr>
      </w:pPr>
    </w:p>
    <w:p w:rsidR="005163F4" w:rsidRDefault="005163F4" w:rsidP="00B6342E">
      <w:pPr>
        <w:tabs>
          <w:tab w:val="left" w:pos="1418"/>
        </w:tabs>
        <w:spacing w:line="276" w:lineRule="auto"/>
        <w:jc w:val="both"/>
        <w:rPr>
          <w:rFonts w:cs="Arial"/>
          <w:sz w:val="28"/>
          <w:szCs w:val="28"/>
        </w:rPr>
      </w:pPr>
    </w:p>
    <w:p w:rsidR="005163F4" w:rsidRDefault="005163F4" w:rsidP="00B6342E">
      <w:pPr>
        <w:tabs>
          <w:tab w:val="left" w:pos="1418"/>
        </w:tabs>
        <w:spacing w:line="276" w:lineRule="auto"/>
        <w:jc w:val="both"/>
        <w:rPr>
          <w:rFonts w:cs="Arial"/>
          <w:sz w:val="28"/>
          <w:szCs w:val="28"/>
        </w:rPr>
      </w:pPr>
    </w:p>
    <w:p w:rsidR="005163F4" w:rsidRDefault="005163F4" w:rsidP="00B6342E">
      <w:pPr>
        <w:tabs>
          <w:tab w:val="left" w:pos="1418"/>
        </w:tabs>
        <w:spacing w:line="276" w:lineRule="auto"/>
        <w:jc w:val="both"/>
        <w:rPr>
          <w:rFonts w:cs="Arial"/>
          <w:sz w:val="28"/>
          <w:szCs w:val="28"/>
        </w:rPr>
      </w:pPr>
    </w:p>
    <w:p w:rsidR="005163F4" w:rsidRDefault="005163F4" w:rsidP="00B6342E">
      <w:pPr>
        <w:tabs>
          <w:tab w:val="left" w:pos="1418"/>
        </w:tabs>
        <w:spacing w:line="276" w:lineRule="auto"/>
        <w:jc w:val="both"/>
        <w:rPr>
          <w:rFonts w:cs="Arial"/>
          <w:sz w:val="28"/>
          <w:szCs w:val="28"/>
        </w:rPr>
      </w:pPr>
    </w:p>
    <w:p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C12E87" w:rsidTr="0095092F">
        <w:trPr>
          <w:trHeight w:val="567"/>
        </w:trPr>
        <w:tc>
          <w:tcPr>
            <w:tcW w:w="2744" w:type="dxa"/>
            <w:vAlign w:val="center"/>
          </w:tcPr>
          <w:p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rsidR="008527BA" w:rsidRDefault="007F31F3" w:rsidP="00122609">
            <w:pPr>
              <w:spacing w:line="276" w:lineRule="auto"/>
              <w:jc w:val="left"/>
              <w:rPr>
                <w:rFonts w:asciiTheme="minorHAnsi" w:hAnsiTheme="minorHAnsi" w:cstheme="minorHAnsi"/>
              </w:rPr>
            </w:pPr>
            <w:r>
              <w:rPr>
                <w:rFonts w:asciiTheme="minorHAnsi" w:hAnsiTheme="minorHAnsi" w:cstheme="minorHAnsi"/>
              </w:rPr>
              <w:t xml:space="preserve">OA </w:t>
            </w:r>
            <w:r w:rsidRPr="007F31F3">
              <w:rPr>
                <w:rFonts w:asciiTheme="minorHAnsi" w:hAnsiTheme="minorHAnsi" w:cstheme="minorHAnsi"/>
              </w:rPr>
              <w:t>Dr. Georg Schreil</w:t>
            </w:r>
            <w:r>
              <w:rPr>
                <w:rFonts w:asciiTheme="minorHAnsi" w:hAnsiTheme="minorHAnsi" w:cstheme="minorHAnsi"/>
              </w:rPr>
              <w:t xml:space="preserve"> (</w:t>
            </w:r>
            <w:r w:rsidR="00122609">
              <w:rPr>
                <w:rFonts w:asciiTheme="minorHAnsi" w:hAnsiTheme="minorHAnsi" w:cstheme="minorHAnsi"/>
              </w:rPr>
              <w:t>PEK</w:t>
            </w:r>
            <w:r>
              <w:rPr>
                <w:rFonts w:asciiTheme="minorHAnsi" w:hAnsiTheme="minorHAnsi" w:cstheme="minorHAnsi"/>
              </w:rPr>
              <w:t>)</w:t>
            </w:r>
            <w:r w:rsidR="005819D5">
              <w:rPr>
                <w:rFonts w:asciiTheme="minorHAnsi" w:hAnsiTheme="minorHAnsi" w:cstheme="minorHAnsi"/>
              </w:rPr>
              <w:t>;</w:t>
            </w:r>
            <w:r w:rsidR="00AA5099">
              <w:rPr>
                <w:rFonts w:asciiTheme="minorHAnsi" w:hAnsiTheme="minorHAnsi" w:cstheme="minorHAnsi"/>
              </w:rPr>
              <w:t xml:space="preserve"> Mag. Edith Pernkopf (TZ)</w:t>
            </w:r>
            <w:r w:rsidR="005819D5">
              <w:rPr>
                <w:rFonts w:asciiTheme="minorHAnsi" w:hAnsiTheme="minorHAnsi" w:cstheme="minorHAnsi"/>
              </w:rPr>
              <w:t>;</w:t>
            </w:r>
            <w:r w:rsidR="00AA5099">
              <w:rPr>
                <w:rFonts w:asciiTheme="minorHAnsi" w:hAnsiTheme="minorHAnsi" w:cstheme="minorHAnsi"/>
              </w:rPr>
              <w:t xml:space="preserve"> </w:t>
            </w:r>
          </w:p>
          <w:p w:rsidR="002E7743" w:rsidRPr="00C12E87" w:rsidRDefault="008527BA" w:rsidP="005819D5">
            <w:pPr>
              <w:spacing w:line="276" w:lineRule="auto"/>
              <w:jc w:val="left"/>
              <w:rPr>
                <w:rFonts w:asciiTheme="minorHAnsi" w:hAnsiTheme="minorHAnsi" w:cstheme="minorHAnsi"/>
              </w:rPr>
            </w:pPr>
            <w:r>
              <w:rPr>
                <w:rFonts w:asciiTheme="minorHAnsi" w:hAnsiTheme="minorHAnsi" w:cstheme="minorHAnsi"/>
              </w:rPr>
              <w:t xml:space="preserve">OA </w:t>
            </w:r>
            <w:r w:rsidR="00AA5099">
              <w:rPr>
                <w:rFonts w:asciiTheme="minorHAnsi" w:hAnsiTheme="minorHAnsi" w:cstheme="minorHAnsi"/>
              </w:rPr>
              <w:t>Dr. Clemens Dormann (OKL)</w:t>
            </w:r>
            <w:r w:rsidR="005819D5">
              <w:rPr>
                <w:rFonts w:asciiTheme="minorHAnsi" w:hAnsiTheme="minorHAnsi" w:cstheme="minorHAnsi"/>
              </w:rPr>
              <w:t>;</w:t>
            </w:r>
            <w:r w:rsidR="007C2C37">
              <w:rPr>
                <w:rFonts w:asciiTheme="minorHAnsi" w:hAnsiTheme="minorHAnsi" w:cstheme="minorHAnsi"/>
              </w:rPr>
              <w:t xml:space="preserve"> </w:t>
            </w:r>
            <w:r w:rsidR="007C2C37" w:rsidRPr="007C2C37">
              <w:rPr>
                <w:rFonts w:asciiTheme="minorHAnsi" w:hAnsiTheme="minorHAnsi" w:cstheme="minorHAnsi"/>
              </w:rPr>
              <w:t>Univ. Doz. Dr. Ansgar Weltermann (TZ)</w:t>
            </w:r>
          </w:p>
        </w:tc>
      </w:tr>
      <w:tr w:rsidR="002E7743" w:rsidRPr="006256D9" w:rsidTr="0095092F">
        <w:trPr>
          <w:trHeight w:val="567"/>
        </w:trPr>
        <w:tc>
          <w:tcPr>
            <w:tcW w:w="2744" w:type="dxa"/>
            <w:vAlign w:val="center"/>
          </w:tcPr>
          <w:p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rsidR="005819D5" w:rsidRDefault="007F31F3" w:rsidP="008527BA">
            <w:pPr>
              <w:spacing w:line="276" w:lineRule="auto"/>
              <w:jc w:val="left"/>
              <w:rPr>
                <w:rFonts w:asciiTheme="minorHAnsi" w:hAnsiTheme="minorHAnsi" w:cstheme="minorHAnsi"/>
              </w:rPr>
            </w:pPr>
            <w:r w:rsidRPr="00CD4213">
              <w:rPr>
                <w:rFonts w:asciiTheme="minorHAnsi" w:hAnsiTheme="minorHAnsi" w:cstheme="minorHAnsi"/>
              </w:rPr>
              <w:t xml:space="preserve">Prim. Dr. </w:t>
            </w:r>
            <w:r w:rsidR="00122609" w:rsidRPr="00CD4213">
              <w:rPr>
                <w:rFonts w:asciiTheme="minorHAnsi" w:hAnsiTheme="minorHAnsi" w:cstheme="minorHAnsi"/>
              </w:rPr>
              <w:t>Johannes Andel (PEK</w:t>
            </w:r>
            <w:r w:rsidRPr="00CD4213">
              <w:rPr>
                <w:rFonts w:asciiTheme="minorHAnsi" w:hAnsiTheme="minorHAnsi" w:cstheme="minorHAnsi"/>
              </w:rPr>
              <w:t xml:space="preserve">); </w:t>
            </w:r>
            <w:r w:rsidR="00CD4213" w:rsidRPr="00CD4213">
              <w:rPr>
                <w:rFonts w:asciiTheme="minorHAnsi" w:hAnsiTheme="minorHAnsi" w:cstheme="minorHAnsi"/>
              </w:rPr>
              <w:t>OA Dr. David Fuchs (OKL)</w:t>
            </w:r>
            <w:r w:rsidR="00CD4213">
              <w:rPr>
                <w:rFonts w:asciiTheme="minorHAnsi" w:hAnsiTheme="minorHAnsi" w:cstheme="minorHAnsi"/>
              </w:rPr>
              <w:t>;</w:t>
            </w:r>
            <w:r w:rsidR="00CD4213" w:rsidRPr="00CD4213">
              <w:rPr>
                <w:rFonts w:asciiTheme="minorHAnsi" w:hAnsiTheme="minorHAnsi" w:cstheme="minorHAnsi"/>
              </w:rPr>
              <w:t xml:space="preserve"> </w:t>
            </w:r>
          </w:p>
          <w:p w:rsidR="005819D5" w:rsidRDefault="00CD4213" w:rsidP="005819D5">
            <w:pPr>
              <w:spacing w:line="276" w:lineRule="auto"/>
              <w:jc w:val="left"/>
              <w:rPr>
                <w:rFonts w:asciiTheme="minorHAnsi" w:hAnsiTheme="minorHAnsi" w:cstheme="minorHAnsi"/>
              </w:rPr>
            </w:pPr>
            <w:r w:rsidRPr="00CD4213">
              <w:rPr>
                <w:rFonts w:asciiTheme="minorHAnsi" w:hAnsiTheme="minorHAnsi" w:cstheme="minorHAnsi"/>
              </w:rPr>
              <w:t xml:space="preserve">FA Dr Lukas Kocik (OKL); </w:t>
            </w:r>
            <w:r w:rsidR="00190BBB">
              <w:rPr>
                <w:rFonts w:asciiTheme="minorHAnsi" w:hAnsiTheme="minorHAnsi" w:cstheme="minorHAnsi"/>
              </w:rPr>
              <w:t xml:space="preserve">Prim. Dr. </w:t>
            </w:r>
            <w:r w:rsidR="005819D5">
              <w:rPr>
                <w:rFonts w:asciiTheme="minorHAnsi" w:hAnsiTheme="minorHAnsi" w:cstheme="minorHAnsi"/>
              </w:rPr>
              <w:t>Michael Kopp</w:t>
            </w:r>
            <w:r w:rsidR="00190BBB">
              <w:rPr>
                <w:rFonts w:asciiTheme="minorHAnsi" w:hAnsiTheme="minorHAnsi" w:cstheme="minorHAnsi"/>
              </w:rPr>
              <w:t xml:space="preserve"> (SK)</w:t>
            </w:r>
            <w:r w:rsidR="005819D5">
              <w:rPr>
                <w:rFonts w:asciiTheme="minorHAnsi" w:hAnsiTheme="minorHAnsi" w:cstheme="minorHAnsi"/>
              </w:rPr>
              <w:t>;</w:t>
            </w:r>
          </w:p>
          <w:p w:rsidR="007C2C37" w:rsidRPr="00D02334" w:rsidRDefault="00190BBB" w:rsidP="005819D5">
            <w:pPr>
              <w:spacing w:line="276" w:lineRule="auto"/>
              <w:jc w:val="left"/>
              <w:rPr>
                <w:rFonts w:asciiTheme="minorHAnsi" w:hAnsiTheme="minorHAnsi" w:cstheme="minorHAnsi"/>
              </w:rPr>
            </w:pPr>
            <w:r>
              <w:rPr>
                <w:rFonts w:asciiTheme="minorHAnsi" w:hAnsiTheme="minorHAnsi" w:cstheme="minorHAnsi"/>
              </w:rPr>
              <w:t xml:space="preserve"> </w:t>
            </w:r>
            <w:r w:rsidR="00907EF6" w:rsidRPr="00CD4213">
              <w:rPr>
                <w:rFonts w:asciiTheme="minorHAnsi" w:hAnsiTheme="minorHAnsi" w:cstheme="minorHAnsi"/>
              </w:rPr>
              <w:t>Prim. Dr. Ernst Rechberger (RI);</w:t>
            </w:r>
            <w:r w:rsidR="008527BA">
              <w:rPr>
                <w:rFonts w:asciiTheme="minorHAnsi" w:hAnsiTheme="minorHAnsi" w:cstheme="minorHAnsi"/>
              </w:rPr>
              <w:t xml:space="preserve"> OA Dr. Bernhard Reiter (OKL)</w:t>
            </w:r>
          </w:p>
        </w:tc>
      </w:tr>
      <w:tr w:rsidR="002E7743" w:rsidRPr="006256D9" w:rsidTr="0095092F">
        <w:trPr>
          <w:trHeight w:val="567"/>
        </w:trPr>
        <w:tc>
          <w:tcPr>
            <w:tcW w:w="2744" w:type="dxa"/>
            <w:vAlign w:val="center"/>
          </w:tcPr>
          <w:p w:rsidR="002E7743" w:rsidRPr="00D02334" w:rsidRDefault="00ED24ED" w:rsidP="00C80423">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rsidR="007F31F3" w:rsidRDefault="007F31F3" w:rsidP="001F2BEC">
            <w:pPr>
              <w:spacing w:line="276" w:lineRule="auto"/>
              <w:jc w:val="left"/>
              <w:rPr>
                <w:rFonts w:asciiTheme="minorHAnsi" w:hAnsiTheme="minorHAnsi" w:cstheme="minorHAnsi"/>
              </w:rPr>
            </w:pPr>
            <w:r>
              <w:rPr>
                <w:rFonts w:asciiTheme="minorHAnsi" w:hAnsiTheme="minorHAnsi" w:cstheme="minorHAnsi"/>
              </w:rPr>
              <w:t xml:space="preserve">OA </w:t>
            </w:r>
            <w:r w:rsidRPr="007F31F3">
              <w:rPr>
                <w:rFonts w:asciiTheme="minorHAnsi" w:hAnsiTheme="minorHAnsi" w:cstheme="minorHAnsi"/>
              </w:rPr>
              <w:t>Dr. Georg Schreil</w:t>
            </w:r>
            <w:r>
              <w:rPr>
                <w:rFonts w:asciiTheme="minorHAnsi" w:hAnsiTheme="minorHAnsi" w:cstheme="minorHAnsi"/>
              </w:rPr>
              <w:t xml:space="preserve"> </w:t>
            </w:r>
          </w:p>
          <w:p w:rsidR="001F2BEC" w:rsidRPr="00D02334" w:rsidRDefault="007F31F3" w:rsidP="005819D5">
            <w:pPr>
              <w:spacing w:line="276" w:lineRule="auto"/>
              <w:jc w:val="left"/>
              <w:rPr>
                <w:rFonts w:asciiTheme="minorHAnsi" w:hAnsiTheme="minorHAnsi" w:cstheme="minorHAnsi"/>
              </w:rPr>
            </w:pPr>
            <w:r>
              <w:rPr>
                <w:rFonts w:asciiTheme="minorHAnsi" w:hAnsiTheme="minorHAnsi" w:cstheme="minorHAnsi"/>
              </w:rPr>
              <w:t xml:space="preserve">Revision: </w:t>
            </w:r>
            <w:r w:rsidR="005819D5">
              <w:rPr>
                <w:rFonts w:asciiTheme="minorHAnsi" w:hAnsiTheme="minorHAnsi" w:cstheme="minorHAnsi"/>
              </w:rPr>
              <w:t>08.03.2022</w:t>
            </w:r>
          </w:p>
        </w:tc>
      </w:tr>
    </w:tbl>
    <w:p w:rsidR="008B2595" w:rsidRDefault="008B2595">
      <w:pPr>
        <w:spacing w:line="240" w:lineRule="auto"/>
        <w:jc w:val="left"/>
      </w:pPr>
    </w:p>
    <w:p w:rsidR="008B2595" w:rsidRDefault="008B2595">
      <w:pPr>
        <w:spacing w:line="240" w:lineRule="auto"/>
        <w:jc w:val="left"/>
      </w:pPr>
    </w:p>
    <w:p w:rsidR="00D02334" w:rsidRDefault="00D02334" w:rsidP="00D02334">
      <w:pPr>
        <w:spacing w:line="276" w:lineRule="auto"/>
        <w:jc w:val="both"/>
        <w:rPr>
          <w:rFonts w:asciiTheme="minorHAnsi" w:hAnsiTheme="minorHAnsi" w:cstheme="minorHAnsi"/>
          <w:sz w:val="18"/>
          <w:szCs w:val="18"/>
        </w:rPr>
      </w:pPr>
    </w:p>
    <w:p w:rsidR="00D02334" w:rsidRDefault="00D02334" w:rsidP="00D02334">
      <w:pPr>
        <w:spacing w:line="276" w:lineRule="auto"/>
        <w:jc w:val="both"/>
        <w:rPr>
          <w:rFonts w:asciiTheme="minorHAnsi" w:hAnsiTheme="minorHAnsi" w:cstheme="minorHAnsi"/>
          <w:sz w:val="18"/>
          <w:szCs w:val="18"/>
        </w:rPr>
      </w:pPr>
    </w:p>
    <w:p w:rsidR="00D02334" w:rsidRDefault="00D02334" w:rsidP="00D02334">
      <w:pPr>
        <w:spacing w:line="276" w:lineRule="auto"/>
        <w:jc w:val="both"/>
        <w:rPr>
          <w:rFonts w:asciiTheme="minorHAnsi" w:hAnsiTheme="minorHAnsi" w:cstheme="minorHAnsi"/>
          <w:sz w:val="18"/>
          <w:szCs w:val="18"/>
        </w:rPr>
      </w:pPr>
    </w:p>
    <w:p w:rsidR="00D02334" w:rsidRDefault="00D02334" w:rsidP="00D02334">
      <w:pPr>
        <w:spacing w:line="276" w:lineRule="auto"/>
        <w:jc w:val="both"/>
        <w:rPr>
          <w:rFonts w:asciiTheme="minorHAnsi" w:hAnsiTheme="minorHAnsi" w:cstheme="minorHAnsi"/>
          <w:sz w:val="18"/>
          <w:szCs w:val="18"/>
        </w:rPr>
      </w:pPr>
    </w:p>
    <w:p w:rsidR="00907EF6" w:rsidRPr="00907EF6" w:rsidRDefault="00907EF6" w:rsidP="00907EF6">
      <w:pPr>
        <w:spacing w:line="276" w:lineRule="auto"/>
        <w:jc w:val="both"/>
        <w:rPr>
          <w:rFonts w:asciiTheme="minorHAnsi" w:hAnsiTheme="minorHAnsi" w:cstheme="minorHAnsi"/>
          <w:sz w:val="18"/>
          <w:szCs w:val="18"/>
        </w:rPr>
      </w:pPr>
      <w:r w:rsidRPr="00907EF6">
        <w:rPr>
          <w:rFonts w:asciiTheme="minorHAnsi" w:hAnsiTheme="minorHAnsi" w:cstheme="minorHAnsi"/>
          <w:sz w:val="18"/>
          <w:szCs w:val="18"/>
        </w:rPr>
        <w:t xml:space="preserve">Diese Leitlinie ist eine Grundlage für die Diagnostik und Therapie innerhalb </w:t>
      </w:r>
      <w:r w:rsidR="00122609">
        <w:rPr>
          <w:rFonts w:asciiTheme="minorHAnsi" w:hAnsiTheme="minorHAnsi" w:cstheme="minorHAnsi"/>
          <w:sz w:val="18"/>
          <w:szCs w:val="18"/>
        </w:rPr>
        <w:t>des Tumorzentrums Oberösterrei</w:t>
      </w:r>
      <w:r w:rsidR="00187C83">
        <w:rPr>
          <w:rFonts w:asciiTheme="minorHAnsi" w:hAnsiTheme="minorHAnsi" w:cstheme="minorHAnsi"/>
          <w:sz w:val="18"/>
          <w:szCs w:val="18"/>
        </w:rPr>
        <w:t>c</w:t>
      </w:r>
      <w:r w:rsidR="00122609">
        <w:rPr>
          <w:rFonts w:asciiTheme="minorHAnsi" w:hAnsiTheme="minorHAnsi" w:cstheme="minorHAnsi"/>
          <w:sz w:val="18"/>
          <w:szCs w:val="18"/>
        </w:rPr>
        <w:t xml:space="preserve">h </w:t>
      </w:r>
      <w:r w:rsidRPr="00907EF6">
        <w:rPr>
          <w:rFonts w:asciiTheme="minorHAnsi" w:hAnsiTheme="minorHAnsi" w:cstheme="minorHAnsi"/>
          <w:sz w:val="18"/>
          <w:szCs w:val="18"/>
        </w:rPr>
        <w:t>und erhebt nicht den Anspruch auf Vollständigkeit.</w:t>
      </w:r>
    </w:p>
    <w:p w:rsidR="00D02334" w:rsidRPr="00D02334" w:rsidRDefault="00907EF6" w:rsidP="00907EF6">
      <w:pPr>
        <w:spacing w:line="276" w:lineRule="auto"/>
        <w:jc w:val="left"/>
        <w:rPr>
          <w:rFonts w:asciiTheme="minorHAnsi" w:hAnsiTheme="minorHAnsi" w:cstheme="minorHAnsi"/>
          <w:sz w:val="18"/>
          <w:szCs w:val="18"/>
        </w:rPr>
        <w:sectPr w:rsidR="00D02334" w:rsidRPr="00D02334"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r w:rsidRPr="00907EF6">
        <w:rPr>
          <w:rFonts w:asciiTheme="minorHAnsi" w:hAnsiTheme="minorHAnsi" w:cstheme="minorHAnsi"/>
          <w:sz w:val="18"/>
          <w:szCs w:val="18"/>
        </w:rPr>
        <w:t>Darüberhinaus von den jeweiligen Fachgesellschaften festgelegte Qualitätsstandards sind dem Stand der Wissenschaft entsprechend einzubeziehen.</w:t>
      </w:r>
    </w:p>
    <w:sdt>
      <w:sdtPr>
        <w:rPr>
          <w:rFonts w:ascii="Arial" w:eastAsia="Times New Roman" w:hAnsi="Arial" w:cs="Times New Roman"/>
          <w:b w:val="0"/>
          <w:bCs w:val="0"/>
          <w:color w:val="auto"/>
          <w:szCs w:val="20"/>
          <w:lang w:val="de-DE" w:eastAsia="de-DE"/>
        </w:rPr>
        <w:id w:val="370740911"/>
        <w:docPartObj>
          <w:docPartGallery w:val="Table of Contents"/>
          <w:docPartUnique/>
        </w:docPartObj>
      </w:sdtPr>
      <w:sdtEndPr>
        <w:rPr>
          <w:lang w:val="de-AT"/>
        </w:rPr>
      </w:sdtEndPr>
      <w:sdtContent>
        <w:p w:rsidR="005137A2" w:rsidRPr="00330662" w:rsidRDefault="005137A2" w:rsidP="00330662">
          <w:pPr>
            <w:pStyle w:val="Inhaltsverzeichnisberschrift"/>
            <w:spacing w:before="0" w:line="360" w:lineRule="auto"/>
            <w:rPr>
              <w:rFonts w:asciiTheme="minorHAnsi" w:hAnsiTheme="minorHAnsi" w:cstheme="minorHAnsi"/>
              <w:color w:val="auto"/>
            </w:rPr>
          </w:pPr>
          <w:r w:rsidRPr="00330662">
            <w:rPr>
              <w:rFonts w:asciiTheme="minorHAnsi" w:hAnsiTheme="minorHAnsi" w:cstheme="minorHAnsi"/>
              <w:color w:val="auto"/>
              <w:lang w:val="de-DE"/>
            </w:rPr>
            <w:t>Inhalt</w:t>
          </w:r>
          <w:r w:rsidR="008E0D7C" w:rsidRPr="00330662">
            <w:rPr>
              <w:rFonts w:asciiTheme="minorHAnsi" w:hAnsiTheme="minorHAnsi" w:cstheme="minorHAnsi"/>
              <w:color w:val="auto"/>
              <w:lang w:val="de-DE"/>
            </w:rPr>
            <w:t>sverzeichnis</w:t>
          </w:r>
        </w:p>
        <w:p w:rsidR="0096220B" w:rsidRPr="00330662" w:rsidRDefault="0096220B" w:rsidP="00330662">
          <w:pPr>
            <w:pStyle w:val="Verzeichnis1"/>
            <w:tabs>
              <w:tab w:val="left" w:pos="440"/>
              <w:tab w:val="right" w:leader="dot" w:pos="9372"/>
            </w:tabs>
            <w:spacing w:after="0"/>
            <w:rPr>
              <w:rFonts w:asciiTheme="minorHAnsi" w:hAnsiTheme="minorHAnsi" w:cstheme="minorHAnsi"/>
            </w:rPr>
          </w:pPr>
        </w:p>
        <w:p w:rsidR="00330662" w:rsidRPr="00330662" w:rsidRDefault="005137A2" w:rsidP="00330662">
          <w:pPr>
            <w:pStyle w:val="Verzeichnis1"/>
            <w:tabs>
              <w:tab w:val="left" w:pos="440"/>
              <w:tab w:val="right" w:leader="dot" w:pos="9372"/>
            </w:tabs>
            <w:spacing w:after="0"/>
            <w:rPr>
              <w:rFonts w:asciiTheme="minorHAnsi" w:eastAsiaTheme="minorEastAsia" w:hAnsiTheme="minorHAnsi" w:cstheme="minorHAnsi"/>
              <w:noProof/>
              <w:szCs w:val="22"/>
              <w:lang w:eastAsia="de-AT"/>
            </w:rPr>
          </w:pPr>
          <w:r w:rsidRPr="00330662">
            <w:rPr>
              <w:rFonts w:asciiTheme="minorHAnsi" w:hAnsiTheme="minorHAnsi" w:cstheme="minorHAnsi"/>
            </w:rPr>
            <w:fldChar w:fldCharType="begin"/>
          </w:r>
          <w:r w:rsidRPr="00330662">
            <w:rPr>
              <w:rFonts w:asciiTheme="minorHAnsi" w:hAnsiTheme="minorHAnsi" w:cstheme="minorHAnsi"/>
            </w:rPr>
            <w:instrText xml:space="preserve"> TOC \o "1-3" \h \z \u </w:instrText>
          </w:r>
          <w:r w:rsidRPr="00330662">
            <w:rPr>
              <w:rFonts w:asciiTheme="minorHAnsi" w:hAnsiTheme="minorHAnsi" w:cstheme="minorHAnsi"/>
            </w:rPr>
            <w:fldChar w:fldCharType="separate"/>
          </w:r>
          <w:hyperlink w:anchor="_Toc58068443" w:history="1">
            <w:r w:rsidR="00330662" w:rsidRPr="00330662">
              <w:rPr>
                <w:rStyle w:val="Hyperlink"/>
                <w:rFonts w:asciiTheme="minorHAnsi" w:hAnsiTheme="minorHAnsi" w:cstheme="minorHAnsi"/>
                <w:noProof/>
              </w:rPr>
              <w:t>1</w:t>
            </w:r>
            <w:r w:rsidR="00330662" w:rsidRPr="00330662">
              <w:rPr>
                <w:rFonts w:asciiTheme="minorHAnsi" w:eastAsiaTheme="minorEastAsia" w:hAnsiTheme="minorHAnsi" w:cstheme="minorHAnsi"/>
                <w:noProof/>
                <w:szCs w:val="22"/>
                <w:lang w:eastAsia="de-AT"/>
              </w:rPr>
              <w:tab/>
            </w:r>
            <w:r w:rsidR="00330662" w:rsidRPr="00330662">
              <w:rPr>
                <w:rStyle w:val="Hyperlink"/>
                <w:rFonts w:asciiTheme="minorHAnsi" w:hAnsiTheme="minorHAnsi" w:cstheme="minorHAnsi"/>
                <w:noProof/>
              </w:rPr>
              <w:t>Allgemeines</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_Toc58068443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3</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1"/>
            <w:tabs>
              <w:tab w:val="left" w:pos="440"/>
              <w:tab w:val="right" w:leader="dot" w:pos="9372"/>
            </w:tabs>
            <w:spacing w:after="0"/>
            <w:rPr>
              <w:rFonts w:asciiTheme="minorHAnsi" w:eastAsiaTheme="minorEastAsia" w:hAnsiTheme="minorHAnsi" w:cstheme="minorHAnsi"/>
              <w:noProof/>
              <w:szCs w:val="22"/>
              <w:lang w:eastAsia="de-AT"/>
            </w:rPr>
          </w:pPr>
          <w:hyperlink w:anchor="_Toc58068444" w:history="1">
            <w:r w:rsidR="00330662" w:rsidRPr="00330662">
              <w:rPr>
                <w:rStyle w:val="Hyperlink"/>
                <w:rFonts w:asciiTheme="minorHAnsi" w:hAnsiTheme="minorHAnsi" w:cstheme="minorHAnsi"/>
                <w:noProof/>
              </w:rPr>
              <w:t>2</w:t>
            </w:r>
            <w:r w:rsidR="00330662" w:rsidRPr="00330662">
              <w:rPr>
                <w:rFonts w:asciiTheme="minorHAnsi" w:eastAsiaTheme="minorEastAsia" w:hAnsiTheme="minorHAnsi" w:cstheme="minorHAnsi"/>
                <w:noProof/>
                <w:szCs w:val="22"/>
                <w:lang w:eastAsia="de-AT"/>
              </w:rPr>
              <w:tab/>
            </w:r>
            <w:r w:rsidR="00330662" w:rsidRPr="00330662">
              <w:rPr>
                <w:rStyle w:val="Hyperlink"/>
                <w:rFonts w:asciiTheme="minorHAnsi" w:hAnsiTheme="minorHAnsi" w:cstheme="minorHAnsi"/>
                <w:noProof/>
              </w:rPr>
              <w:t>Behandlungsplan</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_Toc58068444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4</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2"/>
            <w:spacing w:after="0"/>
            <w:rPr>
              <w:rFonts w:asciiTheme="minorHAnsi" w:eastAsiaTheme="minorEastAsia" w:hAnsiTheme="minorHAnsi" w:cstheme="minorHAnsi"/>
              <w:noProof/>
              <w:szCs w:val="22"/>
              <w:lang w:eastAsia="de-AT"/>
            </w:rPr>
          </w:pPr>
          <w:hyperlink w:anchor="_Toc58068445" w:history="1">
            <w:r w:rsidR="00330662" w:rsidRPr="00330662">
              <w:rPr>
                <w:rStyle w:val="Hyperlink"/>
                <w:rFonts w:asciiTheme="minorHAnsi" w:hAnsiTheme="minorHAnsi" w:cstheme="minorHAnsi"/>
                <w:noProof/>
              </w:rPr>
              <w:t>2.1 Standardschema für parenterale medikamentöse Tumortherapie</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_Toc58068445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4</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2"/>
            <w:spacing w:after="0"/>
            <w:rPr>
              <w:rFonts w:asciiTheme="minorHAnsi" w:eastAsiaTheme="minorEastAsia" w:hAnsiTheme="minorHAnsi" w:cstheme="minorHAnsi"/>
              <w:noProof/>
              <w:szCs w:val="22"/>
              <w:lang w:eastAsia="de-AT"/>
            </w:rPr>
          </w:pPr>
          <w:hyperlink w:anchor="_Toc58068446" w:history="1">
            <w:r w:rsidR="00330662" w:rsidRPr="00330662">
              <w:rPr>
                <w:rStyle w:val="Hyperlink"/>
                <w:rFonts w:asciiTheme="minorHAnsi" w:hAnsiTheme="minorHAnsi" w:cstheme="minorHAnsi"/>
                <w:noProof/>
              </w:rPr>
              <w:t>2.2 Antiemese bei mehrtägigen, hochematogenen Chemotherapien (3-7 Tage)</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_Toc58068446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5</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2"/>
            <w:spacing w:after="0"/>
            <w:rPr>
              <w:rFonts w:asciiTheme="minorHAnsi" w:eastAsiaTheme="minorEastAsia" w:hAnsiTheme="minorHAnsi" w:cstheme="minorHAnsi"/>
              <w:noProof/>
              <w:szCs w:val="22"/>
              <w:lang w:eastAsia="de-AT"/>
            </w:rPr>
          </w:pPr>
          <w:hyperlink w:anchor="_Toc58068447" w:history="1">
            <w:r w:rsidR="00330662" w:rsidRPr="00330662">
              <w:rPr>
                <w:rStyle w:val="Hyperlink"/>
                <w:rFonts w:asciiTheme="minorHAnsi" w:hAnsiTheme="minorHAnsi" w:cstheme="minorHAnsi"/>
                <w:noProof/>
              </w:rPr>
              <w:t>2.3. Cortisonsparende Antiemese für parenterale medikamentöse Tumortherapie</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_Toc58068447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6</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2"/>
            <w:spacing w:after="0"/>
            <w:rPr>
              <w:rFonts w:asciiTheme="minorHAnsi" w:eastAsiaTheme="minorEastAsia" w:hAnsiTheme="minorHAnsi" w:cstheme="minorHAnsi"/>
              <w:noProof/>
              <w:szCs w:val="22"/>
              <w:lang w:eastAsia="de-AT"/>
            </w:rPr>
          </w:pPr>
          <w:hyperlink w:anchor="_Toc58068448" w:history="1">
            <w:r w:rsidR="00330662" w:rsidRPr="00330662">
              <w:rPr>
                <w:rStyle w:val="Hyperlink"/>
                <w:rFonts w:asciiTheme="minorHAnsi" w:hAnsiTheme="minorHAnsi" w:cstheme="minorHAnsi"/>
                <w:noProof/>
              </w:rPr>
              <w:t>2.4. Antiemese für orale medikamentöse Tumortherapie</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_Toc58068448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7</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2"/>
            <w:spacing w:after="0"/>
            <w:rPr>
              <w:rFonts w:asciiTheme="minorHAnsi" w:eastAsiaTheme="minorEastAsia" w:hAnsiTheme="minorHAnsi" w:cstheme="minorHAnsi"/>
              <w:noProof/>
              <w:szCs w:val="22"/>
              <w:lang w:eastAsia="de-AT"/>
            </w:rPr>
          </w:pPr>
          <w:hyperlink w:anchor="_Toc58068449" w:history="1">
            <w:r w:rsidR="00330662" w:rsidRPr="00330662">
              <w:rPr>
                <w:rStyle w:val="Hyperlink"/>
                <w:rFonts w:asciiTheme="minorHAnsi" w:hAnsiTheme="minorHAnsi" w:cstheme="minorHAnsi"/>
                <w:noProof/>
              </w:rPr>
              <w:t>2.5. Antiemese bei Strahlentherapie</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_Toc58068449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8</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2"/>
            <w:spacing w:after="0"/>
            <w:rPr>
              <w:rFonts w:asciiTheme="minorHAnsi" w:eastAsiaTheme="minorEastAsia" w:hAnsiTheme="minorHAnsi" w:cstheme="minorHAnsi"/>
              <w:noProof/>
              <w:szCs w:val="22"/>
              <w:lang w:eastAsia="de-AT"/>
            </w:rPr>
          </w:pPr>
          <w:hyperlink w:anchor="_Toc58068450" w:history="1">
            <w:r w:rsidR="00330662" w:rsidRPr="00330662">
              <w:rPr>
                <w:rStyle w:val="Hyperlink"/>
                <w:rFonts w:asciiTheme="minorHAnsi" w:hAnsiTheme="minorHAnsi" w:cstheme="minorHAnsi"/>
                <w:noProof/>
              </w:rPr>
              <w:t>2.6. Emetogenes Potential der Zytostatika</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_Toc58068450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9</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3"/>
            <w:tabs>
              <w:tab w:val="right" w:leader="dot" w:pos="9372"/>
            </w:tabs>
            <w:spacing w:after="0"/>
            <w:rPr>
              <w:rFonts w:asciiTheme="minorHAnsi" w:eastAsiaTheme="minorEastAsia" w:hAnsiTheme="minorHAnsi" w:cstheme="minorHAnsi"/>
              <w:noProof/>
              <w:szCs w:val="22"/>
              <w:lang w:eastAsia="de-AT"/>
            </w:rPr>
          </w:pPr>
          <w:hyperlink w:anchor="_Toc58068451" w:history="1">
            <w:r w:rsidR="00330662" w:rsidRPr="00330662">
              <w:rPr>
                <w:rStyle w:val="Hyperlink"/>
                <w:rFonts w:asciiTheme="minorHAnsi" w:hAnsiTheme="minorHAnsi" w:cstheme="minorHAnsi"/>
                <w:noProof/>
              </w:rPr>
              <w:t>2.6.1 Klassifizierung der intravenösen und subkutanen Tumortherapeutika</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_Toc58068451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9</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3"/>
            <w:tabs>
              <w:tab w:val="right" w:leader="dot" w:pos="9372"/>
            </w:tabs>
            <w:spacing w:after="0"/>
            <w:rPr>
              <w:rFonts w:asciiTheme="minorHAnsi" w:eastAsiaTheme="minorEastAsia" w:hAnsiTheme="minorHAnsi" w:cstheme="minorHAnsi"/>
              <w:noProof/>
              <w:szCs w:val="22"/>
              <w:lang w:eastAsia="de-AT"/>
            </w:rPr>
          </w:pPr>
          <w:hyperlink w:anchor="_Toc58068452" w:history="1">
            <w:r w:rsidR="00330662" w:rsidRPr="00330662">
              <w:rPr>
                <w:rStyle w:val="Hyperlink"/>
                <w:rFonts w:asciiTheme="minorHAnsi" w:hAnsiTheme="minorHAnsi" w:cstheme="minorHAnsi"/>
                <w:noProof/>
              </w:rPr>
              <w:t>2.6.2 Klassifizierung der oralen Tumortherapeutika</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_Toc58068452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10</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1"/>
            <w:tabs>
              <w:tab w:val="left" w:pos="440"/>
              <w:tab w:val="right" w:leader="dot" w:pos="9372"/>
            </w:tabs>
            <w:spacing w:after="0"/>
            <w:rPr>
              <w:rFonts w:asciiTheme="minorHAnsi" w:eastAsiaTheme="minorEastAsia" w:hAnsiTheme="minorHAnsi" w:cstheme="minorHAnsi"/>
              <w:noProof/>
              <w:szCs w:val="22"/>
              <w:lang w:eastAsia="de-AT"/>
            </w:rPr>
          </w:pPr>
          <w:hyperlink w:anchor="_Toc58068453" w:history="1">
            <w:r w:rsidR="00330662" w:rsidRPr="00330662">
              <w:rPr>
                <w:rStyle w:val="Hyperlink"/>
                <w:rFonts w:asciiTheme="minorHAnsi" w:hAnsiTheme="minorHAnsi" w:cstheme="minorHAnsi"/>
                <w:noProof/>
              </w:rPr>
              <w:t>3</w:t>
            </w:r>
            <w:r w:rsidR="00330662" w:rsidRPr="00330662">
              <w:rPr>
                <w:rFonts w:asciiTheme="minorHAnsi" w:eastAsiaTheme="minorEastAsia" w:hAnsiTheme="minorHAnsi" w:cstheme="minorHAnsi"/>
                <w:noProof/>
                <w:szCs w:val="22"/>
                <w:lang w:eastAsia="de-AT"/>
              </w:rPr>
              <w:tab/>
            </w:r>
            <w:r w:rsidR="00330662" w:rsidRPr="00330662">
              <w:rPr>
                <w:rStyle w:val="Hyperlink"/>
                <w:rFonts w:asciiTheme="minorHAnsi" w:hAnsiTheme="minorHAnsi" w:cstheme="minorHAnsi"/>
                <w:noProof/>
              </w:rPr>
              <w:t>Dokumentation und Qualitätsparameter</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_Toc58068453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11</w:t>
            </w:r>
            <w:r w:rsidR="00330662" w:rsidRPr="00330662">
              <w:rPr>
                <w:rFonts w:asciiTheme="minorHAnsi" w:hAnsiTheme="minorHAnsi" w:cstheme="minorHAnsi"/>
                <w:noProof/>
                <w:webHidden/>
              </w:rPr>
              <w:fldChar w:fldCharType="end"/>
            </w:r>
          </w:hyperlink>
        </w:p>
        <w:p w:rsidR="00330662" w:rsidRPr="00330662" w:rsidRDefault="00552353" w:rsidP="00330662">
          <w:pPr>
            <w:pStyle w:val="Verzeichnis1"/>
            <w:tabs>
              <w:tab w:val="left" w:pos="440"/>
              <w:tab w:val="right" w:leader="dot" w:pos="9372"/>
            </w:tabs>
            <w:spacing w:after="0"/>
            <w:rPr>
              <w:rFonts w:asciiTheme="minorHAnsi" w:eastAsiaTheme="minorEastAsia" w:hAnsiTheme="minorHAnsi" w:cstheme="minorHAnsi"/>
              <w:noProof/>
              <w:szCs w:val="22"/>
              <w:lang w:eastAsia="de-AT"/>
            </w:rPr>
          </w:pPr>
          <w:hyperlink w:anchor="_Toc58068454" w:history="1">
            <w:r w:rsidR="00330662" w:rsidRPr="00330662">
              <w:rPr>
                <w:rStyle w:val="Hyperlink"/>
                <w:rFonts w:asciiTheme="minorHAnsi" w:hAnsiTheme="minorHAnsi" w:cstheme="minorHAnsi"/>
                <w:noProof/>
                <w:lang w:val="en-US"/>
              </w:rPr>
              <w:t>4</w:t>
            </w:r>
            <w:r w:rsidR="00330662" w:rsidRPr="00330662">
              <w:rPr>
                <w:rFonts w:asciiTheme="minorHAnsi" w:eastAsiaTheme="minorEastAsia" w:hAnsiTheme="minorHAnsi" w:cstheme="minorHAnsi"/>
                <w:noProof/>
                <w:szCs w:val="22"/>
                <w:lang w:eastAsia="de-AT"/>
              </w:rPr>
              <w:tab/>
            </w:r>
            <w:r w:rsidR="00330662" w:rsidRPr="00330662">
              <w:rPr>
                <w:rStyle w:val="Hyperlink"/>
                <w:rFonts w:asciiTheme="minorHAnsi" w:hAnsiTheme="minorHAnsi" w:cstheme="minorHAnsi"/>
                <w:noProof/>
                <w:lang w:val="en-US"/>
              </w:rPr>
              <w:t>Literatur/Quellenangaben</w:t>
            </w:r>
            <w:r w:rsidR="00330662" w:rsidRPr="00330662">
              <w:rPr>
                <w:rFonts w:asciiTheme="minorHAnsi" w:hAnsiTheme="minorHAnsi" w:cstheme="minorHAnsi"/>
                <w:noProof/>
                <w:webHidden/>
              </w:rPr>
              <w:tab/>
            </w:r>
            <w:r w:rsidR="00330662" w:rsidRPr="00330662">
              <w:rPr>
                <w:rFonts w:asciiTheme="minorHAnsi" w:hAnsiTheme="minorHAnsi" w:cstheme="minorHAnsi"/>
                <w:noProof/>
                <w:webHidden/>
              </w:rPr>
              <w:fldChar w:fldCharType="begin"/>
            </w:r>
            <w:r w:rsidR="00330662" w:rsidRPr="00330662">
              <w:rPr>
                <w:rFonts w:asciiTheme="minorHAnsi" w:hAnsiTheme="minorHAnsi" w:cstheme="minorHAnsi"/>
                <w:noProof/>
                <w:webHidden/>
              </w:rPr>
              <w:instrText xml:space="preserve"> PAGEREF _Toc58068454 \h </w:instrText>
            </w:r>
            <w:r w:rsidR="00330662" w:rsidRPr="00330662">
              <w:rPr>
                <w:rFonts w:asciiTheme="minorHAnsi" w:hAnsiTheme="minorHAnsi" w:cstheme="minorHAnsi"/>
                <w:noProof/>
                <w:webHidden/>
              </w:rPr>
            </w:r>
            <w:r w:rsidR="00330662" w:rsidRPr="00330662">
              <w:rPr>
                <w:rFonts w:asciiTheme="minorHAnsi" w:hAnsiTheme="minorHAnsi" w:cstheme="minorHAnsi"/>
                <w:noProof/>
                <w:webHidden/>
              </w:rPr>
              <w:fldChar w:fldCharType="separate"/>
            </w:r>
            <w:r w:rsidR="00BC26B4">
              <w:rPr>
                <w:rFonts w:asciiTheme="minorHAnsi" w:hAnsiTheme="minorHAnsi" w:cstheme="minorHAnsi"/>
                <w:noProof/>
                <w:webHidden/>
              </w:rPr>
              <w:t>11</w:t>
            </w:r>
            <w:r w:rsidR="00330662" w:rsidRPr="00330662">
              <w:rPr>
                <w:rFonts w:asciiTheme="minorHAnsi" w:hAnsiTheme="minorHAnsi" w:cstheme="minorHAnsi"/>
                <w:noProof/>
                <w:webHidden/>
              </w:rPr>
              <w:fldChar w:fldCharType="end"/>
            </w:r>
          </w:hyperlink>
        </w:p>
        <w:p w:rsidR="008E0D7C" w:rsidRDefault="005137A2" w:rsidP="00330662">
          <w:pPr>
            <w:rPr>
              <w:b/>
              <w:bCs/>
            </w:rPr>
          </w:pPr>
          <w:r w:rsidRPr="00330662">
            <w:rPr>
              <w:rFonts w:asciiTheme="minorHAnsi" w:hAnsiTheme="minorHAnsi" w:cstheme="minorHAnsi"/>
              <w:b/>
              <w:bCs/>
            </w:rPr>
            <w:fldChar w:fldCharType="end"/>
          </w:r>
        </w:p>
        <w:p w:rsidR="005137A2" w:rsidRDefault="00552353" w:rsidP="008E0D7C">
          <w:pPr>
            <w:spacing w:line="240" w:lineRule="auto"/>
          </w:pPr>
        </w:p>
      </w:sdtContent>
    </w:sdt>
    <w:p w:rsidR="008E0D7C" w:rsidRDefault="008E0D7C">
      <w:pPr>
        <w:spacing w:line="240" w:lineRule="auto"/>
        <w:jc w:val="left"/>
      </w:pPr>
      <w:bookmarkStart w:id="1" w:name="_Toc367183615"/>
      <w:bookmarkStart w:id="2" w:name="_Toc367183853"/>
    </w:p>
    <w:p w:rsidR="008E0D7C" w:rsidRDefault="008E0D7C">
      <w:pPr>
        <w:spacing w:line="240" w:lineRule="auto"/>
        <w:jc w:val="left"/>
      </w:pPr>
    </w:p>
    <w:p w:rsidR="008E0D7C" w:rsidRDefault="008E0D7C">
      <w:pPr>
        <w:spacing w:line="240" w:lineRule="auto"/>
        <w:jc w:val="left"/>
        <w:rPr>
          <w:rFonts w:asciiTheme="minorHAnsi" w:hAnsiTheme="minorHAnsi" w:cs="Arial"/>
          <w:b/>
          <w:bCs/>
          <w:kern w:val="32"/>
          <w:szCs w:val="32"/>
        </w:rPr>
      </w:pPr>
      <w:r>
        <w:rPr>
          <w:rFonts w:asciiTheme="minorHAnsi" w:hAnsiTheme="minorHAnsi" w:cs="Arial"/>
          <w:b/>
          <w:bCs/>
          <w:kern w:val="32"/>
          <w:szCs w:val="32"/>
        </w:rPr>
        <w:br w:type="page"/>
      </w:r>
    </w:p>
    <w:p w:rsidR="006D4DAC" w:rsidRPr="00E344D4" w:rsidRDefault="006D4DAC" w:rsidP="007F3064">
      <w:pPr>
        <w:pStyle w:val="berschrift1"/>
      </w:pPr>
      <w:bookmarkStart w:id="3" w:name="_Toc58068443"/>
      <w:r w:rsidRPr="00E344D4">
        <w:lastRenderedPageBreak/>
        <w:t>1</w:t>
      </w:r>
      <w:r w:rsidRPr="00E344D4">
        <w:tab/>
      </w:r>
      <w:bookmarkEnd w:id="1"/>
      <w:bookmarkEnd w:id="2"/>
      <w:r w:rsidR="0049768A">
        <w:t>Allgemeines</w:t>
      </w:r>
      <w:bookmarkEnd w:id="3"/>
    </w:p>
    <w:p w:rsidR="0096220B" w:rsidRDefault="0096220B" w:rsidP="00DC74E7">
      <w:pPr>
        <w:pStyle w:val="Textkrper-Einzug2"/>
        <w:spacing w:after="0" w:line="276" w:lineRule="auto"/>
        <w:ind w:left="0"/>
        <w:jc w:val="both"/>
        <w:rPr>
          <w:rFonts w:asciiTheme="minorHAnsi" w:hAnsiTheme="minorHAnsi" w:cstheme="minorHAnsi"/>
          <w:szCs w:val="22"/>
        </w:rPr>
      </w:pPr>
    </w:p>
    <w:p w:rsidR="00EB12B7" w:rsidRPr="00930395" w:rsidRDefault="00EB12B7" w:rsidP="00DC74E7">
      <w:pPr>
        <w:pStyle w:val="Textkrper-Einzug2"/>
        <w:spacing w:after="0" w:line="276" w:lineRule="auto"/>
        <w:ind w:left="0"/>
        <w:jc w:val="both"/>
        <w:rPr>
          <w:rFonts w:asciiTheme="minorHAnsi" w:hAnsiTheme="minorHAnsi" w:cstheme="minorHAnsi"/>
          <w:sz w:val="20"/>
          <w:szCs w:val="22"/>
        </w:rPr>
      </w:pPr>
      <w:r w:rsidRPr="002B67EF">
        <w:rPr>
          <w:rFonts w:asciiTheme="minorHAnsi" w:hAnsiTheme="minorHAnsi" w:cstheme="minorHAnsi"/>
          <w:sz w:val="20"/>
          <w:szCs w:val="22"/>
        </w:rPr>
        <w:t>Das Ziel ist keine Übelkeit oder Erbrechen. Es ist weitaus einfacher, Übelkeit und Erbrechen vorzubeugen als diese zu behandeln.</w:t>
      </w:r>
      <w:r w:rsidRPr="00930395">
        <w:rPr>
          <w:rFonts w:asciiTheme="minorHAnsi" w:hAnsiTheme="minorHAnsi" w:cstheme="minorHAnsi"/>
          <w:sz w:val="20"/>
          <w:szCs w:val="22"/>
        </w:rPr>
        <w:t xml:space="preserve"> </w:t>
      </w:r>
    </w:p>
    <w:p w:rsidR="00EB12B7" w:rsidRPr="00930395" w:rsidRDefault="00EB12B7" w:rsidP="00DC74E7">
      <w:pPr>
        <w:pStyle w:val="Textkrper-Einzug2"/>
        <w:spacing w:after="0" w:line="276" w:lineRule="auto"/>
        <w:ind w:left="0"/>
        <w:jc w:val="both"/>
        <w:rPr>
          <w:rFonts w:asciiTheme="minorHAnsi" w:hAnsiTheme="minorHAnsi" w:cstheme="minorHAnsi"/>
          <w:sz w:val="20"/>
          <w:szCs w:val="22"/>
        </w:rPr>
      </w:pPr>
    </w:p>
    <w:p w:rsidR="00930395" w:rsidRDefault="007F31F3" w:rsidP="00DC74E7">
      <w:pPr>
        <w:pStyle w:val="Textkrper-Einzug2"/>
        <w:spacing w:after="0" w:line="276" w:lineRule="auto"/>
        <w:ind w:left="0"/>
        <w:jc w:val="both"/>
        <w:rPr>
          <w:rFonts w:asciiTheme="minorHAnsi" w:hAnsiTheme="minorHAnsi" w:cstheme="minorHAnsi"/>
          <w:sz w:val="20"/>
          <w:szCs w:val="22"/>
        </w:rPr>
      </w:pPr>
      <w:r w:rsidRPr="00930395">
        <w:rPr>
          <w:rFonts w:asciiTheme="minorHAnsi" w:hAnsiTheme="minorHAnsi" w:cstheme="minorHAnsi"/>
          <w:sz w:val="20"/>
          <w:szCs w:val="22"/>
        </w:rPr>
        <w:t xml:space="preserve">Analog zur </w:t>
      </w:r>
      <w:r w:rsidR="0041262A" w:rsidRPr="00930395">
        <w:rPr>
          <w:rFonts w:asciiTheme="minorHAnsi" w:hAnsiTheme="minorHAnsi" w:cstheme="minorHAnsi"/>
          <w:sz w:val="20"/>
          <w:szCs w:val="22"/>
        </w:rPr>
        <w:t xml:space="preserve">emetogenen </w:t>
      </w:r>
      <w:r w:rsidRPr="00930395">
        <w:rPr>
          <w:rFonts w:asciiTheme="minorHAnsi" w:hAnsiTheme="minorHAnsi" w:cstheme="minorHAnsi"/>
          <w:sz w:val="20"/>
          <w:szCs w:val="22"/>
        </w:rPr>
        <w:t>Potenz der Substanzen (</w:t>
      </w:r>
      <w:r w:rsidR="0041262A" w:rsidRPr="00930395">
        <w:rPr>
          <w:rFonts w:asciiTheme="minorHAnsi" w:hAnsiTheme="minorHAnsi" w:cstheme="minorHAnsi"/>
          <w:sz w:val="20"/>
          <w:szCs w:val="22"/>
        </w:rPr>
        <w:t xml:space="preserve">minimal, </w:t>
      </w:r>
      <w:r w:rsidRPr="00930395">
        <w:rPr>
          <w:rFonts w:asciiTheme="minorHAnsi" w:hAnsiTheme="minorHAnsi" w:cstheme="minorHAnsi"/>
          <w:sz w:val="20"/>
          <w:szCs w:val="22"/>
        </w:rPr>
        <w:t>niedrig, moderat, hoch</w:t>
      </w:r>
      <w:r w:rsidR="005137A2" w:rsidRPr="00930395">
        <w:rPr>
          <w:rFonts w:asciiTheme="minorHAnsi" w:hAnsiTheme="minorHAnsi" w:cstheme="minorHAnsi"/>
          <w:sz w:val="20"/>
          <w:szCs w:val="22"/>
        </w:rPr>
        <w:t>)</w:t>
      </w:r>
      <w:r w:rsidRPr="00930395">
        <w:rPr>
          <w:rFonts w:asciiTheme="minorHAnsi" w:hAnsiTheme="minorHAnsi" w:cstheme="minorHAnsi"/>
          <w:sz w:val="20"/>
          <w:szCs w:val="22"/>
        </w:rPr>
        <w:t xml:space="preserve"> </w:t>
      </w:r>
      <w:r w:rsidR="00AC420E" w:rsidRPr="00930395">
        <w:rPr>
          <w:rFonts w:asciiTheme="minorHAnsi" w:hAnsiTheme="minorHAnsi" w:cstheme="minorHAnsi"/>
          <w:sz w:val="20"/>
          <w:szCs w:val="22"/>
        </w:rPr>
        <w:t>wird</w:t>
      </w:r>
      <w:r w:rsidRPr="00930395">
        <w:rPr>
          <w:rFonts w:asciiTheme="minorHAnsi" w:hAnsiTheme="minorHAnsi" w:cstheme="minorHAnsi"/>
          <w:sz w:val="20"/>
          <w:szCs w:val="22"/>
        </w:rPr>
        <w:t xml:space="preserve"> in </w:t>
      </w:r>
      <w:r w:rsidR="0041262A" w:rsidRPr="00930395">
        <w:rPr>
          <w:rFonts w:asciiTheme="minorHAnsi" w:hAnsiTheme="minorHAnsi" w:cstheme="minorHAnsi"/>
          <w:sz w:val="20"/>
          <w:szCs w:val="22"/>
        </w:rPr>
        <w:t xml:space="preserve">der </w:t>
      </w:r>
      <w:r w:rsidRPr="00930395">
        <w:rPr>
          <w:rFonts w:asciiTheme="minorHAnsi" w:hAnsiTheme="minorHAnsi" w:cstheme="minorHAnsi"/>
          <w:sz w:val="20"/>
          <w:szCs w:val="22"/>
        </w:rPr>
        <w:t xml:space="preserve">folgenden Leitlinie die Potenz der Antiemese in </w:t>
      </w:r>
      <w:r w:rsidR="0041262A" w:rsidRPr="00930395">
        <w:rPr>
          <w:rFonts w:asciiTheme="minorHAnsi" w:hAnsiTheme="minorHAnsi" w:cstheme="minorHAnsi"/>
          <w:sz w:val="20"/>
          <w:szCs w:val="22"/>
        </w:rPr>
        <w:t xml:space="preserve">3 </w:t>
      </w:r>
      <w:r w:rsidRPr="00930395">
        <w:rPr>
          <w:rFonts w:asciiTheme="minorHAnsi" w:hAnsiTheme="minorHAnsi" w:cstheme="minorHAnsi"/>
          <w:sz w:val="20"/>
          <w:szCs w:val="22"/>
        </w:rPr>
        <w:t>Stufen gegliedert (Stufe 1-</w:t>
      </w:r>
      <w:r w:rsidR="0041262A" w:rsidRPr="00930395">
        <w:rPr>
          <w:rFonts w:asciiTheme="minorHAnsi" w:hAnsiTheme="minorHAnsi" w:cstheme="minorHAnsi"/>
          <w:sz w:val="20"/>
          <w:szCs w:val="22"/>
        </w:rPr>
        <w:t>3</w:t>
      </w:r>
      <w:r w:rsidRPr="00930395">
        <w:rPr>
          <w:rFonts w:asciiTheme="minorHAnsi" w:hAnsiTheme="minorHAnsi" w:cstheme="minorHAnsi"/>
          <w:sz w:val="20"/>
          <w:szCs w:val="22"/>
        </w:rPr>
        <w:t xml:space="preserve">). </w:t>
      </w:r>
      <w:r w:rsidR="00DC74E7" w:rsidRPr="00930395">
        <w:rPr>
          <w:rFonts w:asciiTheme="minorHAnsi" w:hAnsiTheme="minorHAnsi" w:cstheme="minorHAnsi"/>
          <w:sz w:val="20"/>
          <w:szCs w:val="22"/>
        </w:rPr>
        <w:t>J</w:t>
      </w:r>
      <w:r w:rsidRPr="00930395">
        <w:rPr>
          <w:rFonts w:asciiTheme="minorHAnsi" w:hAnsiTheme="minorHAnsi" w:cstheme="minorHAnsi"/>
          <w:sz w:val="20"/>
          <w:szCs w:val="22"/>
        </w:rPr>
        <w:t xml:space="preserve">e höher die Wahrscheinlichkeit ist, dass Übelkeit und Erbrechen auftritt, desto höher muss die Stufe der zu wählenden Antiemese sein. </w:t>
      </w:r>
      <w:r w:rsidR="00DC74E7" w:rsidRPr="00930395">
        <w:rPr>
          <w:rFonts w:asciiTheme="minorHAnsi" w:hAnsiTheme="minorHAnsi" w:cstheme="minorHAnsi"/>
          <w:sz w:val="20"/>
          <w:szCs w:val="22"/>
        </w:rPr>
        <w:t xml:space="preserve">Jedem </w:t>
      </w:r>
      <w:r w:rsidR="00AC420E" w:rsidRPr="00930395">
        <w:rPr>
          <w:rFonts w:asciiTheme="minorHAnsi" w:hAnsiTheme="minorHAnsi" w:cstheme="minorHAnsi"/>
          <w:sz w:val="20"/>
          <w:szCs w:val="22"/>
        </w:rPr>
        <w:t>Chemotherapieprotokoll</w:t>
      </w:r>
      <w:r w:rsidR="00DC74E7" w:rsidRPr="00930395">
        <w:rPr>
          <w:rFonts w:asciiTheme="minorHAnsi" w:hAnsiTheme="minorHAnsi" w:cstheme="minorHAnsi"/>
          <w:sz w:val="20"/>
          <w:szCs w:val="22"/>
        </w:rPr>
        <w:t xml:space="preserve"> wird eine entsprechende Antiemesestufe (1-</w:t>
      </w:r>
      <w:r w:rsidR="0041262A" w:rsidRPr="00930395">
        <w:rPr>
          <w:rFonts w:asciiTheme="minorHAnsi" w:hAnsiTheme="minorHAnsi" w:cstheme="minorHAnsi"/>
          <w:sz w:val="20"/>
          <w:szCs w:val="22"/>
        </w:rPr>
        <w:t>3</w:t>
      </w:r>
      <w:r w:rsidR="00DC74E7" w:rsidRPr="00930395">
        <w:rPr>
          <w:rFonts w:asciiTheme="minorHAnsi" w:hAnsiTheme="minorHAnsi" w:cstheme="minorHAnsi"/>
          <w:sz w:val="20"/>
          <w:szCs w:val="22"/>
        </w:rPr>
        <w:t xml:space="preserve">) zugeordnet. </w:t>
      </w:r>
      <w:r w:rsidRPr="00930395">
        <w:rPr>
          <w:rFonts w:asciiTheme="minorHAnsi" w:hAnsiTheme="minorHAnsi" w:cstheme="minorHAnsi"/>
          <w:sz w:val="20"/>
          <w:szCs w:val="22"/>
        </w:rPr>
        <w:t>Für die Stufen 1</w:t>
      </w:r>
      <w:r w:rsidR="005D16A1" w:rsidRPr="00930395">
        <w:rPr>
          <w:rFonts w:asciiTheme="minorHAnsi" w:hAnsiTheme="minorHAnsi" w:cstheme="minorHAnsi"/>
          <w:sz w:val="20"/>
          <w:szCs w:val="22"/>
        </w:rPr>
        <w:t xml:space="preserve">,2,3 </w:t>
      </w:r>
      <w:r w:rsidRPr="00930395">
        <w:rPr>
          <w:rFonts w:asciiTheme="minorHAnsi" w:hAnsiTheme="minorHAnsi" w:cstheme="minorHAnsi"/>
          <w:sz w:val="20"/>
          <w:szCs w:val="22"/>
        </w:rPr>
        <w:t xml:space="preserve">stehen neben der Standardvariante (a) </w:t>
      </w:r>
      <w:r w:rsidR="00DC74E7" w:rsidRPr="00930395">
        <w:rPr>
          <w:rFonts w:asciiTheme="minorHAnsi" w:hAnsiTheme="minorHAnsi" w:cstheme="minorHAnsi"/>
          <w:sz w:val="20"/>
          <w:szCs w:val="22"/>
        </w:rPr>
        <w:t xml:space="preserve">eine </w:t>
      </w:r>
      <w:r w:rsidR="00AC420E" w:rsidRPr="00930395">
        <w:rPr>
          <w:rFonts w:asciiTheme="minorHAnsi" w:hAnsiTheme="minorHAnsi" w:cstheme="minorHAnsi"/>
          <w:sz w:val="20"/>
          <w:szCs w:val="22"/>
        </w:rPr>
        <w:t xml:space="preserve">cortisonsparende Variante (b) </w:t>
      </w:r>
      <w:r w:rsidR="00DC74E7" w:rsidRPr="00930395">
        <w:rPr>
          <w:rFonts w:asciiTheme="minorHAnsi" w:hAnsiTheme="minorHAnsi" w:cstheme="minorHAnsi"/>
          <w:sz w:val="20"/>
          <w:szCs w:val="22"/>
        </w:rPr>
        <w:t>(z.B. zur Anwendung bei Diabetikern)</w:t>
      </w:r>
      <w:r w:rsidR="00AC420E" w:rsidRPr="00930395">
        <w:rPr>
          <w:rFonts w:asciiTheme="minorHAnsi" w:hAnsiTheme="minorHAnsi" w:cstheme="minorHAnsi"/>
          <w:sz w:val="20"/>
          <w:szCs w:val="22"/>
        </w:rPr>
        <w:t xml:space="preserve"> zur Verfügung</w:t>
      </w:r>
      <w:r w:rsidR="00DC74E7" w:rsidRPr="00930395">
        <w:rPr>
          <w:rFonts w:asciiTheme="minorHAnsi" w:hAnsiTheme="minorHAnsi" w:cstheme="minorHAnsi"/>
          <w:sz w:val="20"/>
          <w:szCs w:val="22"/>
        </w:rPr>
        <w:t>.</w:t>
      </w:r>
      <w:r w:rsidR="00EB12B7" w:rsidRPr="00930395">
        <w:rPr>
          <w:rFonts w:asciiTheme="minorHAnsi" w:hAnsiTheme="minorHAnsi" w:cstheme="minorHAnsi"/>
          <w:sz w:val="20"/>
          <w:szCs w:val="22"/>
        </w:rPr>
        <w:t xml:space="preserve"> </w:t>
      </w:r>
    </w:p>
    <w:p w:rsidR="0036219A" w:rsidRDefault="0036219A" w:rsidP="00DC74E7">
      <w:pPr>
        <w:pStyle w:val="Textkrper-Einzug2"/>
        <w:spacing w:after="0" w:line="276" w:lineRule="auto"/>
        <w:ind w:left="0"/>
        <w:jc w:val="both"/>
        <w:rPr>
          <w:rFonts w:asciiTheme="minorHAnsi" w:hAnsiTheme="minorHAnsi" w:cstheme="minorHAnsi"/>
          <w:sz w:val="20"/>
          <w:szCs w:val="22"/>
        </w:rPr>
      </w:pPr>
    </w:p>
    <w:p w:rsidR="0036219A" w:rsidRPr="002B67EF" w:rsidRDefault="0036219A" w:rsidP="0036219A">
      <w:pPr>
        <w:pStyle w:val="Textkrper-Einzug2"/>
        <w:spacing w:after="0" w:line="276" w:lineRule="auto"/>
        <w:ind w:left="0"/>
        <w:jc w:val="both"/>
        <w:rPr>
          <w:rFonts w:asciiTheme="minorHAnsi" w:hAnsiTheme="minorHAnsi" w:cstheme="minorHAnsi"/>
          <w:sz w:val="20"/>
          <w:szCs w:val="22"/>
        </w:rPr>
      </w:pPr>
      <w:r w:rsidRPr="002B67EF">
        <w:rPr>
          <w:rFonts w:asciiTheme="minorHAnsi" w:hAnsiTheme="minorHAnsi" w:cstheme="minorHAnsi"/>
          <w:sz w:val="20"/>
          <w:szCs w:val="22"/>
        </w:rPr>
        <w:t>Dexamethason kann auf 2 Tagesdosen verteilt gegeben werden (2 x 4 mg/Tag).</w:t>
      </w:r>
    </w:p>
    <w:p w:rsidR="00930395" w:rsidRPr="002B67EF" w:rsidRDefault="0036219A" w:rsidP="00DC74E7">
      <w:pPr>
        <w:pStyle w:val="Textkrper-Einzug2"/>
        <w:spacing w:after="0" w:line="276" w:lineRule="auto"/>
        <w:ind w:left="0"/>
        <w:jc w:val="both"/>
        <w:rPr>
          <w:rFonts w:asciiTheme="minorHAnsi" w:hAnsiTheme="minorHAnsi" w:cstheme="minorHAnsi"/>
          <w:sz w:val="20"/>
          <w:szCs w:val="22"/>
        </w:rPr>
      </w:pPr>
      <w:r w:rsidRPr="002B67EF">
        <w:rPr>
          <w:rFonts w:asciiTheme="minorHAnsi" w:hAnsiTheme="minorHAnsi" w:cstheme="minorHAnsi"/>
          <w:sz w:val="20"/>
          <w:szCs w:val="22"/>
        </w:rPr>
        <w:t>Die Kombination von Olanzapin und Metoclopramid oder Haloperidol sind aufgrund extrapyramidaler Nebenwirkungen unbedingt zu vermeiden.</w:t>
      </w:r>
    </w:p>
    <w:p w:rsidR="002C2915" w:rsidRPr="00930395" w:rsidRDefault="00DC74E7" w:rsidP="002C2915">
      <w:pPr>
        <w:pStyle w:val="Textkrper-Einzug2"/>
        <w:spacing w:after="0" w:line="276" w:lineRule="auto"/>
        <w:ind w:left="0"/>
        <w:jc w:val="both"/>
        <w:rPr>
          <w:rFonts w:asciiTheme="minorHAnsi" w:hAnsiTheme="minorHAnsi" w:cstheme="minorHAnsi"/>
          <w:sz w:val="20"/>
          <w:szCs w:val="22"/>
          <w:highlight w:val="yellow"/>
        </w:rPr>
      </w:pPr>
      <w:r w:rsidRPr="00930395">
        <w:rPr>
          <w:rFonts w:asciiTheme="minorHAnsi" w:hAnsiTheme="minorHAnsi" w:cstheme="minorHAnsi"/>
          <w:sz w:val="20"/>
          <w:szCs w:val="22"/>
        </w:rPr>
        <w:t>Bei Auftreten von Übelkeit/Erbrechen ist beim nächsten Zyklus die nächst</w:t>
      </w:r>
      <w:r w:rsidR="000804DA" w:rsidRPr="00930395">
        <w:rPr>
          <w:rFonts w:asciiTheme="minorHAnsi" w:hAnsiTheme="minorHAnsi" w:cstheme="minorHAnsi"/>
          <w:sz w:val="20"/>
          <w:szCs w:val="22"/>
        </w:rPr>
        <w:t>h</w:t>
      </w:r>
      <w:r w:rsidRPr="00930395">
        <w:rPr>
          <w:rFonts w:asciiTheme="minorHAnsi" w:hAnsiTheme="minorHAnsi" w:cstheme="minorHAnsi"/>
          <w:sz w:val="20"/>
          <w:szCs w:val="22"/>
        </w:rPr>
        <w:t>öhere Antiemesestufe zu wählen.</w:t>
      </w:r>
      <w:r w:rsidR="002C2915" w:rsidRPr="00930395">
        <w:rPr>
          <w:rFonts w:asciiTheme="minorHAnsi" w:hAnsiTheme="minorHAnsi" w:cstheme="minorHAnsi"/>
          <w:sz w:val="20"/>
          <w:szCs w:val="22"/>
          <w:highlight w:val="yellow"/>
        </w:rPr>
        <w:t xml:space="preserve"> </w:t>
      </w:r>
    </w:p>
    <w:p w:rsidR="008E0D7C" w:rsidRPr="00930395" w:rsidRDefault="008E0D7C" w:rsidP="002C2915">
      <w:pPr>
        <w:pStyle w:val="Textkrper-Einzug2"/>
        <w:spacing w:after="0" w:line="276" w:lineRule="auto"/>
        <w:ind w:left="0"/>
        <w:jc w:val="both"/>
        <w:rPr>
          <w:rFonts w:asciiTheme="minorHAnsi" w:hAnsiTheme="minorHAnsi" w:cstheme="minorHAnsi"/>
          <w:sz w:val="20"/>
          <w:szCs w:val="22"/>
          <w:highlight w:val="yellow"/>
        </w:rPr>
      </w:pPr>
    </w:p>
    <w:p w:rsidR="00CE62F5" w:rsidRPr="00327F40" w:rsidRDefault="002C2915" w:rsidP="00484ECA">
      <w:pPr>
        <w:pStyle w:val="Textkrper-Einzug2"/>
        <w:spacing w:after="0" w:line="276" w:lineRule="auto"/>
        <w:ind w:left="0"/>
        <w:jc w:val="both"/>
        <w:rPr>
          <w:rFonts w:asciiTheme="minorHAnsi" w:hAnsiTheme="minorHAnsi" w:cstheme="minorHAnsi"/>
          <w:sz w:val="20"/>
          <w:szCs w:val="22"/>
        </w:rPr>
      </w:pPr>
      <w:r w:rsidRPr="000D2A3E">
        <w:rPr>
          <w:rFonts w:asciiTheme="minorHAnsi" w:hAnsiTheme="minorHAnsi" w:cstheme="minorHAnsi"/>
          <w:sz w:val="20"/>
          <w:szCs w:val="22"/>
        </w:rPr>
        <w:t>Ein verzögertes Erbrechen</w:t>
      </w:r>
      <w:r w:rsidR="00CE62F5" w:rsidRPr="000D2A3E">
        <w:rPr>
          <w:rFonts w:asciiTheme="minorHAnsi" w:hAnsiTheme="minorHAnsi" w:cstheme="minorHAnsi"/>
          <w:sz w:val="20"/>
          <w:szCs w:val="22"/>
        </w:rPr>
        <w:t xml:space="preserve"> (CINV)</w:t>
      </w:r>
      <w:r w:rsidRPr="000D2A3E">
        <w:rPr>
          <w:rFonts w:asciiTheme="minorHAnsi" w:hAnsiTheme="minorHAnsi" w:cstheme="minorHAnsi"/>
          <w:sz w:val="20"/>
          <w:szCs w:val="22"/>
        </w:rPr>
        <w:t xml:space="preserve"> tritt am häufigsten nach Cisplatin auf, kann aber auch nach anderen </w:t>
      </w:r>
      <w:r w:rsidR="00484ECA" w:rsidRPr="000D2A3E">
        <w:rPr>
          <w:rFonts w:asciiTheme="minorHAnsi" w:hAnsiTheme="minorHAnsi" w:cstheme="minorHAnsi"/>
          <w:sz w:val="20"/>
          <w:szCs w:val="22"/>
        </w:rPr>
        <w:t>Therapeutika</w:t>
      </w:r>
      <w:r w:rsidRPr="000D2A3E">
        <w:rPr>
          <w:rFonts w:asciiTheme="minorHAnsi" w:hAnsiTheme="minorHAnsi" w:cstheme="minorHAnsi"/>
          <w:sz w:val="20"/>
          <w:szCs w:val="22"/>
        </w:rPr>
        <w:t xml:space="preserve"> auftreten, vor allem Cyclophosphamid</w:t>
      </w:r>
      <w:r w:rsidRPr="00327F40">
        <w:rPr>
          <w:rFonts w:asciiTheme="minorHAnsi" w:hAnsiTheme="minorHAnsi" w:cstheme="minorHAnsi"/>
          <w:sz w:val="20"/>
          <w:szCs w:val="22"/>
        </w:rPr>
        <w:t xml:space="preserve">, Anthracyclinen und Oxaliplatin. </w:t>
      </w:r>
      <w:r w:rsidR="006D1BA1" w:rsidRPr="00327F40">
        <w:rPr>
          <w:rFonts w:asciiTheme="minorHAnsi" w:hAnsiTheme="minorHAnsi" w:cstheme="minorHAnsi"/>
          <w:sz w:val="20"/>
          <w:szCs w:val="22"/>
        </w:rPr>
        <w:t>Zwei</w:t>
      </w:r>
      <w:r w:rsidR="00CE62F5" w:rsidRPr="00327F40">
        <w:rPr>
          <w:rFonts w:asciiTheme="minorHAnsi" w:hAnsiTheme="minorHAnsi" w:cstheme="minorHAnsi"/>
          <w:sz w:val="20"/>
          <w:szCs w:val="22"/>
        </w:rPr>
        <w:t xml:space="preserve"> rezente Metaanalyse</w:t>
      </w:r>
      <w:r w:rsidR="006D1BA1" w:rsidRPr="00327F40">
        <w:rPr>
          <w:rFonts w:asciiTheme="minorHAnsi" w:hAnsiTheme="minorHAnsi" w:cstheme="minorHAnsi"/>
          <w:sz w:val="20"/>
          <w:szCs w:val="22"/>
        </w:rPr>
        <w:t>n zeigen</w:t>
      </w:r>
      <w:r w:rsidR="00CE62F5" w:rsidRPr="00327F40">
        <w:rPr>
          <w:rFonts w:asciiTheme="minorHAnsi" w:hAnsiTheme="minorHAnsi" w:cstheme="minorHAnsi"/>
          <w:sz w:val="20"/>
          <w:szCs w:val="22"/>
        </w:rPr>
        <w:t>, dass für moderat em</w:t>
      </w:r>
      <w:r w:rsidR="00C3383C" w:rsidRPr="00327F40">
        <w:rPr>
          <w:rFonts w:asciiTheme="minorHAnsi" w:hAnsiTheme="minorHAnsi" w:cstheme="minorHAnsi"/>
          <w:sz w:val="20"/>
          <w:szCs w:val="22"/>
        </w:rPr>
        <w:t>e</w:t>
      </w:r>
      <w:r w:rsidR="00CE62F5" w:rsidRPr="00327F40">
        <w:rPr>
          <w:rFonts w:asciiTheme="minorHAnsi" w:hAnsiTheme="minorHAnsi" w:cstheme="minorHAnsi"/>
          <w:sz w:val="20"/>
          <w:szCs w:val="22"/>
        </w:rPr>
        <w:t>togene CHT</w:t>
      </w:r>
      <w:r w:rsidR="0032635C" w:rsidRPr="00327F40">
        <w:rPr>
          <w:rFonts w:asciiTheme="minorHAnsi" w:hAnsiTheme="minorHAnsi" w:cstheme="minorHAnsi"/>
          <w:sz w:val="20"/>
          <w:szCs w:val="22"/>
        </w:rPr>
        <w:t xml:space="preserve"> mit höherem Risiko für ein CINV</w:t>
      </w:r>
      <w:r w:rsidR="00CE62F5" w:rsidRPr="00327F40">
        <w:rPr>
          <w:rFonts w:asciiTheme="minorHAnsi" w:hAnsiTheme="minorHAnsi" w:cstheme="minorHAnsi"/>
          <w:sz w:val="20"/>
          <w:szCs w:val="22"/>
        </w:rPr>
        <w:t xml:space="preserve"> eine </w:t>
      </w:r>
      <w:r w:rsidR="007013C8" w:rsidRPr="00327F40">
        <w:rPr>
          <w:rFonts w:asciiTheme="minorHAnsi" w:hAnsiTheme="minorHAnsi" w:cstheme="minorHAnsi"/>
          <w:sz w:val="20"/>
          <w:szCs w:val="22"/>
        </w:rPr>
        <w:t xml:space="preserve">Cortison-sparende Therapie (Dexamethason nur an Tag 1) nur </w:t>
      </w:r>
      <w:r w:rsidR="00327F40" w:rsidRPr="00327F40">
        <w:rPr>
          <w:rFonts w:asciiTheme="minorHAnsi" w:hAnsiTheme="minorHAnsi" w:cstheme="minorHAnsi"/>
          <w:sz w:val="20"/>
          <w:szCs w:val="22"/>
        </w:rPr>
        <w:t>zu einer</w:t>
      </w:r>
      <w:r w:rsidR="007013C8" w:rsidRPr="00327F40">
        <w:rPr>
          <w:rFonts w:asciiTheme="minorHAnsi" w:hAnsiTheme="minorHAnsi" w:cstheme="minorHAnsi"/>
          <w:sz w:val="20"/>
          <w:szCs w:val="22"/>
        </w:rPr>
        <w:t xml:space="preserve"> </w:t>
      </w:r>
      <w:r w:rsidR="0032635C" w:rsidRPr="00327F40">
        <w:rPr>
          <w:rFonts w:asciiTheme="minorHAnsi" w:hAnsiTheme="minorHAnsi" w:cstheme="minorHAnsi"/>
          <w:sz w:val="20"/>
          <w:szCs w:val="22"/>
        </w:rPr>
        <w:t>geringe</w:t>
      </w:r>
      <w:r w:rsidR="007013C8" w:rsidRPr="00327F40">
        <w:rPr>
          <w:rFonts w:asciiTheme="minorHAnsi" w:hAnsiTheme="minorHAnsi" w:cstheme="minorHAnsi"/>
          <w:sz w:val="20"/>
          <w:szCs w:val="22"/>
        </w:rPr>
        <w:t>n</w:t>
      </w:r>
      <w:r w:rsidR="00CE62F5" w:rsidRPr="00327F40">
        <w:rPr>
          <w:rFonts w:asciiTheme="minorHAnsi" w:hAnsiTheme="minorHAnsi" w:cstheme="minorHAnsi"/>
          <w:sz w:val="20"/>
          <w:szCs w:val="22"/>
        </w:rPr>
        <w:t xml:space="preserve"> </w:t>
      </w:r>
      <w:r w:rsidR="0032635C" w:rsidRPr="00327F40">
        <w:rPr>
          <w:rFonts w:asciiTheme="minorHAnsi" w:hAnsiTheme="minorHAnsi" w:cstheme="minorHAnsi"/>
          <w:sz w:val="20"/>
          <w:szCs w:val="22"/>
        </w:rPr>
        <w:t>Zunahme</w:t>
      </w:r>
      <w:r w:rsidR="00CE62F5" w:rsidRPr="00327F40">
        <w:rPr>
          <w:rFonts w:asciiTheme="minorHAnsi" w:hAnsiTheme="minorHAnsi" w:cstheme="minorHAnsi"/>
          <w:sz w:val="20"/>
          <w:szCs w:val="22"/>
        </w:rPr>
        <w:t xml:space="preserve"> </w:t>
      </w:r>
      <w:r w:rsidR="007013C8" w:rsidRPr="00327F40">
        <w:rPr>
          <w:rFonts w:asciiTheme="minorHAnsi" w:hAnsiTheme="minorHAnsi" w:cstheme="minorHAnsi"/>
          <w:sz w:val="20"/>
          <w:szCs w:val="22"/>
        </w:rPr>
        <w:t xml:space="preserve">von verzögerter Übelkeit und Erbrechen führt. </w:t>
      </w:r>
      <w:r w:rsidR="00CE62F5" w:rsidRPr="00327F40">
        <w:rPr>
          <w:rFonts w:asciiTheme="minorHAnsi" w:hAnsiTheme="minorHAnsi" w:cstheme="minorHAnsi"/>
          <w:sz w:val="20"/>
          <w:szCs w:val="22"/>
        </w:rPr>
        <w:t>(Celio, BMC Cancer 2019</w:t>
      </w:r>
      <w:r w:rsidR="006D1BA1" w:rsidRPr="00327F40">
        <w:rPr>
          <w:rFonts w:asciiTheme="minorHAnsi" w:hAnsiTheme="minorHAnsi" w:cstheme="minorHAnsi"/>
          <w:sz w:val="20"/>
          <w:szCs w:val="22"/>
        </w:rPr>
        <w:t>; Okoda, Oncologist 2019</w:t>
      </w:r>
      <w:r w:rsidR="00CE62F5" w:rsidRPr="00327F40">
        <w:rPr>
          <w:rFonts w:asciiTheme="minorHAnsi" w:hAnsiTheme="minorHAnsi" w:cstheme="minorHAnsi"/>
          <w:sz w:val="20"/>
          <w:szCs w:val="22"/>
        </w:rPr>
        <w:t>). Daher kann bei moderat em</w:t>
      </w:r>
      <w:r w:rsidR="00AE7C12" w:rsidRPr="00327F40">
        <w:rPr>
          <w:rFonts w:asciiTheme="minorHAnsi" w:hAnsiTheme="minorHAnsi" w:cstheme="minorHAnsi"/>
          <w:sz w:val="20"/>
          <w:szCs w:val="22"/>
        </w:rPr>
        <w:t>e</w:t>
      </w:r>
      <w:r w:rsidR="00CE62F5" w:rsidRPr="00327F40">
        <w:rPr>
          <w:rFonts w:asciiTheme="minorHAnsi" w:hAnsiTheme="minorHAnsi" w:cstheme="minorHAnsi"/>
          <w:sz w:val="20"/>
          <w:szCs w:val="22"/>
        </w:rPr>
        <w:t>togenen Protokollen</w:t>
      </w:r>
      <w:r w:rsidR="00C3383C" w:rsidRPr="00327F40">
        <w:rPr>
          <w:rFonts w:asciiTheme="minorHAnsi" w:hAnsiTheme="minorHAnsi" w:cstheme="minorHAnsi"/>
          <w:sz w:val="20"/>
          <w:szCs w:val="22"/>
        </w:rPr>
        <w:t xml:space="preserve"> mit höherem Risiko für CINV (Stufe 2B)</w:t>
      </w:r>
      <w:r w:rsidR="00CE62F5" w:rsidRPr="00327F40">
        <w:rPr>
          <w:rFonts w:asciiTheme="minorHAnsi" w:hAnsiTheme="minorHAnsi" w:cstheme="minorHAnsi"/>
          <w:sz w:val="20"/>
          <w:szCs w:val="22"/>
        </w:rPr>
        <w:t xml:space="preserve"> die Dexamethasondosis an Tag </w:t>
      </w:r>
      <w:r w:rsidR="000D2A3E" w:rsidRPr="00327F40">
        <w:rPr>
          <w:rFonts w:asciiTheme="minorHAnsi" w:hAnsiTheme="minorHAnsi" w:cstheme="minorHAnsi"/>
          <w:sz w:val="20"/>
          <w:szCs w:val="22"/>
        </w:rPr>
        <w:t xml:space="preserve">(2 und) </w:t>
      </w:r>
      <w:r w:rsidR="00CE62F5" w:rsidRPr="00327F40">
        <w:rPr>
          <w:rFonts w:asciiTheme="minorHAnsi" w:hAnsiTheme="minorHAnsi" w:cstheme="minorHAnsi"/>
          <w:sz w:val="20"/>
          <w:szCs w:val="22"/>
        </w:rPr>
        <w:t>3 weggelassen werden, wenn im ersten Zyklus e</w:t>
      </w:r>
      <w:r w:rsidR="00F81309" w:rsidRPr="00327F40">
        <w:rPr>
          <w:rFonts w:asciiTheme="minorHAnsi" w:hAnsiTheme="minorHAnsi" w:cstheme="minorHAnsi"/>
          <w:sz w:val="20"/>
          <w:szCs w:val="22"/>
        </w:rPr>
        <w:t>ine gute Verträglichkeit vorlag</w:t>
      </w:r>
      <w:r w:rsidR="0032635C" w:rsidRPr="00327F40">
        <w:rPr>
          <w:rFonts w:asciiTheme="minorHAnsi" w:hAnsiTheme="minorHAnsi" w:cstheme="minorHAnsi"/>
          <w:sz w:val="20"/>
          <w:szCs w:val="22"/>
        </w:rPr>
        <w:t>.</w:t>
      </w:r>
      <w:r w:rsidR="00C3383C" w:rsidRPr="00327F40">
        <w:rPr>
          <w:rFonts w:asciiTheme="minorHAnsi" w:hAnsiTheme="minorHAnsi" w:cstheme="minorHAnsi"/>
          <w:sz w:val="20"/>
          <w:szCs w:val="22"/>
        </w:rPr>
        <w:t xml:space="preserve"> Auch bei der Cortison-sparenden Variante wurde in Stufe 2B daher routinemäßig auf Dexamethason an den Tagen 2 und 3 verzichtet.</w:t>
      </w:r>
      <w:r w:rsidR="0032635C" w:rsidRPr="00327F40">
        <w:rPr>
          <w:rFonts w:asciiTheme="minorHAnsi" w:hAnsiTheme="minorHAnsi" w:cstheme="minorHAnsi"/>
          <w:sz w:val="20"/>
          <w:szCs w:val="22"/>
        </w:rPr>
        <w:t xml:space="preserve"> </w:t>
      </w:r>
    </w:p>
    <w:p w:rsidR="00B90850" w:rsidRPr="00327F40" w:rsidRDefault="00B90850" w:rsidP="00484ECA">
      <w:pPr>
        <w:pStyle w:val="Textkrper-Einzug2"/>
        <w:spacing w:after="0" w:line="276" w:lineRule="auto"/>
        <w:ind w:left="0"/>
        <w:jc w:val="both"/>
        <w:rPr>
          <w:rFonts w:asciiTheme="minorHAnsi" w:hAnsiTheme="minorHAnsi" w:cstheme="minorHAnsi"/>
          <w:sz w:val="20"/>
          <w:szCs w:val="22"/>
        </w:rPr>
      </w:pPr>
    </w:p>
    <w:p w:rsidR="00B90850" w:rsidRPr="00327F40" w:rsidRDefault="00B90850" w:rsidP="00484ECA">
      <w:pPr>
        <w:pStyle w:val="Textkrper-Einzug2"/>
        <w:spacing w:after="0" w:line="276" w:lineRule="auto"/>
        <w:ind w:left="0"/>
        <w:jc w:val="both"/>
        <w:rPr>
          <w:rFonts w:asciiTheme="minorHAnsi" w:hAnsiTheme="minorHAnsi" w:cstheme="minorHAnsi"/>
          <w:sz w:val="20"/>
          <w:szCs w:val="22"/>
        </w:rPr>
      </w:pPr>
      <w:r w:rsidRPr="00327F40">
        <w:rPr>
          <w:rFonts w:asciiTheme="minorHAnsi" w:hAnsiTheme="minorHAnsi" w:cstheme="minorHAnsi"/>
          <w:sz w:val="20"/>
          <w:szCs w:val="22"/>
        </w:rPr>
        <w:t xml:space="preserve">Bei lymphatischen Erkrankungen, die hochdosiertes Dexamethason als Teil der Tumortherapie </w:t>
      </w:r>
      <w:r w:rsidR="00253E3B" w:rsidRPr="00327F40">
        <w:rPr>
          <w:rFonts w:asciiTheme="minorHAnsi" w:hAnsiTheme="minorHAnsi" w:cstheme="minorHAnsi"/>
          <w:sz w:val="20"/>
          <w:szCs w:val="22"/>
        </w:rPr>
        <w:t>enthalten</w:t>
      </w:r>
      <w:r w:rsidRPr="00327F40">
        <w:rPr>
          <w:rFonts w:asciiTheme="minorHAnsi" w:hAnsiTheme="minorHAnsi" w:cstheme="minorHAnsi"/>
          <w:sz w:val="20"/>
          <w:szCs w:val="22"/>
        </w:rPr>
        <w:t xml:space="preserve">, </w:t>
      </w:r>
      <w:r w:rsidR="00253E3B" w:rsidRPr="00327F40">
        <w:rPr>
          <w:rFonts w:asciiTheme="minorHAnsi" w:hAnsiTheme="minorHAnsi" w:cstheme="minorHAnsi"/>
          <w:sz w:val="20"/>
          <w:szCs w:val="22"/>
        </w:rPr>
        <w:t>wird</w:t>
      </w:r>
      <w:r w:rsidRPr="00327F40">
        <w:rPr>
          <w:rFonts w:asciiTheme="minorHAnsi" w:hAnsiTheme="minorHAnsi" w:cstheme="minorHAnsi"/>
          <w:sz w:val="20"/>
          <w:szCs w:val="22"/>
        </w:rPr>
        <w:t xml:space="preserve"> bei </w:t>
      </w:r>
      <w:r w:rsidR="00253E3B" w:rsidRPr="00327F40">
        <w:rPr>
          <w:rFonts w:asciiTheme="minorHAnsi" w:hAnsiTheme="minorHAnsi" w:cstheme="minorHAnsi"/>
          <w:sz w:val="20"/>
          <w:szCs w:val="22"/>
        </w:rPr>
        <w:t>Antiemese</w:t>
      </w:r>
      <w:r w:rsidRPr="00327F40">
        <w:rPr>
          <w:rFonts w:asciiTheme="minorHAnsi" w:hAnsiTheme="minorHAnsi" w:cstheme="minorHAnsi"/>
          <w:sz w:val="20"/>
          <w:szCs w:val="22"/>
        </w:rPr>
        <w:t xml:space="preserve"> bei NK1-Rezeptorantagonist und </w:t>
      </w:r>
      <w:r w:rsidRPr="00327F40">
        <w:rPr>
          <w:rFonts w:asciiTheme="minorHAnsi" w:hAnsiTheme="minorHAnsi" w:cstheme="minorHAnsi"/>
          <w:sz w:val="20"/>
          <w:szCs w:val="22"/>
          <w:u w:val="single"/>
        </w:rPr>
        <w:t>oraler</w:t>
      </w:r>
      <w:r w:rsidRPr="00327F40">
        <w:rPr>
          <w:rFonts w:asciiTheme="minorHAnsi" w:hAnsiTheme="minorHAnsi" w:cstheme="minorHAnsi"/>
          <w:sz w:val="20"/>
          <w:szCs w:val="22"/>
        </w:rPr>
        <w:t xml:space="preserve"> Gabe </w:t>
      </w:r>
      <w:r w:rsidR="00253E3B" w:rsidRPr="00327F40">
        <w:rPr>
          <w:rFonts w:asciiTheme="minorHAnsi" w:hAnsiTheme="minorHAnsi" w:cstheme="minorHAnsi"/>
          <w:sz w:val="20"/>
          <w:szCs w:val="22"/>
        </w:rPr>
        <w:t>des</w:t>
      </w:r>
      <w:r w:rsidRPr="00327F40">
        <w:rPr>
          <w:rFonts w:asciiTheme="minorHAnsi" w:hAnsiTheme="minorHAnsi" w:cstheme="minorHAnsi"/>
          <w:sz w:val="20"/>
          <w:szCs w:val="22"/>
        </w:rPr>
        <w:t xml:space="preserve"> Dexamethason</w:t>
      </w:r>
      <w:r w:rsidR="00253E3B" w:rsidRPr="00327F40">
        <w:rPr>
          <w:rFonts w:asciiTheme="minorHAnsi" w:hAnsiTheme="minorHAnsi" w:cstheme="minorHAnsi"/>
          <w:sz w:val="20"/>
          <w:szCs w:val="22"/>
        </w:rPr>
        <w:t>s</w:t>
      </w:r>
      <w:r w:rsidRPr="00327F40">
        <w:rPr>
          <w:rFonts w:asciiTheme="minorHAnsi" w:hAnsiTheme="minorHAnsi" w:cstheme="minorHAnsi"/>
          <w:sz w:val="20"/>
          <w:szCs w:val="22"/>
        </w:rPr>
        <w:t xml:space="preserve"> </w:t>
      </w:r>
      <w:r w:rsidR="00253E3B" w:rsidRPr="00327F40">
        <w:rPr>
          <w:rFonts w:asciiTheme="minorHAnsi" w:hAnsiTheme="minorHAnsi" w:cstheme="minorHAnsi"/>
          <w:sz w:val="20"/>
          <w:szCs w:val="22"/>
        </w:rPr>
        <w:t>eine Reduktion der</w:t>
      </w:r>
      <w:r w:rsidRPr="00327F40">
        <w:rPr>
          <w:rFonts w:asciiTheme="minorHAnsi" w:hAnsiTheme="minorHAnsi" w:cstheme="minorHAnsi"/>
          <w:sz w:val="20"/>
          <w:szCs w:val="22"/>
        </w:rPr>
        <w:t xml:space="preserve"> Cortisondosis um 50% </w:t>
      </w:r>
      <w:r w:rsidR="00253E3B" w:rsidRPr="00327F40">
        <w:rPr>
          <w:rFonts w:asciiTheme="minorHAnsi" w:hAnsiTheme="minorHAnsi" w:cstheme="minorHAnsi"/>
          <w:sz w:val="20"/>
          <w:szCs w:val="22"/>
        </w:rPr>
        <w:t>empfohlen</w:t>
      </w:r>
      <w:r w:rsidRPr="00327F40">
        <w:rPr>
          <w:rFonts w:asciiTheme="minorHAnsi" w:hAnsiTheme="minorHAnsi" w:cstheme="minorHAnsi"/>
          <w:sz w:val="20"/>
          <w:szCs w:val="22"/>
        </w:rPr>
        <w:t>.</w:t>
      </w:r>
      <w:r w:rsidR="00253E3B" w:rsidRPr="00327F40">
        <w:rPr>
          <w:rFonts w:asciiTheme="minorHAnsi" w:hAnsiTheme="minorHAnsi" w:cstheme="minorHAnsi"/>
          <w:sz w:val="20"/>
          <w:szCs w:val="22"/>
        </w:rPr>
        <w:t xml:space="preserve"> Das für die Antiemese eingesetzte Dexamethason kann an den entsprechenden Tagen weggelassen werden.</w:t>
      </w:r>
    </w:p>
    <w:p w:rsidR="00CE62F5" w:rsidRPr="00327F40" w:rsidRDefault="00CE62F5" w:rsidP="00484ECA">
      <w:pPr>
        <w:pStyle w:val="Textkrper-Einzug2"/>
        <w:spacing w:after="0" w:line="276" w:lineRule="auto"/>
        <w:ind w:left="0"/>
        <w:jc w:val="both"/>
        <w:rPr>
          <w:rFonts w:asciiTheme="minorHAnsi" w:hAnsiTheme="minorHAnsi" w:cstheme="minorHAnsi"/>
          <w:sz w:val="20"/>
          <w:szCs w:val="22"/>
        </w:rPr>
      </w:pPr>
    </w:p>
    <w:p w:rsidR="00236316" w:rsidRPr="000D2A3E" w:rsidRDefault="00264ECF" w:rsidP="00484ECA">
      <w:pPr>
        <w:pStyle w:val="Textkrper-Einzug2"/>
        <w:spacing w:after="0" w:line="276" w:lineRule="auto"/>
        <w:ind w:left="0"/>
        <w:jc w:val="both"/>
        <w:rPr>
          <w:rFonts w:asciiTheme="minorHAnsi" w:hAnsiTheme="minorHAnsi" w:cstheme="minorHAnsi"/>
          <w:sz w:val="20"/>
          <w:szCs w:val="22"/>
        </w:rPr>
      </w:pPr>
      <w:r w:rsidRPr="000D2A3E">
        <w:rPr>
          <w:rFonts w:asciiTheme="minorHAnsi" w:hAnsiTheme="minorHAnsi" w:cstheme="minorHAnsi"/>
          <w:sz w:val="20"/>
          <w:szCs w:val="22"/>
        </w:rPr>
        <w:t>Das em</w:t>
      </w:r>
      <w:r w:rsidR="00AE7C12" w:rsidRPr="000D2A3E">
        <w:rPr>
          <w:rFonts w:asciiTheme="minorHAnsi" w:hAnsiTheme="minorHAnsi" w:cstheme="minorHAnsi"/>
          <w:sz w:val="20"/>
          <w:szCs w:val="22"/>
        </w:rPr>
        <w:t>e</w:t>
      </w:r>
      <w:r w:rsidRPr="000D2A3E">
        <w:rPr>
          <w:rFonts w:asciiTheme="minorHAnsi" w:hAnsiTheme="minorHAnsi" w:cstheme="minorHAnsi"/>
          <w:sz w:val="20"/>
          <w:szCs w:val="22"/>
        </w:rPr>
        <w:t>togene Potential von Cisplatin wird in der Onkopedia-Leitlinie bei Dosierung &lt;50 mg/m</w:t>
      </w:r>
      <w:r w:rsidRPr="000D2A3E">
        <w:rPr>
          <w:rFonts w:asciiTheme="minorHAnsi" w:hAnsiTheme="minorHAnsi" w:cstheme="minorHAnsi"/>
          <w:sz w:val="20"/>
          <w:szCs w:val="22"/>
          <w:vertAlign w:val="superscript"/>
        </w:rPr>
        <w:t>2</w:t>
      </w:r>
      <w:r w:rsidRPr="000D2A3E">
        <w:rPr>
          <w:rFonts w:asciiTheme="minorHAnsi" w:hAnsiTheme="minorHAnsi" w:cstheme="minorHAnsi"/>
          <w:sz w:val="20"/>
          <w:szCs w:val="22"/>
        </w:rPr>
        <w:t xml:space="preserve"> KOF als moderat em</w:t>
      </w:r>
      <w:r w:rsidR="00AE7C12" w:rsidRPr="000D2A3E">
        <w:rPr>
          <w:rFonts w:asciiTheme="minorHAnsi" w:hAnsiTheme="minorHAnsi" w:cstheme="minorHAnsi"/>
          <w:sz w:val="20"/>
          <w:szCs w:val="22"/>
        </w:rPr>
        <w:t>e</w:t>
      </w:r>
      <w:r w:rsidRPr="000D2A3E">
        <w:rPr>
          <w:rFonts w:asciiTheme="minorHAnsi" w:hAnsiTheme="minorHAnsi" w:cstheme="minorHAnsi"/>
          <w:sz w:val="20"/>
          <w:szCs w:val="22"/>
        </w:rPr>
        <w:t>t</w:t>
      </w:r>
      <w:r w:rsidR="00AE7C12" w:rsidRPr="000D2A3E">
        <w:rPr>
          <w:rFonts w:asciiTheme="minorHAnsi" w:hAnsiTheme="minorHAnsi" w:cstheme="minorHAnsi"/>
          <w:sz w:val="20"/>
          <w:szCs w:val="22"/>
        </w:rPr>
        <w:t>o</w:t>
      </w:r>
      <w:r w:rsidRPr="000D2A3E">
        <w:rPr>
          <w:rFonts w:asciiTheme="minorHAnsi" w:hAnsiTheme="minorHAnsi" w:cstheme="minorHAnsi"/>
          <w:sz w:val="20"/>
          <w:szCs w:val="22"/>
        </w:rPr>
        <w:t>gen eingestuft, während NCCN und MASCC/ESMO die Substanz unabhängig von der Dosierung als hochem</w:t>
      </w:r>
      <w:r w:rsidR="00AE7C12" w:rsidRPr="000D2A3E">
        <w:rPr>
          <w:rFonts w:asciiTheme="minorHAnsi" w:hAnsiTheme="minorHAnsi" w:cstheme="minorHAnsi"/>
          <w:sz w:val="20"/>
          <w:szCs w:val="22"/>
        </w:rPr>
        <w:t>e</w:t>
      </w:r>
      <w:r w:rsidRPr="000D2A3E">
        <w:rPr>
          <w:rFonts w:asciiTheme="minorHAnsi" w:hAnsiTheme="minorHAnsi" w:cstheme="minorHAnsi"/>
          <w:sz w:val="20"/>
          <w:szCs w:val="22"/>
        </w:rPr>
        <w:t>togen einstufen. In der Leitlinie</w:t>
      </w:r>
      <w:r w:rsidR="006D1BA1" w:rsidRPr="000D2A3E">
        <w:rPr>
          <w:rFonts w:asciiTheme="minorHAnsi" w:hAnsiTheme="minorHAnsi" w:cstheme="minorHAnsi"/>
          <w:sz w:val="20"/>
          <w:szCs w:val="22"/>
        </w:rPr>
        <w:t xml:space="preserve"> des TZ OÖ</w:t>
      </w:r>
      <w:r w:rsidRPr="000D2A3E">
        <w:rPr>
          <w:rFonts w:asciiTheme="minorHAnsi" w:hAnsiTheme="minorHAnsi" w:cstheme="minorHAnsi"/>
          <w:sz w:val="20"/>
          <w:szCs w:val="22"/>
        </w:rPr>
        <w:t xml:space="preserve"> wird folgendes Vorgehen empfohlen: </w:t>
      </w:r>
      <w:r w:rsidR="002C2915" w:rsidRPr="000D2A3E">
        <w:rPr>
          <w:rFonts w:asciiTheme="minorHAnsi" w:hAnsiTheme="minorHAnsi" w:cstheme="minorHAnsi"/>
          <w:sz w:val="20"/>
          <w:szCs w:val="22"/>
        </w:rPr>
        <w:t xml:space="preserve">Bei fehlender Übelkeit </w:t>
      </w:r>
      <w:r w:rsidR="006D1BA1" w:rsidRPr="000D2A3E">
        <w:rPr>
          <w:rFonts w:asciiTheme="minorHAnsi" w:hAnsiTheme="minorHAnsi" w:cstheme="minorHAnsi"/>
          <w:sz w:val="20"/>
          <w:szCs w:val="22"/>
        </w:rPr>
        <w:t>im</w:t>
      </w:r>
      <w:r w:rsidR="002C2915" w:rsidRPr="000D2A3E">
        <w:rPr>
          <w:rFonts w:asciiTheme="minorHAnsi" w:hAnsiTheme="minorHAnsi" w:cstheme="minorHAnsi"/>
          <w:sz w:val="20"/>
          <w:szCs w:val="22"/>
        </w:rPr>
        <w:t xml:space="preserve"> ersten Zykl</w:t>
      </w:r>
      <w:r w:rsidR="006D1BA1" w:rsidRPr="000D2A3E">
        <w:rPr>
          <w:rFonts w:asciiTheme="minorHAnsi" w:hAnsiTheme="minorHAnsi" w:cstheme="minorHAnsi"/>
          <w:sz w:val="20"/>
          <w:szCs w:val="22"/>
        </w:rPr>
        <w:t>us</w:t>
      </w:r>
      <w:r w:rsidR="002C2915" w:rsidRPr="000D2A3E">
        <w:rPr>
          <w:rFonts w:asciiTheme="minorHAnsi" w:hAnsiTheme="minorHAnsi" w:cstheme="minorHAnsi"/>
          <w:sz w:val="20"/>
          <w:szCs w:val="22"/>
        </w:rPr>
        <w:t xml:space="preserve"> kann die Dauer von Dexamethason </w:t>
      </w:r>
      <w:r w:rsidR="00236316" w:rsidRPr="000D2A3E">
        <w:rPr>
          <w:rFonts w:asciiTheme="minorHAnsi" w:hAnsiTheme="minorHAnsi" w:cstheme="minorHAnsi"/>
          <w:sz w:val="20"/>
          <w:szCs w:val="22"/>
        </w:rPr>
        <w:t xml:space="preserve">schrittweise reduziert werden (Minimum 2 Tage): </w:t>
      </w:r>
    </w:p>
    <w:p w:rsidR="00236316" w:rsidRPr="004F5A6E" w:rsidRDefault="00484ECA" w:rsidP="00F81309">
      <w:pPr>
        <w:pStyle w:val="Textkrper-Einzug2"/>
        <w:numPr>
          <w:ilvl w:val="0"/>
          <w:numId w:val="28"/>
        </w:numPr>
        <w:spacing w:after="0" w:line="276" w:lineRule="auto"/>
        <w:jc w:val="both"/>
        <w:rPr>
          <w:rFonts w:asciiTheme="minorHAnsi" w:hAnsiTheme="minorHAnsi" w:cstheme="minorHAnsi"/>
          <w:sz w:val="20"/>
          <w:szCs w:val="22"/>
        </w:rPr>
      </w:pPr>
      <w:r w:rsidRPr="004F5A6E">
        <w:rPr>
          <w:rFonts w:asciiTheme="minorHAnsi" w:hAnsiTheme="minorHAnsi" w:cstheme="minorHAnsi"/>
          <w:sz w:val="20"/>
          <w:szCs w:val="22"/>
        </w:rPr>
        <w:t>Cisplatin in Dosierungen &lt;50 mg/</w:t>
      </w:r>
      <w:r w:rsidR="00264ECF" w:rsidRPr="004F5A6E">
        <w:rPr>
          <w:rFonts w:asciiTheme="minorHAnsi" w:hAnsiTheme="minorHAnsi" w:cstheme="minorHAnsi"/>
          <w:sz w:val="20"/>
          <w:szCs w:val="22"/>
        </w:rPr>
        <w:t>m</w:t>
      </w:r>
      <w:r w:rsidR="00264ECF" w:rsidRPr="004F5A6E">
        <w:rPr>
          <w:rFonts w:asciiTheme="minorHAnsi" w:hAnsiTheme="minorHAnsi" w:cstheme="minorHAnsi"/>
          <w:sz w:val="20"/>
          <w:szCs w:val="22"/>
          <w:vertAlign w:val="superscript"/>
        </w:rPr>
        <w:t>2</w:t>
      </w:r>
      <w:r w:rsidR="00264ECF" w:rsidRPr="004F5A6E">
        <w:rPr>
          <w:rFonts w:asciiTheme="minorHAnsi" w:hAnsiTheme="minorHAnsi" w:cstheme="minorHAnsi"/>
          <w:sz w:val="20"/>
          <w:szCs w:val="22"/>
        </w:rPr>
        <w:t xml:space="preserve"> KOF</w:t>
      </w:r>
      <w:r w:rsidR="00236316" w:rsidRPr="004F5A6E">
        <w:rPr>
          <w:rFonts w:asciiTheme="minorHAnsi" w:hAnsiTheme="minorHAnsi" w:cstheme="minorHAnsi"/>
          <w:sz w:val="20"/>
          <w:szCs w:val="22"/>
        </w:rPr>
        <w:t xml:space="preserve"> pro Zyklus</w:t>
      </w:r>
    </w:p>
    <w:p w:rsidR="00236316" w:rsidRPr="004F5A6E" w:rsidRDefault="00236316" w:rsidP="00F81309">
      <w:pPr>
        <w:pStyle w:val="Textkrper-Einzug2"/>
        <w:numPr>
          <w:ilvl w:val="0"/>
          <w:numId w:val="28"/>
        </w:numPr>
        <w:spacing w:after="0" w:line="276" w:lineRule="auto"/>
        <w:jc w:val="both"/>
        <w:rPr>
          <w:rFonts w:asciiTheme="minorHAnsi" w:hAnsiTheme="minorHAnsi" w:cstheme="minorHAnsi"/>
          <w:sz w:val="20"/>
          <w:szCs w:val="22"/>
        </w:rPr>
      </w:pPr>
      <w:r w:rsidRPr="004F5A6E">
        <w:rPr>
          <w:rFonts w:asciiTheme="minorHAnsi" w:hAnsiTheme="minorHAnsi" w:cstheme="minorHAnsi"/>
          <w:sz w:val="20"/>
          <w:szCs w:val="22"/>
        </w:rPr>
        <w:t xml:space="preserve">Schemata mit Cisplatin </w:t>
      </w:r>
      <w:r w:rsidR="000A03AA" w:rsidRPr="004F5A6E">
        <w:rPr>
          <w:rFonts w:asciiTheme="minorHAnsi" w:hAnsiTheme="minorHAnsi" w:cstheme="minorHAnsi"/>
          <w:sz w:val="20"/>
          <w:szCs w:val="22"/>
        </w:rPr>
        <w:t>&lt;50 mg/m</w:t>
      </w:r>
      <w:r w:rsidR="000A03AA" w:rsidRPr="004F5A6E">
        <w:rPr>
          <w:rFonts w:asciiTheme="minorHAnsi" w:hAnsiTheme="minorHAnsi" w:cstheme="minorHAnsi"/>
          <w:sz w:val="20"/>
          <w:szCs w:val="22"/>
          <w:vertAlign w:val="superscript"/>
        </w:rPr>
        <w:t>2</w:t>
      </w:r>
      <w:r w:rsidR="000A03AA" w:rsidRPr="004F5A6E">
        <w:rPr>
          <w:rFonts w:asciiTheme="minorHAnsi" w:hAnsiTheme="minorHAnsi" w:cstheme="minorHAnsi"/>
          <w:sz w:val="20"/>
          <w:szCs w:val="22"/>
        </w:rPr>
        <w:t xml:space="preserve"> KOF </w:t>
      </w:r>
      <w:r w:rsidRPr="004F5A6E">
        <w:rPr>
          <w:rFonts w:asciiTheme="minorHAnsi" w:hAnsiTheme="minorHAnsi" w:cstheme="minorHAnsi"/>
          <w:sz w:val="20"/>
          <w:szCs w:val="22"/>
        </w:rPr>
        <w:t>an Tag 1+8</w:t>
      </w:r>
    </w:p>
    <w:p w:rsidR="00236316" w:rsidRPr="004F5A6E" w:rsidRDefault="000A03AA" w:rsidP="00F81309">
      <w:pPr>
        <w:pStyle w:val="Textkrper-Einzug2"/>
        <w:numPr>
          <w:ilvl w:val="0"/>
          <w:numId w:val="28"/>
        </w:numPr>
        <w:spacing w:after="0" w:line="276" w:lineRule="auto"/>
        <w:jc w:val="both"/>
        <w:rPr>
          <w:rFonts w:asciiTheme="minorHAnsi" w:hAnsiTheme="minorHAnsi" w:cstheme="minorHAnsi"/>
          <w:sz w:val="20"/>
          <w:szCs w:val="22"/>
        </w:rPr>
      </w:pPr>
      <w:r w:rsidRPr="004F5A6E">
        <w:rPr>
          <w:rFonts w:asciiTheme="minorHAnsi" w:hAnsiTheme="minorHAnsi" w:cstheme="minorHAnsi"/>
          <w:sz w:val="20"/>
          <w:szCs w:val="22"/>
        </w:rPr>
        <w:t>deutliche</w:t>
      </w:r>
      <w:r w:rsidR="00484ECA" w:rsidRPr="004F5A6E">
        <w:rPr>
          <w:rFonts w:asciiTheme="minorHAnsi" w:hAnsiTheme="minorHAnsi" w:cstheme="minorHAnsi"/>
          <w:sz w:val="20"/>
          <w:szCs w:val="22"/>
        </w:rPr>
        <w:t xml:space="preserve"> Nebenwirkungen der Kortikosteroidtherapie</w:t>
      </w:r>
    </w:p>
    <w:p w:rsidR="000A03AA" w:rsidRPr="00930395" w:rsidRDefault="000A03AA" w:rsidP="00236316">
      <w:pPr>
        <w:pStyle w:val="Textkrper-Einzug2"/>
        <w:spacing w:after="0" w:line="276" w:lineRule="auto"/>
        <w:ind w:left="0" w:firstLine="708"/>
        <w:jc w:val="both"/>
        <w:rPr>
          <w:rFonts w:asciiTheme="minorHAnsi" w:hAnsiTheme="minorHAnsi" w:cstheme="minorHAnsi"/>
          <w:sz w:val="20"/>
          <w:szCs w:val="22"/>
        </w:rPr>
      </w:pPr>
    </w:p>
    <w:p w:rsidR="00B90850" w:rsidRPr="004F5A6E" w:rsidRDefault="00236316" w:rsidP="0036219A">
      <w:pPr>
        <w:pStyle w:val="Textkrper-Einzug2"/>
        <w:spacing w:after="0" w:line="276" w:lineRule="auto"/>
        <w:ind w:left="0"/>
        <w:jc w:val="both"/>
        <w:rPr>
          <w:rFonts w:asciiTheme="minorHAnsi" w:hAnsiTheme="minorHAnsi" w:cstheme="minorHAnsi"/>
          <w:sz w:val="20"/>
          <w:szCs w:val="22"/>
        </w:rPr>
      </w:pPr>
      <w:r w:rsidRPr="004F5A6E">
        <w:rPr>
          <w:rFonts w:asciiTheme="minorHAnsi" w:hAnsiTheme="minorHAnsi" w:cstheme="minorHAnsi"/>
          <w:sz w:val="20"/>
          <w:szCs w:val="22"/>
        </w:rPr>
        <w:t>I</w:t>
      </w:r>
      <w:r w:rsidR="00484ECA" w:rsidRPr="004F5A6E">
        <w:rPr>
          <w:rFonts w:asciiTheme="minorHAnsi" w:hAnsiTheme="minorHAnsi" w:cstheme="minorHAnsi"/>
          <w:sz w:val="20"/>
          <w:szCs w:val="22"/>
        </w:rPr>
        <w:t xml:space="preserve">n der Leitlinie </w:t>
      </w:r>
      <w:r w:rsidR="00264ECF" w:rsidRPr="004F5A6E">
        <w:rPr>
          <w:rFonts w:asciiTheme="minorHAnsi" w:hAnsiTheme="minorHAnsi" w:cstheme="minorHAnsi"/>
          <w:sz w:val="20"/>
          <w:szCs w:val="22"/>
        </w:rPr>
        <w:t>ist die</w:t>
      </w:r>
      <w:r w:rsidR="00484ECA" w:rsidRPr="004F5A6E">
        <w:rPr>
          <w:rFonts w:asciiTheme="minorHAnsi" w:hAnsiTheme="minorHAnsi" w:cstheme="minorHAnsi"/>
          <w:sz w:val="20"/>
          <w:szCs w:val="22"/>
        </w:rPr>
        <w:t xml:space="preserve"> mögliche D</w:t>
      </w:r>
      <w:r w:rsidR="00264ECF" w:rsidRPr="004F5A6E">
        <w:rPr>
          <w:rFonts w:asciiTheme="minorHAnsi" w:hAnsiTheme="minorHAnsi" w:cstheme="minorHAnsi"/>
          <w:sz w:val="20"/>
          <w:szCs w:val="22"/>
        </w:rPr>
        <w:t>osisreduktion</w:t>
      </w:r>
      <w:r w:rsidR="00484ECA" w:rsidRPr="004F5A6E">
        <w:rPr>
          <w:rFonts w:asciiTheme="minorHAnsi" w:hAnsiTheme="minorHAnsi" w:cstheme="minorHAnsi"/>
          <w:sz w:val="20"/>
          <w:szCs w:val="22"/>
        </w:rPr>
        <w:t xml:space="preserve"> als Fußnote angegeben. </w:t>
      </w:r>
      <w:r w:rsidR="002C2915" w:rsidRPr="004F5A6E">
        <w:rPr>
          <w:rFonts w:asciiTheme="minorHAnsi" w:hAnsiTheme="minorHAnsi" w:cstheme="minorHAnsi"/>
          <w:sz w:val="20"/>
          <w:szCs w:val="22"/>
        </w:rPr>
        <w:t xml:space="preserve">Bei </w:t>
      </w:r>
      <w:r w:rsidR="00386D6E" w:rsidRPr="004F5A6E">
        <w:rPr>
          <w:rFonts w:asciiTheme="minorHAnsi" w:hAnsiTheme="minorHAnsi" w:cstheme="minorHAnsi"/>
          <w:sz w:val="20"/>
          <w:szCs w:val="22"/>
        </w:rPr>
        <w:t>einer</w:t>
      </w:r>
      <w:r w:rsidR="002C2915" w:rsidRPr="004F5A6E">
        <w:rPr>
          <w:rFonts w:asciiTheme="minorHAnsi" w:hAnsiTheme="minorHAnsi" w:cstheme="minorHAnsi"/>
          <w:sz w:val="20"/>
          <w:szCs w:val="22"/>
        </w:rPr>
        <w:t xml:space="preserve"> Dosisreduktion </w:t>
      </w:r>
      <w:r w:rsidR="00386D6E" w:rsidRPr="004F5A6E">
        <w:rPr>
          <w:rFonts w:asciiTheme="minorHAnsi" w:hAnsiTheme="minorHAnsi" w:cstheme="minorHAnsi"/>
          <w:sz w:val="20"/>
          <w:szCs w:val="22"/>
        </w:rPr>
        <w:t>sollten</w:t>
      </w:r>
      <w:r w:rsidR="002C2915" w:rsidRPr="004F5A6E">
        <w:rPr>
          <w:rFonts w:asciiTheme="minorHAnsi" w:hAnsiTheme="minorHAnsi" w:cstheme="minorHAnsi"/>
          <w:sz w:val="20"/>
          <w:szCs w:val="22"/>
        </w:rPr>
        <w:t xml:space="preserve"> auch individuelle Risikofaktoren für das Auftreten einer Chemotherapie-induzierten Übelkeit und Erbre</w:t>
      </w:r>
      <w:r w:rsidR="00386D6E" w:rsidRPr="004F5A6E">
        <w:rPr>
          <w:rFonts w:asciiTheme="minorHAnsi" w:hAnsiTheme="minorHAnsi" w:cstheme="minorHAnsi"/>
          <w:sz w:val="20"/>
          <w:szCs w:val="22"/>
        </w:rPr>
        <w:t>chen</w:t>
      </w:r>
      <w:r w:rsidR="002C2915" w:rsidRPr="004F5A6E">
        <w:rPr>
          <w:rFonts w:asciiTheme="minorHAnsi" w:hAnsiTheme="minorHAnsi" w:cstheme="minorHAnsi"/>
          <w:sz w:val="20"/>
          <w:szCs w:val="22"/>
        </w:rPr>
        <w:t xml:space="preserve"> </w:t>
      </w:r>
      <w:r w:rsidR="00386D6E" w:rsidRPr="004F5A6E">
        <w:rPr>
          <w:rFonts w:asciiTheme="minorHAnsi" w:hAnsiTheme="minorHAnsi" w:cstheme="minorHAnsi"/>
          <w:sz w:val="20"/>
          <w:szCs w:val="22"/>
        </w:rPr>
        <w:t>berücksichtigt werden</w:t>
      </w:r>
      <w:r w:rsidR="002C2915" w:rsidRPr="004F5A6E">
        <w:rPr>
          <w:rFonts w:asciiTheme="minorHAnsi" w:hAnsiTheme="minorHAnsi" w:cstheme="minorHAnsi"/>
          <w:sz w:val="20"/>
          <w:szCs w:val="22"/>
        </w:rPr>
        <w:t xml:space="preserve"> (</w:t>
      </w:r>
      <w:r w:rsidR="00936E0F" w:rsidRPr="004F5A6E">
        <w:rPr>
          <w:rFonts w:asciiTheme="minorHAnsi" w:hAnsiTheme="minorHAnsi" w:cstheme="minorHAnsi"/>
          <w:sz w:val="20"/>
          <w:szCs w:val="22"/>
        </w:rPr>
        <w:t>jüngere</w:t>
      </w:r>
      <w:r w:rsidR="002C2915" w:rsidRPr="004F5A6E">
        <w:rPr>
          <w:rFonts w:asciiTheme="minorHAnsi" w:hAnsiTheme="minorHAnsi" w:cstheme="minorHAnsi"/>
          <w:sz w:val="20"/>
          <w:szCs w:val="22"/>
        </w:rPr>
        <w:t>s</w:t>
      </w:r>
      <w:r w:rsidR="00936E0F" w:rsidRPr="004F5A6E">
        <w:rPr>
          <w:rFonts w:asciiTheme="minorHAnsi" w:hAnsiTheme="minorHAnsi" w:cstheme="minorHAnsi"/>
          <w:sz w:val="20"/>
          <w:szCs w:val="22"/>
        </w:rPr>
        <w:t xml:space="preserve"> Alter, Vorgeschichte von Übelkeit oder Erb</w:t>
      </w:r>
      <w:r w:rsidR="00386D6E" w:rsidRPr="004F5A6E">
        <w:rPr>
          <w:rFonts w:asciiTheme="minorHAnsi" w:hAnsiTheme="minorHAnsi" w:cstheme="minorHAnsi"/>
          <w:sz w:val="20"/>
          <w:szCs w:val="22"/>
        </w:rPr>
        <w:t xml:space="preserve">rechen in der Vergangenheit, </w:t>
      </w:r>
      <w:r w:rsidR="002C2915" w:rsidRPr="004F5A6E">
        <w:rPr>
          <w:rFonts w:asciiTheme="minorHAnsi" w:hAnsiTheme="minorHAnsi" w:cstheme="minorHAnsi"/>
          <w:sz w:val="20"/>
          <w:szCs w:val="22"/>
        </w:rPr>
        <w:t>z.</w:t>
      </w:r>
      <w:r w:rsidR="00936E0F" w:rsidRPr="004F5A6E">
        <w:rPr>
          <w:rFonts w:asciiTheme="minorHAnsi" w:hAnsiTheme="minorHAnsi" w:cstheme="minorHAnsi"/>
          <w:sz w:val="20"/>
          <w:szCs w:val="22"/>
        </w:rPr>
        <w:t xml:space="preserve">B. bei Schwangerschaft, </w:t>
      </w:r>
      <w:r w:rsidR="002C2915" w:rsidRPr="004F5A6E">
        <w:rPr>
          <w:rFonts w:asciiTheme="minorHAnsi" w:hAnsiTheme="minorHAnsi" w:cstheme="minorHAnsi"/>
          <w:sz w:val="20"/>
          <w:szCs w:val="22"/>
        </w:rPr>
        <w:t>Neigung zu Reisekrankheit oder vestibuläre Dysfunktion</w:t>
      </w:r>
      <w:r w:rsidR="00386D6E" w:rsidRPr="004F5A6E">
        <w:rPr>
          <w:rFonts w:asciiTheme="minorHAnsi" w:hAnsiTheme="minorHAnsi" w:cstheme="minorHAnsi"/>
          <w:sz w:val="20"/>
          <w:szCs w:val="22"/>
        </w:rPr>
        <w:t xml:space="preserve"> sowie ein</w:t>
      </w:r>
      <w:r w:rsidR="00936E0F" w:rsidRPr="004F5A6E">
        <w:rPr>
          <w:rFonts w:asciiTheme="minorHAnsi" w:hAnsiTheme="minorHAnsi" w:cstheme="minorHAnsi"/>
          <w:sz w:val="20"/>
          <w:szCs w:val="22"/>
        </w:rPr>
        <w:t xml:space="preserve"> </w:t>
      </w:r>
      <w:r w:rsidR="002C2915" w:rsidRPr="004F5A6E">
        <w:rPr>
          <w:rFonts w:asciiTheme="minorHAnsi" w:hAnsiTheme="minorHAnsi" w:cstheme="minorHAnsi"/>
          <w:sz w:val="20"/>
          <w:szCs w:val="22"/>
        </w:rPr>
        <w:t>erhöhtes Maß</w:t>
      </w:r>
      <w:r w:rsidR="00936E0F" w:rsidRPr="004F5A6E">
        <w:rPr>
          <w:rFonts w:asciiTheme="minorHAnsi" w:hAnsiTheme="minorHAnsi" w:cstheme="minorHAnsi"/>
          <w:sz w:val="20"/>
          <w:szCs w:val="22"/>
        </w:rPr>
        <w:t xml:space="preserve"> an Angst und Schmerz</w:t>
      </w:r>
      <w:r w:rsidR="00386D6E" w:rsidRPr="004F5A6E">
        <w:rPr>
          <w:rFonts w:asciiTheme="minorHAnsi" w:hAnsiTheme="minorHAnsi" w:cstheme="minorHAnsi"/>
          <w:sz w:val="20"/>
          <w:szCs w:val="22"/>
        </w:rPr>
        <w:t>)</w:t>
      </w:r>
      <w:r w:rsidR="002C2915" w:rsidRPr="004F5A6E">
        <w:rPr>
          <w:rFonts w:asciiTheme="minorHAnsi" w:hAnsiTheme="minorHAnsi" w:cstheme="minorHAnsi"/>
          <w:sz w:val="20"/>
          <w:szCs w:val="22"/>
        </w:rPr>
        <w:t>.</w:t>
      </w:r>
      <w:r w:rsidR="00936E0F" w:rsidRPr="004F5A6E">
        <w:rPr>
          <w:rFonts w:asciiTheme="minorHAnsi" w:hAnsiTheme="minorHAnsi" w:cstheme="minorHAnsi"/>
          <w:sz w:val="20"/>
          <w:szCs w:val="22"/>
        </w:rPr>
        <w:t xml:space="preserve"> </w:t>
      </w:r>
    </w:p>
    <w:p w:rsidR="0036219A" w:rsidRPr="00930395" w:rsidRDefault="0036219A" w:rsidP="0036219A">
      <w:pPr>
        <w:pStyle w:val="Textkrper-Einzug2"/>
        <w:spacing w:after="0" w:line="276" w:lineRule="auto"/>
        <w:ind w:left="0"/>
        <w:jc w:val="both"/>
        <w:rPr>
          <w:rFonts w:asciiTheme="minorHAnsi" w:hAnsiTheme="minorHAnsi" w:cstheme="minorHAnsi"/>
          <w:sz w:val="20"/>
          <w:szCs w:val="22"/>
          <w:highlight w:val="yellow"/>
        </w:rPr>
      </w:pPr>
    </w:p>
    <w:p w:rsidR="007F31F3" w:rsidRPr="00930395" w:rsidRDefault="00386D6E" w:rsidP="00484ECA">
      <w:pPr>
        <w:pStyle w:val="Textkrper-Einzug2"/>
        <w:spacing w:after="0" w:line="276" w:lineRule="auto"/>
        <w:ind w:left="0"/>
        <w:jc w:val="both"/>
        <w:rPr>
          <w:rFonts w:asciiTheme="minorHAnsi" w:hAnsiTheme="minorHAnsi" w:cstheme="minorHAnsi"/>
          <w:sz w:val="20"/>
          <w:szCs w:val="22"/>
        </w:rPr>
      </w:pPr>
      <w:r w:rsidRPr="004F5A6E">
        <w:rPr>
          <w:rFonts w:asciiTheme="minorHAnsi" w:hAnsiTheme="minorHAnsi" w:cstheme="minorHAnsi"/>
          <w:sz w:val="20"/>
          <w:szCs w:val="22"/>
        </w:rPr>
        <w:t>V</w:t>
      </w:r>
      <w:r w:rsidR="00484ECA" w:rsidRPr="004F5A6E">
        <w:rPr>
          <w:rFonts w:asciiTheme="minorHAnsi" w:hAnsiTheme="minorHAnsi" w:cstheme="minorHAnsi"/>
          <w:sz w:val="20"/>
          <w:szCs w:val="22"/>
        </w:rPr>
        <w:t>orhersagemodelle</w:t>
      </w:r>
      <w:r w:rsidRPr="004F5A6E">
        <w:rPr>
          <w:rFonts w:asciiTheme="minorHAnsi" w:hAnsiTheme="minorHAnsi" w:cstheme="minorHAnsi"/>
          <w:sz w:val="20"/>
          <w:szCs w:val="22"/>
        </w:rPr>
        <w:t xml:space="preserve"> für Übelkeit/Erbrechen </w:t>
      </w:r>
      <w:r w:rsidR="00484ECA" w:rsidRPr="004F5A6E">
        <w:rPr>
          <w:rFonts w:asciiTheme="minorHAnsi" w:hAnsiTheme="minorHAnsi" w:cstheme="minorHAnsi"/>
          <w:sz w:val="20"/>
          <w:szCs w:val="22"/>
        </w:rPr>
        <w:t>sind</w:t>
      </w:r>
      <w:r w:rsidRPr="004F5A6E">
        <w:rPr>
          <w:rFonts w:asciiTheme="minorHAnsi" w:hAnsiTheme="minorHAnsi" w:cstheme="minorHAnsi"/>
          <w:sz w:val="20"/>
          <w:szCs w:val="22"/>
        </w:rPr>
        <w:t xml:space="preserve"> derzeit nicht ausreichend</w:t>
      </w:r>
      <w:r w:rsidR="00484ECA" w:rsidRPr="004F5A6E">
        <w:rPr>
          <w:rFonts w:asciiTheme="minorHAnsi" w:hAnsiTheme="minorHAnsi" w:cstheme="minorHAnsi"/>
          <w:sz w:val="20"/>
          <w:szCs w:val="22"/>
        </w:rPr>
        <w:t xml:space="preserve"> validiert</w:t>
      </w:r>
      <w:r w:rsidRPr="004F5A6E">
        <w:rPr>
          <w:rFonts w:asciiTheme="minorHAnsi" w:hAnsiTheme="minorHAnsi" w:cstheme="minorHAnsi"/>
          <w:sz w:val="20"/>
          <w:szCs w:val="22"/>
        </w:rPr>
        <w:t>, um diese in der Leitlinie zu berücksichtigen.</w:t>
      </w:r>
      <w:r w:rsidR="00484ECA" w:rsidRPr="004F5A6E">
        <w:rPr>
          <w:rFonts w:asciiTheme="minorHAnsi" w:hAnsiTheme="minorHAnsi" w:cstheme="minorHAnsi"/>
          <w:sz w:val="20"/>
          <w:szCs w:val="22"/>
        </w:rPr>
        <w:t xml:space="preserve"> </w:t>
      </w:r>
    </w:p>
    <w:p w:rsidR="002C2915" w:rsidRPr="002C2915" w:rsidRDefault="002C2915" w:rsidP="007F31F3">
      <w:pPr>
        <w:pStyle w:val="Textkrper-Einzug2"/>
        <w:spacing w:after="0" w:line="276" w:lineRule="auto"/>
        <w:ind w:left="0"/>
        <w:jc w:val="both"/>
        <w:rPr>
          <w:rFonts w:asciiTheme="minorHAnsi" w:hAnsiTheme="minorHAnsi" w:cstheme="minorHAnsi"/>
          <w:szCs w:val="22"/>
          <w:highlight w:val="yellow"/>
        </w:rPr>
      </w:pPr>
    </w:p>
    <w:p w:rsidR="008E0D7C" w:rsidRDefault="008E0D7C">
      <w:pPr>
        <w:spacing w:line="240" w:lineRule="auto"/>
        <w:jc w:val="left"/>
        <w:rPr>
          <w:rFonts w:asciiTheme="minorHAnsi" w:hAnsiTheme="minorHAnsi" w:cstheme="minorHAnsi"/>
          <w:szCs w:val="22"/>
        </w:rPr>
      </w:pPr>
      <w:r>
        <w:rPr>
          <w:rFonts w:asciiTheme="minorHAnsi" w:hAnsiTheme="minorHAnsi" w:cstheme="minorHAnsi"/>
          <w:szCs w:val="22"/>
        </w:rPr>
        <w:br w:type="page"/>
      </w:r>
    </w:p>
    <w:p w:rsidR="006D4DAC" w:rsidRPr="00E344D4" w:rsidRDefault="009266F9" w:rsidP="009266F9">
      <w:pPr>
        <w:pStyle w:val="berschrift1"/>
      </w:pPr>
      <w:bookmarkStart w:id="4" w:name="_Toc58068444"/>
      <w:bookmarkStart w:id="5" w:name="_Toc367183617"/>
      <w:bookmarkStart w:id="6" w:name="_Toc367183855"/>
      <w:r>
        <w:lastRenderedPageBreak/>
        <w:t>2</w:t>
      </w:r>
      <w:r>
        <w:tab/>
      </w:r>
      <w:r w:rsidR="006D4DAC" w:rsidRPr="00E344D4">
        <w:t>Behandlungsplan</w:t>
      </w:r>
      <w:bookmarkEnd w:id="4"/>
      <w:r w:rsidR="006D4DAC" w:rsidRPr="00E344D4">
        <w:t xml:space="preserve"> </w:t>
      </w:r>
      <w:bookmarkEnd w:id="5"/>
      <w:bookmarkEnd w:id="6"/>
    </w:p>
    <w:p w:rsidR="00AA5099" w:rsidRPr="00AA5099" w:rsidRDefault="007C2C37" w:rsidP="00AA5099">
      <w:pPr>
        <w:pStyle w:val="berschrift2"/>
        <w:numPr>
          <w:ilvl w:val="0"/>
          <w:numId w:val="0"/>
        </w:numPr>
      </w:pPr>
      <w:bookmarkStart w:id="7" w:name="_Toc58068445"/>
      <w:r>
        <w:t>2.1</w:t>
      </w:r>
      <w:r w:rsidR="00AA5099">
        <w:t xml:space="preserve"> </w:t>
      </w:r>
      <w:r w:rsidR="00AA5099" w:rsidRPr="00AA5099">
        <w:t xml:space="preserve">Standardschema für </w:t>
      </w:r>
      <w:r w:rsidR="00B45D8B">
        <w:t xml:space="preserve">parenterale </w:t>
      </w:r>
      <w:r w:rsidR="00AA5099" w:rsidRPr="00AA5099">
        <w:t>medikamentöse Tumortherapie</w:t>
      </w:r>
      <w:bookmarkEnd w:id="7"/>
    </w:p>
    <w:p w:rsidR="007C2C37" w:rsidRDefault="007C2C37">
      <w:pPr>
        <w:spacing w:line="240" w:lineRule="auto"/>
        <w:jc w:val="left"/>
        <w:rPr>
          <w:rFonts w:asciiTheme="minorHAnsi" w:hAnsiTheme="minorHAnsi" w:cstheme="minorHAnsi"/>
          <w:sz w:val="20"/>
          <w:lang w:val="de-DE"/>
        </w:rPr>
      </w:pPr>
    </w:p>
    <w:p w:rsidR="0005627C" w:rsidRDefault="00000CD5">
      <w:pPr>
        <w:spacing w:line="240" w:lineRule="auto"/>
        <w:jc w:val="left"/>
        <w:rPr>
          <w:rFonts w:asciiTheme="minorHAnsi" w:hAnsiTheme="minorHAnsi" w:cstheme="minorHAnsi"/>
          <w:i/>
          <w:sz w:val="20"/>
          <w:lang w:val="de-DE"/>
        </w:rPr>
      </w:pPr>
      <w:r w:rsidRPr="00000CD5">
        <w:rPr>
          <w:noProof/>
          <w:lang w:eastAsia="de-AT"/>
        </w:rPr>
        <w:drawing>
          <wp:inline distT="0" distB="0" distL="0" distR="0" wp14:anchorId="5BF6D791" wp14:editId="0BC97E70">
            <wp:extent cx="5957570" cy="7683472"/>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7570" cy="7683472"/>
                    </a:xfrm>
                    <a:prstGeom prst="rect">
                      <a:avLst/>
                    </a:prstGeom>
                    <a:noFill/>
                    <a:ln>
                      <a:noFill/>
                    </a:ln>
                  </pic:spPr>
                </pic:pic>
              </a:graphicData>
            </a:graphic>
          </wp:inline>
        </w:drawing>
      </w:r>
      <w:r w:rsidR="0005627C">
        <w:rPr>
          <w:rFonts w:asciiTheme="minorHAnsi" w:hAnsiTheme="minorHAnsi" w:cstheme="minorHAnsi"/>
          <w:i/>
          <w:sz w:val="20"/>
          <w:lang w:val="de-DE"/>
        </w:rPr>
        <w:br w:type="page"/>
      </w:r>
    </w:p>
    <w:p w:rsidR="00013889" w:rsidRPr="000D2A3E" w:rsidRDefault="00013889" w:rsidP="00013889">
      <w:pPr>
        <w:pStyle w:val="berschrift2"/>
        <w:numPr>
          <w:ilvl w:val="0"/>
          <w:numId w:val="0"/>
        </w:numPr>
      </w:pPr>
      <w:bookmarkStart w:id="8" w:name="_Toc58068446"/>
      <w:r>
        <w:lastRenderedPageBreak/>
        <w:t xml:space="preserve">2.2 Antiemese bei </w:t>
      </w:r>
      <w:r w:rsidR="007A5909">
        <w:t>mehrtägigen, hocheme</w:t>
      </w:r>
      <w:r w:rsidR="00330662">
        <w:t>togenen Chemotherapien (</w:t>
      </w:r>
      <w:r>
        <w:t>3</w:t>
      </w:r>
      <w:r w:rsidR="00330662">
        <w:t>-7</w:t>
      </w:r>
      <w:r>
        <w:t xml:space="preserve"> Tage</w:t>
      </w:r>
      <w:r w:rsidR="00330662">
        <w:t>)</w:t>
      </w:r>
      <w:bookmarkEnd w:id="8"/>
    </w:p>
    <w:p w:rsidR="004D7087" w:rsidRDefault="004D7087" w:rsidP="00013889">
      <w:pPr>
        <w:pStyle w:val="Textkrper-Einzug2"/>
        <w:spacing w:after="0" w:line="276" w:lineRule="auto"/>
        <w:ind w:left="0"/>
        <w:jc w:val="both"/>
        <w:rPr>
          <w:rFonts w:asciiTheme="minorHAnsi" w:hAnsiTheme="minorHAnsi" w:cstheme="minorHAnsi"/>
          <w:sz w:val="20"/>
          <w:szCs w:val="22"/>
        </w:rPr>
      </w:pPr>
    </w:p>
    <w:p w:rsidR="004D7087" w:rsidRDefault="004D7087" w:rsidP="004D7087">
      <w:pPr>
        <w:pStyle w:val="Textkrper-Einzug2"/>
        <w:spacing w:after="0" w:line="276" w:lineRule="auto"/>
        <w:ind w:left="0"/>
        <w:jc w:val="both"/>
        <w:rPr>
          <w:rFonts w:asciiTheme="minorHAnsi" w:hAnsiTheme="minorHAnsi" w:cstheme="minorHAnsi"/>
          <w:sz w:val="20"/>
          <w:szCs w:val="22"/>
        </w:rPr>
      </w:pPr>
      <w:r w:rsidRPr="004D7087">
        <w:rPr>
          <w:rFonts w:asciiTheme="minorHAnsi" w:hAnsiTheme="minorHAnsi" w:cstheme="minorHAnsi"/>
          <w:sz w:val="20"/>
          <w:szCs w:val="22"/>
        </w:rPr>
        <w:t>Mehrtägige Chemotherapie</w:t>
      </w:r>
      <w:r>
        <w:rPr>
          <w:rFonts w:asciiTheme="minorHAnsi" w:hAnsiTheme="minorHAnsi" w:cstheme="minorHAnsi"/>
          <w:sz w:val="20"/>
          <w:szCs w:val="22"/>
        </w:rPr>
        <w:t xml:space="preserve"> </w:t>
      </w:r>
      <w:r w:rsidR="00330662">
        <w:rPr>
          <w:rFonts w:asciiTheme="minorHAnsi" w:hAnsiTheme="minorHAnsi" w:cstheme="minorHAnsi"/>
          <w:sz w:val="20"/>
          <w:szCs w:val="22"/>
        </w:rPr>
        <w:t>(in der Regel 3-7</w:t>
      </w:r>
      <w:r>
        <w:rPr>
          <w:rFonts w:asciiTheme="minorHAnsi" w:hAnsiTheme="minorHAnsi" w:cstheme="minorHAnsi"/>
          <w:sz w:val="20"/>
          <w:szCs w:val="22"/>
        </w:rPr>
        <w:t xml:space="preserve"> Tage</w:t>
      </w:r>
      <w:r w:rsidR="00330662">
        <w:rPr>
          <w:rFonts w:asciiTheme="minorHAnsi" w:hAnsiTheme="minorHAnsi" w:cstheme="minorHAnsi"/>
          <w:sz w:val="20"/>
          <w:szCs w:val="22"/>
        </w:rPr>
        <w:t>)</w:t>
      </w:r>
      <w:r w:rsidRPr="004D7087">
        <w:rPr>
          <w:rFonts w:asciiTheme="minorHAnsi" w:hAnsiTheme="minorHAnsi" w:cstheme="minorHAnsi"/>
          <w:sz w:val="20"/>
          <w:szCs w:val="22"/>
        </w:rPr>
        <w:t xml:space="preserve"> </w:t>
      </w:r>
      <w:r w:rsidR="00330662">
        <w:rPr>
          <w:rFonts w:asciiTheme="minorHAnsi" w:hAnsiTheme="minorHAnsi" w:cstheme="minorHAnsi"/>
          <w:sz w:val="20"/>
          <w:szCs w:val="22"/>
        </w:rPr>
        <w:t>beinhalten</w:t>
      </w:r>
      <w:r w:rsidRPr="004D7087">
        <w:rPr>
          <w:rFonts w:asciiTheme="minorHAnsi" w:hAnsiTheme="minorHAnsi" w:cstheme="minorHAnsi"/>
          <w:sz w:val="20"/>
          <w:szCs w:val="22"/>
        </w:rPr>
        <w:t xml:space="preserve"> </w:t>
      </w:r>
      <w:r>
        <w:rPr>
          <w:rFonts w:asciiTheme="minorHAnsi" w:hAnsiTheme="minorHAnsi" w:cstheme="minorHAnsi"/>
          <w:sz w:val="20"/>
          <w:szCs w:val="22"/>
        </w:rPr>
        <w:t xml:space="preserve">oftmals hochematogene </w:t>
      </w:r>
      <w:r w:rsidRPr="004D7087">
        <w:rPr>
          <w:rFonts w:asciiTheme="minorHAnsi" w:hAnsiTheme="minorHAnsi" w:cstheme="minorHAnsi"/>
          <w:sz w:val="20"/>
          <w:szCs w:val="22"/>
        </w:rPr>
        <w:t>Medikamente wie</w:t>
      </w:r>
      <w:r>
        <w:rPr>
          <w:rFonts w:asciiTheme="minorHAnsi" w:hAnsiTheme="minorHAnsi" w:cstheme="minorHAnsi"/>
          <w:sz w:val="20"/>
          <w:szCs w:val="22"/>
        </w:rPr>
        <w:t xml:space="preserve"> </w:t>
      </w:r>
      <w:r w:rsidRPr="004D7087">
        <w:rPr>
          <w:rFonts w:asciiTheme="minorHAnsi" w:hAnsiTheme="minorHAnsi" w:cstheme="minorHAnsi"/>
          <w:sz w:val="20"/>
          <w:szCs w:val="22"/>
        </w:rPr>
        <w:t>Cisplatin</w:t>
      </w:r>
      <w:r>
        <w:rPr>
          <w:rFonts w:asciiTheme="minorHAnsi" w:hAnsiTheme="minorHAnsi" w:cstheme="minorHAnsi"/>
          <w:sz w:val="20"/>
          <w:szCs w:val="22"/>
        </w:rPr>
        <w:t>, Dactinomycin, Dacarbazin und</w:t>
      </w:r>
      <w:r w:rsidRPr="004D7087">
        <w:rPr>
          <w:rFonts w:asciiTheme="minorHAnsi" w:hAnsiTheme="minorHAnsi" w:cstheme="minorHAnsi"/>
          <w:sz w:val="20"/>
          <w:szCs w:val="22"/>
        </w:rPr>
        <w:t xml:space="preserve"> Ifosfamid. </w:t>
      </w:r>
      <w:r w:rsidR="002F5532">
        <w:rPr>
          <w:rFonts w:asciiTheme="minorHAnsi" w:hAnsiTheme="minorHAnsi" w:cstheme="minorHAnsi"/>
          <w:sz w:val="20"/>
          <w:szCs w:val="22"/>
        </w:rPr>
        <w:t xml:space="preserve">Studien zu mehrtägiger Cisplatintherapie bei </w:t>
      </w:r>
      <w:r w:rsidR="002F5532" w:rsidRPr="004D7087">
        <w:rPr>
          <w:rFonts w:asciiTheme="minorHAnsi" w:hAnsiTheme="minorHAnsi" w:cstheme="minorHAnsi"/>
          <w:sz w:val="20"/>
          <w:szCs w:val="22"/>
        </w:rPr>
        <w:t xml:space="preserve">Keimzelltumoren </w:t>
      </w:r>
      <w:r w:rsidR="002F5532">
        <w:rPr>
          <w:rFonts w:asciiTheme="minorHAnsi" w:hAnsiTheme="minorHAnsi" w:cstheme="minorHAnsi"/>
          <w:sz w:val="20"/>
          <w:szCs w:val="22"/>
        </w:rPr>
        <w:t>zeigen</w:t>
      </w:r>
      <w:r w:rsidR="002F5532" w:rsidRPr="004D7087">
        <w:rPr>
          <w:rFonts w:asciiTheme="minorHAnsi" w:hAnsiTheme="minorHAnsi" w:cstheme="minorHAnsi"/>
          <w:sz w:val="20"/>
          <w:szCs w:val="22"/>
        </w:rPr>
        <w:t xml:space="preserve">, dass 5-HT3-RA plus Dexamethason </w:t>
      </w:r>
      <w:r w:rsidR="002F5532">
        <w:rPr>
          <w:rFonts w:asciiTheme="minorHAnsi" w:hAnsiTheme="minorHAnsi" w:cstheme="minorHAnsi"/>
          <w:sz w:val="20"/>
          <w:szCs w:val="22"/>
        </w:rPr>
        <w:t>nur bei 55</w:t>
      </w:r>
      <w:r w:rsidR="002F5532" w:rsidRPr="004D7087">
        <w:rPr>
          <w:rFonts w:ascii="Calibri" w:hAnsi="Calibri" w:cs="Calibri"/>
          <w:sz w:val="20"/>
          <w:szCs w:val="22"/>
        </w:rPr>
        <w:t>–</w:t>
      </w:r>
      <w:r w:rsidR="002F5532" w:rsidRPr="004D7087">
        <w:rPr>
          <w:rFonts w:asciiTheme="minorHAnsi" w:hAnsiTheme="minorHAnsi" w:cstheme="minorHAnsi"/>
          <w:sz w:val="20"/>
          <w:szCs w:val="22"/>
        </w:rPr>
        <w:t xml:space="preserve">83% </w:t>
      </w:r>
      <w:r w:rsidR="002F5532">
        <w:rPr>
          <w:rFonts w:asciiTheme="minorHAnsi" w:hAnsiTheme="minorHAnsi" w:cstheme="minorHAnsi"/>
          <w:sz w:val="20"/>
          <w:szCs w:val="22"/>
        </w:rPr>
        <w:t xml:space="preserve">der Patienten einen </w:t>
      </w:r>
      <w:r w:rsidR="002F5532" w:rsidRPr="004D7087">
        <w:rPr>
          <w:rFonts w:asciiTheme="minorHAnsi" w:hAnsiTheme="minorHAnsi" w:cstheme="minorHAnsi"/>
          <w:sz w:val="20"/>
          <w:szCs w:val="22"/>
        </w:rPr>
        <w:t>vollst</w:t>
      </w:r>
      <w:r w:rsidR="002F5532">
        <w:rPr>
          <w:rFonts w:asciiTheme="minorHAnsi" w:hAnsiTheme="minorHAnsi" w:cstheme="minorHAnsi"/>
          <w:sz w:val="20"/>
          <w:szCs w:val="22"/>
        </w:rPr>
        <w:t>ändigen Schutz vor Erbrechen bietet</w:t>
      </w:r>
      <w:r w:rsidR="002F5532" w:rsidRPr="004D7087">
        <w:rPr>
          <w:rFonts w:asciiTheme="minorHAnsi" w:hAnsiTheme="minorHAnsi" w:cstheme="minorHAnsi"/>
          <w:sz w:val="20"/>
          <w:szCs w:val="22"/>
        </w:rPr>
        <w:t>.</w:t>
      </w:r>
      <w:r w:rsidR="002F5532">
        <w:rPr>
          <w:rFonts w:asciiTheme="minorHAnsi" w:hAnsiTheme="minorHAnsi" w:cstheme="minorHAnsi"/>
          <w:sz w:val="20"/>
          <w:szCs w:val="22"/>
        </w:rPr>
        <w:t xml:space="preserve"> Der Schutz besteht vor allem in den </w:t>
      </w:r>
      <w:r w:rsidR="002F5532" w:rsidRPr="004D7087">
        <w:rPr>
          <w:rFonts w:asciiTheme="minorHAnsi" w:hAnsiTheme="minorHAnsi" w:cstheme="minorHAnsi"/>
          <w:sz w:val="20"/>
          <w:szCs w:val="22"/>
        </w:rPr>
        <w:t xml:space="preserve">ersten 3 </w:t>
      </w:r>
      <w:r w:rsidR="002F5532">
        <w:rPr>
          <w:rFonts w:asciiTheme="minorHAnsi" w:hAnsiTheme="minorHAnsi" w:cstheme="minorHAnsi"/>
          <w:sz w:val="20"/>
          <w:szCs w:val="22"/>
        </w:rPr>
        <w:t>Tagen, d</w:t>
      </w:r>
      <w:r w:rsidR="002F5532" w:rsidRPr="004D7087">
        <w:rPr>
          <w:rFonts w:asciiTheme="minorHAnsi" w:hAnsiTheme="minorHAnsi" w:cstheme="minorHAnsi"/>
          <w:sz w:val="20"/>
          <w:szCs w:val="22"/>
        </w:rPr>
        <w:t>ie schlimmst</w:t>
      </w:r>
      <w:r w:rsidR="002F5532">
        <w:rPr>
          <w:rFonts w:asciiTheme="minorHAnsi" w:hAnsiTheme="minorHAnsi" w:cstheme="minorHAnsi"/>
          <w:sz w:val="20"/>
          <w:szCs w:val="22"/>
        </w:rPr>
        <w:t>e Übelkeit tritt an den Tagen 4-</w:t>
      </w:r>
      <w:r w:rsidR="002F5532" w:rsidRPr="004D7087">
        <w:rPr>
          <w:rFonts w:asciiTheme="minorHAnsi" w:hAnsiTheme="minorHAnsi" w:cstheme="minorHAnsi"/>
          <w:sz w:val="20"/>
          <w:szCs w:val="22"/>
        </w:rPr>
        <w:t>8</w:t>
      </w:r>
      <w:r w:rsidR="002F5532">
        <w:rPr>
          <w:rFonts w:asciiTheme="minorHAnsi" w:hAnsiTheme="minorHAnsi" w:cstheme="minorHAnsi"/>
          <w:sz w:val="20"/>
          <w:szCs w:val="22"/>
        </w:rPr>
        <w:t xml:space="preserve"> auf</w:t>
      </w:r>
      <w:r w:rsidR="002F5532" w:rsidRPr="004D7087">
        <w:rPr>
          <w:rFonts w:asciiTheme="minorHAnsi" w:hAnsiTheme="minorHAnsi" w:cstheme="minorHAnsi"/>
          <w:sz w:val="20"/>
          <w:szCs w:val="22"/>
        </w:rPr>
        <w:t>.</w:t>
      </w:r>
      <w:r w:rsidR="002F5532">
        <w:rPr>
          <w:rFonts w:asciiTheme="minorHAnsi" w:hAnsiTheme="minorHAnsi" w:cstheme="minorHAnsi"/>
          <w:sz w:val="20"/>
          <w:szCs w:val="22"/>
        </w:rPr>
        <w:t xml:space="preserve"> Es gibt nur wenige </w:t>
      </w:r>
      <w:r>
        <w:rPr>
          <w:rFonts w:asciiTheme="minorHAnsi" w:hAnsiTheme="minorHAnsi" w:cstheme="minorHAnsi"/>
          <w:sz w:val="20"/>
          <w:szCs w:val="22"/>
        </w:rPr>
        <w:t>Studien</w:t>
      </w:r>
      <w:r w:rsidR="002F5532">
        <w:rPr>
          <w:rFonts w:asciiTheme="minorHAnsi" w:hAnsiTheme="minorHAnsi" w:cstheme="minorHAnsi"/>
          <w:sz w:val="20"/>
          <w:szCs w:val="22"/>
        </w:rPr>
        <w:t xml:space="preserve"> zur Antiemese</w:t>
      </w:r>
      <w:r>
        <w:rPr>
          <w:rFonts w:asciiTheme="minorHAnsi" w:hAnsiTheme="minorHAnsi" w:cstheme="minorHAnsi"/>
          <w:sz w:val="20"/>
          <w:szCs w:val="22"/>
        </w:rPr>
        <w:t xml:space="preserve"> </w:t>
      </w:r>
      <w:r w:rsidR="002F5532">
        <w:rPr>
          <w:rFonts w:asciiTheme="minorHAnsi" w:hAnsiTheme="minorHAnsi" w:cstheme="minorHAnsi"/>
          <w:sz w:val="20"/>
          <w:szCs w:val="22"/>
        </w:rPr>
        <w:t>mit mehrtägigen Chemotherapieprotokollen, die einen NK-1 Rezeptorantagonisten beinhalten</w:t>
      </w:r>
      <w:r w:rsidRPr="004D7087">
        <w:rPr>
          <w:rFonts w:asciiTheme="minorHAnsi" w:hAnsiTheme="minorHAnsi" w:cstheme="minorHAnsi"/>
          <w:sz w:val="20"/>
          <w:szCs w:val="22"/>
        </w:rPr>
        <w:t xml:space="preserve">. </w:t>
      </w:r>
      <w:r w:rsidR="002F5532">
        <w:rPr>
          <w:rFonts w:asciiTheme="minorHAnsi" w:hAnsiTheme="minorHAnsi" w:cstheme="minorHAnsi"/>
          <w:sz w:val="20"/>
          <w:szCs w:val="22"/>
        </w:rPr>
        <w:t>Es gibt keine Studien mit Olanzapin.</w:t>
      </w:r>
    </w:p>
    <w:p w:rsidR="004D7087" w:rsidRDefault="004D7087" w:rsidP="004D7087">
      <w:pPr>
        <w:pStyle w:val="Textkrper-Einzug2"/>
        <w:spacing w:after="0" w:line="276" w:lineRule="auto"/>
        <w:ind w:left="0"/>
        <w:jc w:val="both"/>
        <w:rPr>
          <w:rFonts w:asciiTheme="minorHAnsi" w:hAnsiTheme="minorHAnsi" w:cstheme="minorHAnsi"/>
          <w:sz w:val="20"/>
          <w:szCs w:val="22"/>
        </w:rPr>
      </w:pPr>
    </w:p>
    <w:p w:rsidR="00DC33C7" w:rsidRPr="00D20093" w:rsidRDefault="00DC33C7" w:rsidP="004D7087">
      <w:pPr>
        <w:pStyle w:val="Textkrper-Einzug2"/>
        <w:spacing w:after="0" w:line="276" w:lineRule="auto"/>
        <w:ind w:left="0"/>
        <w:jc w:val="both"/>
        <w:rPr>
          <w:rFonts w:asciiTheme="minorHAnsi" w:hAnsiTheme="minorHAnsi" w:cstheme="minorHAnsi"/>
          <w:sz w:val="18"/>
          <w:szCs w:val="22"/>
        </w:rPr>
      </w:pPr>
      <w:r w:rsidRPr="00D20093">
        <w:rPr>
          <w:rFonts w:asciiTheme="minorHAnsi" w:hAnsiTheme="minorHAnsi" w:cstheme="minorHAnsi"/>
          <w:sz w:val="18"/>
          <w:szCs w:val="22"/>
          <w:u w:val="single"/>
        </w:rPr>
        <w:t>Studiendatenlage:</w:t>
      </w:r>
      <w:r w:rsidRPr="00D20093">
        <w:rPr>
          <w:rFonts w:asciiTheme="minorHAnsi" w:hAnsiTheme="minorHAnsi" w:cstheme="minorHAnsi"/>
          <w:sz w:val="18"/>
          <w:szCs w:val="22"/>
        </w:rPr>
        <w:t xml:space="preserve"> </w:t>
      </w:r>
      <w:r w:rsidR="004D7087" w:rsidRPr="00D20093">
        <w:rPr>
          <w:rFonts w:asciiTheme="minorHAnsi" w:hAnsiTheme="minorHAnsi" w:cstheme="minorHAnsi"/>
          <w:sz w:val="18"/>
          <w:szCs w:val="22"/>
        </w:rPr>
        <w:t>E</w:t>
      </w:r>
      <w:r w:rsidR="002F5532" w:rsidRPr="00D20093">
        <w:rPr>
          <w:rFonts w:asciiTheme="minorHAnsi" w:hAnsiTheme="minorHAnsi" w:cstheme="minorHAnsi"/>
          <w:sz w:val="18"/>
          <w:szCs w:val="22"/>
        </w:rPr>
        <w:t xml:space="preserve">s gibt eine </w:t>
      </w:r>
      <w:r w:rsidR="004D7087" w:rsidRPr="00D20093">
        <w:rPr>
          <w:rFonts w:asciiTheme="minorHAnsi" w:hAnsiTheme="minorHAnsi" w:cstheme="minorHAnsi"/>
          <w:sz w:val="18"/>
          <w:szCs w:val="22"/>
        </w:rPr>
        <w:t xml:space="preserve">doppelblinde randomisierte Crossover-Studie </w:t>
      </w:r>
      <w:r w:rsidRPr="00D20093">
        <w:rPr>
          <w:rFonts w:asciiTheme="minorHAnsi" w:hAnsiTheme="minorHAnsi" w:cstheme="minorHAnsi"/>
          <w:sz w:val="18"/>
          <w:szCs w:val="22"/>
        </w:rPr>
        <w:t>bei</w:t>
      </w:r>
      <w:r w:rsidR="004D7087" w:rsidRPr="00D20093">
        <w:rPr>
          <w:rFonts w:asciiTheme="minorHAnsi" w:hAnsiTheme="minorHAnsi" w:cstheme="minorHAnsi"/>
          <w:sz w:val="18"/>
          <w:szCs w:val="22"/>
        </w:rPr>
        <w:t xml:space="preserve"> 69 </w:t>
      </w:r>
      <w:r w:rsidR="002F5532" w:rsidRPr="00D20093">
        <w:rPr>
          <w:rFonts w:asciiTheme="minorHAnsi" w:hAnsiTheme="minorHAnsi" w:cstheme="minorHAnsi"/>
          <w:sz w:val="18"/>
          <w:szCs w:val="22"/>
        </w:rPr>
        <w:t>P</w:t>
      </w:r>
      <w:r w:rsidR="004D7087" w:rsidRPr="00D20093">
        <w:rPr>
          <w:rFonts w:asciiTheme="minorHAnsi" w:hAnsiTheme="minorHAnsi" w:cstheme="minorHAnsi"/>
          <w:sz w:val="18"/>
          <w:szCs w:val="22"/>
        </w:rPr>
        <w:t>atienten</w:t>
      </w:r>
      <w:r w:rsidR="002F5532" w:rsidRPr="00D20093">
        <w:rPr>
          <w:rFonts w:asciiTheme="minorHAnsi" w:hAnsiTheme="minorHAnsi" w:cstheme="minorHAnsi"/>
          <w:sz w:val="18"/>
          <w:szCs w:val="22"/>
        </w:rPr>
        <w:t xml:space="preserve"> mit Keimzelltumoren</w:t>
      </w:r>
      <w:r w:rsidR="004D7087" w:rsidRPr="00D20093">
        <w:rPr>
          <w:rFonts w:asciiTheme="minorHAnsi" w:hAnsiTheme="minorHAnsi" w:cstheme="minorHAnsi"/>
          <w:sz w:val="18"/>
          <w:szCs w:val="22"/>
        </w:rPr>
        <w:t xml:space="preserve">, die </w:t>
      </w:r>
      <w:r w:rsidR="002F5532" w:rsidRPr="00D20093">
        <w:rPr>
          <w:rFonts w:asciiTheme="minorHAnsi" w:hAnsiTheme="minorHAnsi" w:cstheme="minorHAnsi"/>
          <w:sz w:val="18"/>
          <w:szCs w:val="22"/>
        </w:rPr>
        <w:t xml:space="preserve">eine </w:t>
      </w:r>
      <w:r w:rsidR="004D7087" w:rsidRPr="00D20093">
        <w:rPr>
          <w:rFonts w:asciiTheme="minorHAnsi" w:hAnsiTheme="minorHAnsi" w:cstheme="minorHAnsi"/>
          <w:sz w:val="18"/>
          <w:szCs w:val="22"/>
        </w:rPr>
        <w:t>Cisplatin-basiert</w:t>
      </w:r>
      <w:r w:rsidR="002F5532" w:rsidRPr="00D20093">
        <w:rPr>
          <w:rFonts w:asciiTheme="minorHAnsi" w:hAnsiTheme="minorHAnsi" w:cstheme="minorHAnsi"/>
          <w:sz w:val="18"/>
          <w:szCs w:val="22"/>
        </w:rPr>
        <w:t>e Chemotherapie über 5 Tage erhalten haben</w:t>
      </w:r>
      <w:r w:rsidRPr="00D20093">
        <w:rPr>
          <w:rFonts w:asciiTheme="minorHAnsi" w:hAnsiTheme="minorHAnsi" w:cstheme="minorHAnsi"/>
          <w:sz w:val="18"/>
          <w:szCs w:val="22"/>
        </w:rPr>
        <w:t xml:space="preserve"> (Albany et al, JCO 2012)</w:t>
      </w:r>
      <w:r w:rsidR="004D7087" w:rsidRPr="00D20093">
        <w:rPr>
          <w:rFonts w:asciiTheme="minorHAnsi" w:hAnsiTheme="minorHAnsi" w:cstheme="minorHAnsi"/>
          <w:sz w:val="18"/>
          <w:szCs w:val="22"/>
        </w:rPr>
        <w:t>. Alle Patienten erhielten eine</w:t>
      </w:r>
      <w:r w:rsidRPr="00D20093">
        <w:rPr>
          <w:rFonts w:asciiTheme="minorHAnsi" w:hAnsiTheme="minorHAnsi" w:cstheme="minorHAnsi"/>
          <w:sz w:val="18"/>
          <w:szCs w:val="22"/>
        </w:rPr>
        <w:t>n</w:t>
      </w:r>
      <w:r w:rsidR="004D7087" w:rsidRPr="00D20093">
        <w:rPr>
          <w:rFonts w:asciiTheme="minorHAnsi" w:hAnsiTheme="minorHAnsi" w:cstheme="minorHAnsi"/>
          <w:sz w:val="18"/>
          <w:szCs w:val="22"/>
        </w:rPr>
        <w:t xml:space="preserve"> 5-HT3-RA </w:t>
      </w:r>
      <w:r w:rsidRPr="00D20093">
        <w:rPr>
          <w:rFonts w:asciiTheme="minorHAnsi" w:hAnsiTheme="minorHAnsi" w:cstheme="minorHAnsi"/>
          <w:sz w:val="18"/>
          <w:szCs w:val="22"/>
        </w:rPr>
        <w:t xml:space="preserve">von Tag 1-5 </w:t>
      </w:r>
      <w:r w:rsidR="004D7087" w:rsidRPr="00D20093">
        <w:rPr>
          <w:rFonts w:asciiTheme="minorHAnsi" w:hAnsiTheme="minorHAnsi" w:cstheme="minorHAnsi"/>
          <w:sz w:val="18"/>
          <w:szCs w:val="22"/>
        </w:rPr>
        <w:t xml:space="preserve">und Dexamethason 20 mg an den ersten 2 Tagen der Chemotherapie. </w:t>
      </w:r>
      <w:r w:rsidRPr="00D20093">
        <w:rPr>
          <w:rFonts w:asciiTheme="minorHAnsi" w:hAnsiTheme="minorHAnsi" w:cstheme="minorHAnsi"/>
          <w:sz w:val="18"/>
          <w:szCs w:val="22"/>
        </w:rPr>
        <w:t>Anschließend</w:t>
      </w:r>
      <w:r w:rsidR="004D7087" w:rsidRPr="00D20093">
        <w:rPr>
          <w:rFonts w:asciiTheme="minorHAnsi" w:hAnsiTheme="minorHAnsi" w:cstheme="minorHAnsi"/>
          <w:sz w:val="18"/>
          <w:szCs w:val="22"/>
        </w:rPr>
        <w:t xml:space="preserve"> </w:t>
      </w:r>
      <w:r w:rsidRPr="00D20093">
        <w:rPr>
          <w:rFonts w:asciiTheme="minorHAnsi" w:hAnsiTheme="minorHAnsi" w:cstheme="minorHAnsi"/>
          <w:sz w:val="18"/>
          <w:szCs w:val="22"/>
        </w:rPr>
        <w:t xml:space="preserve">wurden </w:t>
      </w:r>
      <w:r w:rsidR="004D7087" w:rsidRPr="00D20093">
        <w:rPr>
          <w:rFonts w:asciiTheme="minorHAnsi" w:hAnsiTheme="minorHAnsi" w:cstheme="minorHAnsi"/>
          <w:sz w:val="18"/>
          <w:szCs w:val="22"/>
        </w:rPr>
        <w:t xml:space="preserve">die Patienten randomisiert auf Aprepitant 125 mg am Tag 3 und 80 mg am Tage 4–7 plus </w:t>
      </w:r>
      <w:r w:rsidRPr="00D20093">
        <w:rPr>
          <w:rFonts w:asciiTheme="minorHAnsi" w:hAnsiTheme="minorHAnsi" w:cstheme="minorHAnsi"/>
          <w:sz w:val="18"/>
          <w:szCs w:val="22"/>
        </w:rPr>
        <w:t xml:space="preserve">zweimal täglich 4 mg </w:t>
      </w:r>
      <w:r w:rsidR="004D7087" w:rsidRPr="00D20093">
        <w:rPr>
          <w:rFonts w:asciiTheme="minorHAnsi" w:hAnsiTheme="minorHAnsi" w:cstheme="minorHAnsi"/>
          <w:sz w:val="18"/>
          <w:szCs w:val="22"/>
        </w:rPr>
        <w:t xml:space="preserve">Dexamethason an den Tagen 6–8 oder Placebo an den Tagen 3–7 plus </w:t>
      </w:r>
      <w:r w:rsidRPr="00D20093">
        <w:rPr>
          <w:rFonts w:asciiTheme="minorHAnsi" w:hAnsiTheme="minorHAnsi" w:cstheme="minorHAnsi"/>
          <w:sz w:val="18"/>
          <w:szCs w:val="22"/>
        </w:rPr>
        <w:t xml:space="preserve">zweimal täglich 8 mg </w:t>
      </w:r>
      <w:r w:rsidR="004D7087" w:rsidRPr="00D20093">
        <w:rPr>
          <w:rFonts w:asciiTheme="minorHAnsi" w:hAnsiTheme="minorHAnsi" w:cstheme="minorHAnsi"/>
          <w:sz w:val="18"/>
          <w:szCs w:val="22"/>
        </w:rPr>
        <w:t xml:space="preserve">Dexamethason Tage 6–7 und </w:t>
      </w:r>
      <w:r w:rsidRPr="00D20093">
        <w:rPr>
          <w:rFonts w:asciiTheme="minorHAnsi" w:hAnsiTheme="minorHAnsi" w:cstheme="minorHAnsi"/>
          <w:sz w:val="18"/>
          <w:szCs w:val="22"/>
        </w:rPr>
        <w:t xml:space="preserve">zweimal täglich </w:t>
      </w:r>
      <w:r w:rsidR="004D7087" w:rsidRPr="00D20093">
        <w:rPr>
          <w:rFonts w:asciiTheme="minorHAnsi" w:hAnsiTheme="minorHAnsi" w:cstheme="minorHAnsi"/>
          <w:sz w:val="18"/>
          <w:szCs w:val="22"/>
        </w:rPr>
        <w:t xml:space="preserve">4 mg am Tag 8. </w:t>
      </w:r>
      <w:r w:rsidR="002F5532" w:rsidRPr="00D20093">
        <w:rPr>
          <w:rFonts w:asciiTheme="minorHAnsi" w:hAnsiTheme="minorHAnsi" w:cstheme="minorHAnsi"/>
          <w:sz w:val="18"/>
          <w:szCs w:val="22"/>
        </w:rPr>
        <w:t>Im Vergleich zu Plazebo konnte eine deutlich höhere Rate an vollständiger Symptomfreiheit</w:t>
      </w:r>
      <w:r w:rsidR="004D7087" w:rsidRPr="00D20093">
        <w:rPr>
          <w:rFonts w:asciiTheme="minorHAnsi" w:hAnsiTheme="minorHAnsi" w:cstheme="minorHAnsi"/>
          <w:sz w:val="18"/>
          <w:szCs w:val="22"/>
        </w:rPr>
        <w:t xml:space="preserve"> </w:t>
      </w:r>
      <w:r w:rsidR="002F5532" w:rsidRPr="00D20093">
        <w:rPr>
          <w:rFonts w:asciiTheme="minorHAnsi" w:hAnsiTheme="minorHAnsi" w:cstheme="minorHAnsi"/>
          <w:sz w:val="18"/>
          <w:szCs w:val="22"/>
        </w:rPr>
        <w:t>mit</w:t>
      </w:r>
      <w:r w:rsidR="004D7087" w:rsidRPr="00D20093">
        <w:rPr>
          <w:rFonts w:asciiTheme="minorHAnsi" w:hAnsiTheme="minorHAnsi" w:cstheme="minorHAnsi"/>
          <w:sz w:val="18"/>
          <w:szCs w:val="22"/>
        </w:rPr>
        <w:t xml:space="preserve"> </w:t>
      </w:r>
      <w:r w:rsidR="002F5532" w:rsidRPr="00D20093">
        <w:rPr>
          <w:rFonts w:asciiTheme="minorHAnsi" w:hAnsiTheme="minorHAnsi" w:cstheme="minorHAnsi"/>
          <w:sz w:val="18"/>
          <w:szCs w:val="22"/>
        </w:rPr>
        <w:t>A</w:t>
      </w:r>
      <w:r w:rsidR="004D7087" w:rsidRPr="00D20093">
        <w:rPr>
          <w:rFonts w:asciiTheme="minorHAnsi" w:hAnsiTheme="minorHAnsi" w:cstheme="minorHAnsi"/>
          <w:sz w:val="18"/>
          <w:szCs w:val="22"/>
        </w:rPr>
        <w:t xml:space="preserve">prepitant </w:t>
      </w:r>
      <w:r w:rsidR="002F5532" w:rsidRPr="00D20093">
        <w:rPr>
          <w:rFonts w:asciiTheme="minorHAnsi" w:hAnsiTheme="minorHAnsi" w:cstheme="minorHAnsi"/>
          <w:sz w:val="18"/>
          <w:szCs w:val="22"/>
        </w:rPr>
        <w:t>erreicht werden</w:t>
      </w:r>
      <w:r w:rsidR="004D7087" w:rsidRPr="00D20093">
        <w:rPr>
          <w:rFonts w:asciiTheme="minorHAnsi" w:hAnsiTheme="minorHAnsi" w:cstheme="minorHAnsi"/>
          <w:sz w:val="18"/>
          <w:szCs w:val="22"/>
        </w:rPr>
        <w:t xml:space="preserve"> (42% gegenüber 13% der Patienten). </w:t>
      </w:r>
      <w:r w:rsidR="002F5532" w:rsidRPr="00D20093">
        <w:rPr>
          <w:rFonts w:asciiTheme="minorHAnsi" w:hAnsiTheme="minorHAnsi" w:cstheme="minorHAnsi"/>
          <w:sz w:val="18"/>
          <w:szCs w:val="22"/>
        </w:rPr>
        <w:t xml:space="preserve">Ein- oder mehrmaliges Erbrechen war unter </w:t>
      </w:r>
      <w:r w:rsidR="004D7087" w:rsidRPr="00D20093">
        <w:rPr>
          <w:rFonts w:asciiTheme="minorHAnsi" w:hAnsiTheme="minorHAnsi" w:cstheme="minorHAnsi"/>
          <w:sz w:val="18"/>
          <w:szCs w:val="22"/>
        </w:rPr>
        <w:t xml:space="preserve"> </w:t>
      </w:r>
      <w:r w:rsidR="002F5532" w:rsidRPr="00D20093">
        <w:rPr>
          <w:rFonts w:asciiTheme="minorHAnsi" w:hAnsiTheme="minorHAnsi" w:cstheme="minorHAnsi"/>
          <w:sz w:val="18"/>
          <w:szCs w:val="22"/>
        </w:rPr>
        <w:t>Aprepitant ebenfalls deutlich verbessert (</w:t>
      </w:r>
      <w:r w:rsidR="004D7087" w:rsidRPr="00D20093">
        <w:rPr>
          <w:rFonts w:asciiTheme="minorHAnsi" w:hAnsiTheme="minorHAnsi" w:cstheme="minorHAnsi"/>
          <w:sz w:val="18"/>
          <w:szCs w:val="22"/>
        </w:rPr>
        <w:t xml:space="preserve">47% gegenüber 16%, P &lt;0,001). Die Toxizität wurde durch Aprepitant nicht erhöht. Bestätigende unterstützende Beweise mit Aprepitant wurden </w:t>
      </w:r>
      <w:r w:rsidRPr="00D20093">
        <w:rPr>
          <w:rFonts w:asciiTheme="minorHAnsi" w:hAnsiTheme="minorHAnsi" w:cstheme="minorHAnsi"/>
          <w:sz w:val="18"/>
          <w:szCs w:val="22"/>
        </w:rPr>
        <w:t xml:space="preserve">auch </w:t>
      </w:r>
      <w:r w:rsidR="004D7087" w:rsidRPr="00D20093">
        <w:rPr>
          <w:rFonts w:asciiTheme="minorHAnsi" w:hAnsiTheme="minorHAnsi" w:cstheme="minorHAnsi"/>
          <w:sz w:val="18"/>
          <w:szCs w:val="22"/>
        </w:rPr>
        <w:t xml:space="preserve">in Phase-II-Studien </w:t>
      </w:r>
      <w:r w:rsidRPr="00D20093">
        <w:rPr>
          <w:rFonts w:asciiTheme="minorHAnsi" w:hAnsiTheme="minorHAnsi" w:cstheme="minorHAnsi"/>
          <w:sz w:val="18"/>
          <w:szCs w:val="22"/>
        </w:rPr>
        <w:t>in Australien und Japan gesehen</w:t>
      </w:r>
      <w:r w:rsidR="00AB6554" w:rsidRPr="00D20093">
        <w:rPr>
          <w:rFonts w:asciiTheme="minorHAnsi" w:hAnsiTheme="minorHAnsi" w:cstheme="minorHAnsi"/>
          <w:sz w:val="18"/>
          <w:szCs w:val="22"/>
        </w:rPr>
        <w:t>, in denen Aprepitant bereits ab Tag 1 eingesetzt wurde</w:t>
      </w:r>
      <w:r w:rsidRPr="00D20093">
        <w:rPr>
          <w:rFonts w:asciiTheme="minorHAnsi" w:hAnsiTheme="minorHAnsi" w:cstheme="minorHAnsi"/>
          <w:sz w:val="18"/>
          <w:szCs w:val="22"/>
        </w:rPr>
        <w:t xml:space="preserve"> (Olver IN, Support Care Cancer 2013</w:t>
      </w:r>
      <w:r w:rsidR="00AB6554" w:rsidRPr="00D20093">
        <w:rPr>
          <w:rFonts w:asciiTheme="minorHAnsi" w:hAnsiTheme="minorHAnsi" w:cstheme="minorHAnsi"/>
          <w:sz w:val="18"/>
          <w:szCs w:val="22"/>
        </w:rPr>
        <w:t>; Hamada S, Support Care Cancer 2014).</w:t>
      </w:r>
      <w:r w:rsidR="004D7087" w:rsidRPr="00D20093">
        <w:rPr>
          <w:rFonts w:asciiTheme="minorHAnsi" w:hAnsiTheme="minorHAnsi" w:cstheme="minorHAnsi"/>
          <w:sz w:val="18"/>
          <w:szCs w:val="22"/>
        </w:rPr>
        <w:t xml:space="preserve"> </w:t>
      </w:r>
    </w:p>
    <w:p w:rsidR="00DC33C7" w:rsidRDefault="00DC33C7" w:rsidP="004D7087">
      <w:pPr>
        <w:pStyle w:val="Textkrper-Einzug2"/>
        <w:spacing w:after="0" w:line="276" w:lineRule="auto"/>
        <w:ind w:left="0"/>
        <w:jc w:val="both"/>
        <w:rPr>
          <w:rFonts w:asciiTheme="minorHAnsi" w:hAnsiTheme="minorHAnsi" w:cstheme="minorHAnsi"/>
          <w:sz w:val="20"/>
          <w:szCs w:val="22"/>
        </w:rPr>
      </w:pPr>
    </w:p>
    <w:p w:rsidR="007044C6" w:rsidRPr="00F21AD4" w:rsidRDefault="00DC33C7" w:rsidP="00013889">
      <w:pPr>
        <w:pStyle w:val="Textkrper-Einzug2"/>
        <w:spacing w:after="0" w:line="276" w:lineRule="auto"/>
        <w:ind w:left="0"/>
        <w:jc w:val="both"/>
        <w:rPr>
          <w:rFonts w:asciiTheme="minorHAnsi" w:hAnsiTheme="minorHAnsi" w:cstheme="minorHAnsi"/>
          <w:b/>
          <w:sz w:val="20"/>
          <w:szCs w:val="22"/>
          <w:u w:val="single"/>
        </w:rPr>
      </w:pPr>
      <w:r>
        <w:rPr>
          <w:rFonts w:asciiTheme="minorHAnsi" w:hAnsiTheme="minorHAnsi" w:cstheme="minorHAnsi"/>
          <w:b/>
          <w:sz w:val="20"/>
          <w:szCs w:val="22"/>
          <w:u w:val="single"/>
        </w:rPr>
        <w:t>Therapiep</w:t>
      </w:r>
      <w:r w:rsidR="007044C6" w:rsidRPr="00F21AD4">
        <w:rPr>
          <w:rFonts w:asciiTheme="minorHAnsi" w:hAnsiTheme="minorHAnsi" w:cstheme="minorHAnsi"/>
          <w:b/>
          <w:sz w:val="20"/>
          <w:szCs w:val="22"/>
          <w:u w:val="single"/>
        </w:rPr>
        <w:t>rotokolle</w:t>
      </w:r>
      <w:r>
        <w:rPr>
          <w:rFonts w:asciiTheme="minorHAnsi" w:hAnsiTheme="minorHAnsi" w:cstheme="minorHAnsi"/>
          <w:b/>
          <w:sz w:val="20"/>
          <w:szCs w:val="22"/>
          <w:u w:val="single"/>
        </w:rPr>
        <w:t xml:space="preserve"> mit hochematogenen Substanzen über 3-5 Tage</w:t>
      </w:r>
    </w:p>
    <w:p w:rsidR="00DC33C7" w:rsidRDefault="00DC33C7" w:rsidP="00DC33C7">
      <w:pPr>
        <w:pStyle w:val="Textkrper-Einzug2"/>
        <w:spacing w:after="0" w:line="276" w:lineRule="auto"/>
        <w:ind w:left="0"/>
        <w:jc w:val="both"/>
        <w:rPr>
          <w:rFonts w:asciiTheme="minorHAnsi" w:hAnsiTheme="minorHAnsi" w:cstheme="minorHAnsi"/>
          <w:sz w:val="20"/>
          <w:szCs w:val="22"/>
        </w:rPr>
      </w:pPr>
      <w:r>
        <w:rPr>
          <w:rFonts w:asciiTheme="minorHAnsi" w:hAnsiTheme="minorHAnsi" w:cstheme="minorHAnsi"/>
          <w:sz w:val="20"/>
          <w:szCs w:val="22"/>
        </w:rPr>
        <w:t>Nachdem unklar ist, ob die in Studien</w:t>
      </w:r>
      <w:r w:rsidR="00AB6554">
        <w:rPr>
          <w:rFonts w:asciiTheme="minorHAnsi" w:hAnsiTheme="minorHAnsi" w:cstheme="minorHAnsi"/>
          <w:sz w:val="20"/>
          <w:szCs w:val="22"/>
        </w:rPr>
        <w:t xml:space="preserve"> mit 5-HT3 RA und Dexamethason</w:t>
      </w:r>
      <w:r>
        <w:rPr>
          <w:rFonts w:asciiTheme="minorHAnsi" w:hAnsiTheme="minorHAnsi" w:cstheme="minorHAnsi"/>
          <w:sz w:val="20"/>
          <w:szCs w:val="22"/>
        </w:rPr>
        <w:t xml:space="preserve"> </w:t>
      </w:r>
      <w:r w:rsidR="00AB6554">
        <w:rPr>
          <w:rFonts w:asciiTheme="minorHAnsi" w:hAnsiTheme="minorHAnsi" w:cstheme="minorHAnsi"/>
          <w:sz w:val="20"/>
          <w:szCs w:val="22"/>
        </w:rPr>
        <w:t xml:space="preserve">beobachtete </w:t>
      </w:r>
      <w:r>
        <w:rPr>
          <w:rFonts w:asciiTheme="minorHAnsi" w:hAnsiTheme="minorHAnsi" w:cstheme="minorHAnsi"/>
          <w:sz w:val="20"/>
          <w:szCs w:val="22"/>
        </w:rPr>
        <w:t xml:space="preserve">hohe Rate an Nausea/Emesis ab Tag 4 durch eine „delayed emesis“ der Chemotherapie an Tag 1-3 bedingt ist und keine zusätzliche Toxizität durch Aprepitant aufgetreten ist, wird </w:t>
      </w:r>
      <w:r w:rsidR="00AB6554">
        <w:rPr>
          <w:rFonts w:asciiTheme="minorHAnsi" w:hAnsiTheme="minorHAnsi" w:cstheme="minorHAnsi"/>
          <w:sz w:val="20"/>
          <w:szCs w:val="22"/>
        </w:rPr>
        <w:t xml:space="preserve">auch aus Praktikabilitätsgründen in der aktuellen Leitlinie </w:t>
      </w:r>
      <w:r>
        <w:rPr>
          <w:rFonts w:asciiTheme="minorHAnsi" w:hAnsiTheme="minorHAnsi" w:cstheme="minorHAnsi"/>
          <w:sz w:val="20"/>
          <w:szCs w:val="22"/>
        </w:rPr>
        <w:t xml:space="preserve">Aprepitant ab Tag 1 und </w:t>
      </w:r>
      <w:r w:rsidR="00DA275D">
        <w:rPr>
          <w:rFonts w:asciiTheme="minorHAnsi" w:hAnsiTheme="minorHAnsi" w:cstheme="minorHAnsi"/>
          <w:sz w:val="20"/>
          <w:szCs w:val="22"/>
        </w:rPr>
        <w:t>eine verminderte</w:t>
      </w:r>
      <w:r w:rsidR="00AB6554">
        <w:rPr>
          <w:rFonts w:asciiTheme="minorHAnsi" w:hAnsiTheme="minorHAnsi" w:cstheme="minorHAnsi"/>
          <w:sz w:val="20"/>
          <w:szCs w:val="22"/>
        </w:rPr>
        <w:t xml:space="preserve"> Dexamethasondosis an den Tagen 1und 2 </w:t>
      </w:r>
      <w:r w:rsidR="00DA275D">
        <w:rPr>
          <w:rFonts w:asciiTheme="minorHAnsi" w:hAnsiTheme="minorHAnsi" w:cstheme="minorHAnsi"/>
          <w:sz w:val="20"/>
          <w:szCs w:val="22"/>
        </w:rPr>
        <w:t>als Standard vorgeschlagen</w:t>
      </w:r>
      <w:r w:rsidR="00AB6554">
        <w:rPr>
          <w:rFonts w:asciiTheme="minorHAnsi" w:hAnsiTheme="minorHAnsi" w:cstheme="minorHAnsi"/>
          <w:sz w:val="20"/>
          <w:szCs w:val="22"/>
        </w:rPr>
        <w:t>.</w:t>
      </w:r>
      <w:r w:rsidR="00D20093">
        <w:rPr>
          <w:rFonts w:asciiTheme="minorHAnsi" w:hAnsiTheme="minorHAnsi" w:cstheme="minorHAnsi"/>
          <w:sz w:val="20"/>
          <w:szCs w:val="22"/>
        </w:rPr>
        <w:t xml:space="preserve"> Da zu Netupitant-Palonosetrin kaum Daten verfügbar sind, ist Aprepitant den Vorzug zu geben.</w:t>
      </w:r>
    </w:p>
    <w:p w:rsidR="00DA275D" w:rsidRDefault="00DA275D" w:rsidP="00DC33C7">
      <w:pPr>
        <w:pStyle w:val="Textkrper-Einzug2"/>
        <w:spacing w:after="0" w:line="276" w:lineRule="auto"/>
        <w:ind w:left="0"/>
        <w:jc w:val="both"/>
        <w:rPr>
          <w:rFonts w:asciiTheme="minorHAnsi" w:hAnsiTheme="minorHAnsi" w:cstheme="minorHAnsi"/>
          <w:sz w:val="20"/>
          <w:szCs w:val="22"/>
        </w:rPr>
      </w:pPr>
    </w:p>
    <w:p w:rsidR="00DC33C7" w:rsidRPr="00DA275D" w:rsidRDefault="00DA275D" w:rsidP="00DA275D">
      <w:pPr>
        <w:pStyle w:val="Textkrper-Einzug2"/>
        <w:pBdr>
          <w:top w:val="single" w:sz="4" w:space="1" w:color="auto"/>
          <w:left w:val="single" w:sz="4" w:space="4" w:color="auto"/>
          <w:bottom w:val="single" w:sz="4" w:space="1" w:color="auto"/>
          <w:right w:val="single" w:sz="4" w:space="4" w:color="auto"/>
        </w:pBdr>
        <w:spacing w:after="0" w:line="276" w:lineRule="auto"/>
        <w:ind w:left="0"/>
        <w:jc w:val="both"/>
        <w:rPr>
          <w:rFonts w:asciiTheme="minorHAnsi" w:hAnsiTheme="minorHAnsi" w:cstheme="minorHAnsi"/>
          <w:b/>
          <w:sz w:val="20"/>
          <w:szCs w:val="22"/>
          <w:u w:val="single"/>
        </w:rPr>
      </w:pPr>
      <w:r w:rsidRPr="00DA275D">
        <w:rPr>
          <w:rFonts w:asciiTheme="minorHAnsi" w:hAnsiTheme="minorHAnsi" w:cstheme="minorHAnsi"/>
          <w:b/>
          <w:sz w:val="20"/>
          <w:szCs w:val="22"/>
          <w:u w:val="single"/>
        </w:rPr>
        <w:t>Die Empfehlung lautet:</w:t>
      </w:r>
    </w:p>
    <w:p w:rsidR="00DA275D" w:rsidRDefault="00DA275D" w:rsidP="00DA275D">
      <w:pPr>
        <w:pStyle w:val="Textkrper-Einzug2"/>
        <w:pBdr>
          <w:top w:val="single" w:sz="4" w:space="1" w:color="auto"/>
          <w:left w:val="single" w:sz="4" w:space="4" w:color="auto"/>
          <w:bottom w:val="single" w:sz="4" w:space="1" w:color="auto"/>
          <w:right w:val="single" w:sz="4" w:space="4" w:color="auto"/>
        </w:pBdr>
        <w:spacing w:after="0" w:line="276" w:lineRule="auto"/>
        <w:ind w:left="0"/>
        <w:jc w:val="both"/>
        <w:rPr>
          <w:rFonts w:asciiTheme="minorHAnsi" w:hAnsiTheme="minorHAnsi" w:cstheme="minorHAnsi"/>
          <w:sz w:val="20"/>
          <w:szCs w:val="22"/>
        </w:rPr>
      </w:pPr>
      <w:r>
        <w:rPr>
          <w:rFonts w:asciiTheme="minorHAnsi" w:hAnsiTheme="minorHAnsi" w:cstheme="minorHAnsi"/>
          <w:sz w:val="20"/>
          <w:szCs w:val="22"/>
        </w:rPr>
        <w:t>Aprepitant 125 mg an Tag 1, dann 80 mg po/Tag ab Tag 2 bis 2 Tage nach Ende der Chemotherapie</w:t>
      </w:r>
    </w:p>
    <w:p w:rsidR="00416A25" w:rsidRDefault="00416A25" w:rsidP="00DA275D">
      <w:pPr>
        <w:pStyle w:val="Textkrper-Einzug2"/>
        <w:pBdr>
          <w:top w:val="single" w:sz="4" w:space="1" w:color="auto"/>
          <w:left w:val="single" w:sz="4" w:space="4" w:color="auto"/>
          <w:bottom w:val="single" w:sz="4" w:space="1" w:color="auto"/>
          <w:right w:val="single" w:sz="4" w:space="4" w:color="auto"/>
        </w:pBdr>
        <w:spacing w:after="0" w:line="276" w:lineRule="auto"/>
        <w:ind w:left="0"/>
        <w:jc w:val="both"/>
        <w:rPr>
          <w:rFonts w:asciiTheme="minorHAnsi" w:hAnsiTheme="minorHAnsi" w:cstheme="minorHAnsi"/>
          <w:sz w:val="20"/>
          <w:szCs w:val="22"/>
        </w:rPr>
      </w:pPr>
      <w:r>
        <w:rPr>
          <w:rFonts w:asciiTheme="minorHAnsi" w:hAnsiTheme="minorHAnsi" w:cstheme="minorHAnsi"/>
          <w:sz w:val="20"/>
          <w:szCs w:val="22"/>
        </w:rPr>
        <w:t>Dexamethason 12 mg an Tag 1, gefolgt von 8 mg/Tag an den Tagen der Chemotherapie</w:t>
      </w:r>
    </w:p>
    <w:p w:rsidR="00416A25" w:rsidRDefault="00416A25" w:rsidP="00DA275D">
      <w:pPr>
        <w:pStyle w:val="Textkrper-Einzug2"/>
        <w:pBdr>
          <w:top w:val="single" w:sz="4" w:space="1" w:color="auto"/>
          <w:left w:val="single" w:sz="4" w:space="4" w:color="auto"/>
          <w:bottom w:val="single" w:sz="4" w:space="1" w:color="auto"/>
          <w:right w:val="single" w:sz="4" w:space="4" w:color="auto"/>
        </w:pBdr>
        <w:spacing w:after="0" w:line="276" w:lineRule="auto"/>
        <w:ind w:left="0"/>
        <w:jc w:val="both"/>
        <w:rPr>
          <w:rFonts w:asciiTheme="minorHAnsi" w:hAnsiTheme="minorHAnsi" w:cstheme="minorHAnsi"/>
          <w:sz w:val="20"/>
          <w:szCs w:val="22"/>
        </w:rPr>
      </w:pPr>
      <w:r>
        <w:rPr>
          <w:rFonts w:asciiTheme="minorHAnsi" w:hAnsiTheme="minorHAnsi" w:cstheme="minorHAnsi"/>
          <w:sz w:val="20"/>
          <w:szCs w:val="22"/>
        </w:rPr>
        <w:t>5HT3-Antagonist an den Tagen der Chemotherapie</w:t>
      </w:r>
    </w:p>
    <w:p w:rsidR="00DA275D" w:rsidRDefault="00DA275D" w:rsidP="00DA275D">
      <w:pPr>
        <w:pStyle w:val="Textkrper-Einzug2"/>
        <w:pBdr>
          <w:top w:val="single" w:sz="4" w:space="1" w:color="auto"/>
          <w:left w:val="single" w:sz="4" w:space="4" w:color="auto"/>
          <w:bottom w:val="single" w:sz="4" w:space="1" w:color="auto"/>
          <w:right w:val="single" w:sz="4" w:space="4" w:color="auto"/>
        </w:pBdr>
        <w:spacing w:after="0" w:line="276" w:lineRule="auto"/>
        <w:ind w:left="0"/>
        <w:jc w:val="both"/>
        <w:rPr>
          <w:rFonts w:asciiTheme="minorHAnsi" w:hAnsiTheme="minorHAnsi" w:cstheme="minorHAnsi"/>
          <w:sz w:val="20"/>
          <w:szCs w:val="22"/>
        </w:rPr>
      </w:pPr>
      <w:r>
        <w:rPr>
          <w:rFonts w:asciiTheme="minorHAnsi" w:hAnsiTheme="minorHAnsi" w:cstheme="minorHAnsi"/>
          <w:sz w:val="20"/>
          <w:szCs w:val="22"/>
        </w:rPr>
        <w:t>Protonenpumpenhemmer (oder H2-Blocker) über 7 Tage</w:t>
      </w:r>
    </w:p>
    <w:p w:rsidR="00416A25" w:rsidRDefault="00416A25" w:rsidP="007044C6">
      <w:pPr>
        <w:pStyle w:val="Textkrper-Einzug2"/>
        <w:spacing w:after="0" w:line="276" w:lineRule="auto"/>
        <w:ind w:left="720"/>
        <w:jc w:val="both"/>
        <w:rPr>
          <w:rFonts w:asciiTheme="minorHAnsi" w:hAnsiTheme="minorHAnsi" w:cstheme="minorHAnsi"/>
          <w:sz w:val="20"/>
          <w:szCs w:val="22"/>
        </w:rPr>
      </w:pPr>
    </w:p>
    <w:p w:rsidR="00DA275D" w:rsidRPr="00DA275D" w:rsidRDefault="00DA275D" w:rsidP="00DC33C7">
      <w:pPr>
        <w:pStyle w:val="Textkrper-Einzug2"/>
        <w:spacing w:after="0" w:line="276" w:lineRule="auto"/>
        <w:ind w:left="0"/>
        <w:jc w:val="both"/>
        <w:rPr>
          <w:rFonts w:asciiTheme="minorHAnsi" w:hAnsiTheme="minorHAnsi" w:cstheme="minorHAnsi"/>
          <w:sz w:val="20"/>
          <w:szCs w:val="22"/>
          <w:u w:val="single"/>
        </w:rPr>
      </w:pPr>
      <w:r w:rsidRPr="00DA275D">
        <w:rPr>
          <w:rFonts w:asciiTheme="minorHAnsi" w:hAnsiTheme="minorHAnsi" w:cstheme="minorHAnsi"/>
          <w:sz w:val="20"/>
          <w:szCs w:val="22"/>
          <w:u w:val="single"/>
        </w:rPr>
        <w:t>Breakthrough-Therapie:</w:t>
      </w:r>
    </w:p>
    <w:p w:rsidR="00DA275D" w:rsidRDefault="00DA275D" w:rsidP="00DA275D">
      <w:pPr>
        <w:pStyle w:val="Textkrper-Einzug2"/>
        <w:spacing w:after="0" w:line="276" w:lineRule="auto"/>
        <w:jc w:val="both"/>
        <w:rPr>
          <w:rFonts w:asciiTheme="minorHAnsi" w:hAnsiTheme="minorHAnsi" w:cstheme="minorHAnsi"/>
          <w:sz w:val="20"/>
          <w:szCs w:val="22"/>
        </w:rPr>
      </w:pPr>
      <w:r>
        <w:rPr>
          <w:rFonts w:asciiTheme="minorHAnsi" w:hAnsiTheme="minorHAnsi" w:cstheme="minorHAnsi"/>
          <w:sz w:val="20"/>
          <w:szCs w:val="22"/>
        </w:rPr>
        <w:t>1. Wahl: Olanzapin 10 mg po, in der Regel bis 2 Tage nach Ende der Chemotherapie</w:t>
      </w:r>
    </w:p>
    <w:p w:rsidR="00DA275D" w:rsidRPr="00DA275D" w:rsidRDefault="00DA275D" w:rsidP="00DA275D">
      <w:pPr>
        <w:pStyle w:val="Textkrper-Einzug2"/>
        <w:spacing w:after="0" w:line="276" w:lineRule="auto"/>
        <w:jc w:val="both"/>
        <w:rPr>
          <w:rFonts w:asciiTheme="minorHAnsi" w:hAnsiTheme="minorHAnsi" w:cstheme="minorHAnsi"/>
          <w:sz w:val="20"/>
          <w:szCs w:val="22"/>
        </w:rPr>
      </w:pPr>
      <w:r w:rsidRPr="00DA275D">
        <w:rPr>
          <w:rFonts w:asciiTheme="minorHAnsi" w:hAnsiTheme="minorHAnsi" w:cstheme="minorHAnsi"/>
          <w:sz w:val="20"/>
          <w:szCs w:val="22"/>
        </w:rPr>
        <w:t>2. Wahl: Metoclopramid 0,5 mg/kg bis max 30 mg/Tag (typische Dosierung 3 x 10 mg iv oder po; max. 5 Tage)</w:t>
      </w:r>
    </w:p>
    <w:p w:rsidR="00DA275D" w:rsidRPr="008527BA" w:rsidRDefault="00DA275D" w:rsidP="00DA275D">
      <w:pPr>
        <w:pStyle w:val="Textkrper-Einzug2"/>
        <w:spacing w:line="276" w:lineRule="auto"/>
        <w:jc w:val="both"/>
        <w:rPr>
          <w:rFonts w:asciiTheme="minorHAnsi" w:hAnsiTheme="minorHAnsi" w:cstheme="minorHAnsi"/>
          <w:sz w:val="20"/>
          <w:szCs w:val="22"/>
          <w:lang w:val="en-GB"/>
        </w:rPr>
      </w:pPr>
      <w:r w:rsidRPr="008527BA">
        <w:rPr>
          <w:rFonts w:asciiTheme="minorHAnsi" w:hAnsiTheme="minorHAnsi" w:cstheme="minorHAnsi"/>
          <w:sz w:val="20"/>
          <w:szCs w:val="22"/>
          <w:lang w:val="en-GB"/>
        </w:rPr>
        <w:t>3. Wahl: Haloperidol initial 1-3 x 1 mg p.o. (seit 12/2017 off label use)</w:t>
      </w:r>
    </w:p>
    <w:p w:rsidR="00DA275D" w:rsidRPr="00DA275D" w:rsidRDefault="00DA275D" w:rsidP="00DA275D">
      <w:pPr>
        <w:pStyle w:val="Textkrper-Einzug2"/>
        <w:spacing w:line="276" w:lineRule="auto"/>
        <w:ind w:left="0"/>
        <w:jc w:val="both"/>
        <w:rPr>
          <w:rFonts w:asciiTheme="minorHAnsi" w:hAnsiTheme="minorHAnsi" w:cstheme="minorHAnsi"/>
          <w:sz w:val="20"/>
          <w:szCs w:val="22"/>
          <w:u w:val="single"/>
        </w:rPr>
      </w:pPr>
      <w:r w:rsidRPr="00DA275D">
        <w:rPr>
          <w:rFonts w:asciiTheme="minorHAnsi" w:hAnsiTheme="minorHAnsi" w:cstheme="minorHAnsi"/>
          <w:sz w:val="20"/>
          <w:szCs w:val="22"/>
          <w:u w:val="single"/>
        </w:rPr>
        <w:t xml:space="preserve">Therapiemöglichkeiten </w:t>
      </w:r>
      <w:r>
        <w:rPr>
          <w:rFonts w:asciiTheme="minorHAnsi" w:hAnsiTheme="minorHAnsi" w:cstheme="minorHAnsi"/>
          <w:sz w:val="20"/>
          <w:szCs w:val="22"/>
          <w:u w:val="single"/>
        </w:rPr>
        <w:t>im Folgezyklus</w:t>
      </w:r>
    </w:p>
    <w:p w:rsidR="00DA275D" w:rsidRPr="00DA275D" w:rsidRDefault="00DA275D" w:rsidP="00DA275D">
      <w:pPr>
        <w:pStyle w:val="Textkrper-Einzug2"/>
        <w:spacing w:after="0" w:line="276" w:lineRule="auto"/>
        <w:jc w:val="both"/>
        <w:rPr>
          <w:rFonts w:asciiTheme="minorHAnsi" w:hAnsiTheme="minorHAnsi" w:cstheme="minorHAnsi"/>
          <w:sz w:val="20"/>
          <w:szCs w:val="22"/>
        </w:rPr>
      </w:pPr>
      <w:r w:rsidRPr="00DA275D">
        <w:rPr>
          <w:rFonts w:asciiTheme="minorHAnsi" w:hAnsiTheme="minorHAnsi" w:cstheme="minorHAnsi"/>
          <w:sz w:val="20"/>
          <w:szCs w:val="22"/>
        </w:rPr>
        <w:t xml:space="preserve">Für die Behandlung von Patienten mit rezidivierendem Erbrechen trotz leitliniengerechter, maximaler Prophylaxe gibt es nur wenige randomisierte Studien mit relativ kleinen Patientenzahlen. Angewandt können: </w:t>
      </w:r>
    </w:p>
    <w:p w:rsidR="00DA275D" w:rsidRDefault="00DA275D" w:rsidP="00DA275D">
      <w:pPr>
        <w:pStyle w:val="Textkrper-Einzug2"/>
        <w:numPr>
          <w:ilvl w:val="0"/>
          <w:numId w:val="34"/>
        </w:numPr>
        <w:spacing w:after="0" w:line="276" w:lineRule="auto"/>
        <w:jc w:val="both"/>
        <w:rPr>
          <w:rFonts w:asciiTheme="minorHAnsi" w:hAnsiTheme="minorHAnsi" w:cstheme="minorHAnsi"/>
          <w:sz w:val="20"/>
          <w:szCs w:val="22"/>
        </w:rPr>
      </w:pPr>
      <w:r w:rsidRPr="00327F40">
        <w:rPr>
          <w:rFonts w:asciiTheme="minorHAnsi" w:hAnsiTheme="minorHAnsi" w:cstheme="minorHAnsi"/>
          <w:sz w:val="20"/>
          <w:szCs w:val="22"/>
        </w:rPr>
        <w:t xml:space="preserve">Olanzapin 10 mg po ab Tag -1 (abendliche </w:t>
      </w:r>
      <w:r>
        <w:rPr>
          <w:rFonts w:asciiTheme="minorHAnsi" w:hAnsiTheme="minorHAnsi" w:cstheme="minorHAnsi"/>
          <w:sz w:val="20"/>
          <w:szCs w:val="22"/>
        </w:rPr>
        <w:t>Dosierung), bis 2 Tage nach Ende der Chemotherapie</w:t>
      </w:r>
    </w:p>
    <w:p w:rsidR="00DA275D" w:rsidRDefault="00DA275D" w:rsidP="00DA275D">
      <w:pPr>
        <w:pStyle w:val="Textkrper-Einzug2"/>
        <w:numPr>
          <w:ilvl w:val="0"/>
          <w:numId w:val="34"/>
        </w:numPr>
        <w:spacing w:after="0" w:line="276" w:lineRule="auto"/>
        <w:jc w:val="both"/>
        <w:rPr>
          <w:rFonts w:asciiTheme="minorHAnsi" w:hAnsiTheme="minorHAnsi" w:cstheme="minorHAnsi"/>
          <w:sz w:val="20"/>
          <w:szCs w:val="22"/>
        </w:rPr>
      </w:pPr>
      <w:r w:rsidRPr="00DA275D">
        <w:rPr>
          <w:rFonts w:asciiTheme="minorHAnsi" w:hAnsiTheme="minorHAnsi" w:cstheme="minorHAnsi"/>
          <w:sz w:val="20"/>
          <w:szCs w:val="22"/>
        </w:rPr>
        <w:t>Metoclopramid 0,5 mg/kg bis max 30 mg/Tag (typische Dosierung 3 x 10 mg iv oder po; max Anwendungsdauer 5 Tage)</w:t>
      </w:r>
    </w:p>
    <w:p w:rsidR="00DA275D" w:rsidRPr="008527BA" w:rsidRDefault="00DA275D" w:rsidP="00DA275D">
      <w:pPr>
        <w:pStyle w:val="Textkrper-Einzug2"/>
        <w:numPr>
          <w:ilvl w:val="0"/>
          <w:numId w:val="34"/>
        </w:numPr>
        <w:spacing w:after="0" w:line="276" w:lineRule="auto"/>
        <w:jc w:val="both"/>
        <w:rPr>
          <w:rFonts w:asciiTheme="minorHAnsi" w:hAnsiTheme="minorHAnsi" w:cstheme="minorHAnsi"/>
          <w:sz w:val="20"/>
          <w:szCs w:val="22"/>
          <w:lang w:val="en-GB"/>
        </w:rPr>
      </w:pPr>
      <w:r w:rsidRPr="008527BA">
        <w:rPr>
          <w:rFonts w:asciiTheme="minorHAnsi" w:hAnsiTheme="minorHAnsi" w:cstheme="minorHAnsi"/>
          <w:sz w:val="20"/>
          <w:szCs w:val="22"/>
          <w:lang w:val="en-GB"/>
        </w:rPr>
        <w:t>Haloperidol initial 1-3 x 1 mg p.o. (seit 12/2017 off label use)</w:t>
      </w:r>
    </w:p>
    <w:p w:rsidR="00DA275D" w:rsidRPr="00DA275D" w:rsidRDefault="00DA275D" w:rsidP="00DA275D">
      <w:pPr>
        <w:pStyle w:val="Textkrper-Einzug2"/>
        <w:numPr>
          <w:ilvl w:val="0"/>
          <w:numId w:val="34"/>
        </w:numPr>
        <w:spacing w:after="0" w:line="276" w:lineRule="auto"/>
        <w:jc w:val="both"/>
        <w:rPr>
          <w:rFonts w:asciiTheme="minorHAnsi" w:hAnsiTheme="minorHAnsi" w:cstheme="minorHAnsi"/>
          <w:sz w:val="20"/>
          <w:szCs w:val="22"/>
        </w:rPr>
      </w:pPr>
      <w:r w:rsidRPr="00DA275D">
        <w:rPr>
          <w:rFonts w:asciiTheme="minorHAnsi" w:hAnsiTheme="minorHAnsi" w:cstheme="minorHAnsi"/>
          <w:sz w:val="20"/>
          <w:szCs w:val="22"/>
        </w:rPr>
        <w:t xml:space="preserve">Cannabinoide: Dronabinol orale Lösung (4,2 mg/m2 KOF) 3x/Tag po;  Nabilon oral (1-2 mg) 2x/Tag </w:t>
      </w:r>
    </w:p>
    <w:p w:rsidR="00013889" w:rsidRDefault="00DA275D" w:rsidP="00D20093">
      <w:pPr>
        <w:pStyle w:val="Textkrper-Einzug2"/>
        <w:spacing w:after="0" w:line="276" w:lineRule="auto"/>
        <w:jc w:val="both"/>
        <w:rPr>
          <w:rFonts w:cs="Arial"/>
          <w:b/>
          <w:bCs/>
          <w:i/>
          <w:iCs/>
          <w:sz w:val="24"/>
          <w:szCs w:val="24"/>
        </w:rPr>
      </w:pPr>
      <w:r w:rsidRPr="00DA275D">
        <w:rPr>
          <w:rFonts w:asciiTheme="minorHAnsi" w:hAnsiTheme="minorHAnsi" w:cstheme="minorHAnsi"/>
          <w:sz w:val="20"/>
          <w:szCs w:val="22"/>
        </w:rPr>
        <w:t>Aufgrund des hohen Risikos extrapyramidaler Nebenwirkungen sollte die Kombination von Olanzapin und Metoclopramid oder Haloperidol vermieden werden.</w:t>
      </w:r>
      <w:r w:rsidR="00013889">
        <w:br w:type="page"/>
      </w:r>
    </w:p>
    <w:p w:rsidR="00AA5099" w:rsidRPr="00AA5099" w:rsidRDefault="00013889" w:rsidP="00AA5099">
      <w:pPr>
        <w:pStyle w:val="berschrift2"/>
        <w:numPr>
          <w:ilvl w:val="0"/>
          <w:numId w:val="0"/>
        </w:numPr>
      </w:pPr>
      <w:bookmarkStart w:id="9" w:name="_Toc58068447"/>
      <w:r>
        <w:lastRenderedPageBreak/>
        <w:t xml:space="preserve">2.3. </w:t>
      </w:r>
      <w:r w:rsidR="00AA5099">
        <w:t>Cortisonsparende Antiemese</w:t>
      </w:r>
      <w:r w:rsidR="00AA5099" w:rsidRPr="00AA5099">
        <w:t xml:space="preserve"> für </w:t>
      </w:r>
      <w:r w:rsidR="00B45D8B">
        <w:t xml:space="preserve">parenterale </w:t>
      </w:r>
      <w:r w:rsidR="00AA5099" w:rsidRPr="00AA5099">
        <w:t>medikamentöse Tumortherapie</w:t>
      </w:r>
      <w:bookmarkEnd w:id="9"/>
    </w:p>
    <w:p w:rsidR="007C2C37" w:rsidRDefault="007C2C37">
      <w:pPr>
        <w:spacing w:line="240" w:lineRule="auto"/>
        <w:jc w:val="left"/>
        <w:rPr>
          <w:rFonts w:cs="Arial"/>
          <w:b/>
          <w:bCs/>
          <w:i/>
          <w:iCs/>
          <w:sz w:val="24"/>
          <w:szCs w:val="24"/>
        </w:rPr>
      </w:pPr>
    </w:p>
    <w:p w:rsidR="006F423C" w:rsidRPr="006F423C" w:rsidRDefault="00000CD5">
      <w:pPr>
        <w:spacing w:line="240" w:lineRule="auto"/>
        <w:jc w:val="left"/>
      </w:pPr>
      <w:r w:rsidRPr="00000CD5">
        <w:rPr>
          <w:noProof/>
          <w:lang w:eastAsia="de-AT"/>
        </w:rPr>
        <w:drawing>
          <wp:inline distT="0" distB="0" distL="0" distR="0" wp14:anchorId="55F8755B" wp14:editId="4D10FF6D">
            <wp:extent cx="5957570" cy="7274461"/>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7570" cy="7274461"/>
                    </a:xfrm>
                    <a:prstGeom prst="rect">
                      <a:avLst/>
                    </a:prstGeom>
                    <a:noFill/>
                    <a:ln>
                      <a:noFill/>
                    </a:ln>
                  </pic:spPr>
                </pic:pic>
              </a:graphicData>
            </a:graphic>
          </wp:inline>
        </w:drawing>
      </w:r>
    </w:p>
    <w:p w:rsidR="007C2C37" w:rsidRDefault="007C2C37">
      <w:pPr>
        <w:spacing w:line="240" w:lineRule="auto"/>
        <w:jc w:val="left"/>
      </w:pPr>
      <w:r>
        <w:br w:type="page"/>
      </w:r>
    </w:p>
    <w:p w:rsidR="007C2C37" w:rsidRPr="00AA5099" w:rsidRDefault="007C2C37" w:rsidP="007C2C37">
      <w:pPr>
        <w:pStyle w:val="berschrift2"/>
        <w:numPr>
          <w:ilvl w:val="0"/>
          <w:numId w:val="0"/>
        </w:numPr>
      </w:pPr>
      <w:bookmarkStart w:id="10" w:name="_Toc58068448"/>
      <w:r>
        <w:lastRenderedPageBreak/>
        <w:t>2.</w:t>
      </w:r>
      <w:r w:rsidR="00013889">
        <w:t>4.</w:t>
      </w:r>
      <w:r>
        <w:t xml:space="preserve"> Antiemese</w:t>
      </w:r>
      <w:r w:rsidRPr="00AA5099">
        <w:t xml:space="preserve"> für </w:t>
      </w:r>
      <w:r>
        <w:t xml:space="preserve">orale </w:t>
      </w:r>
      <w:r w:rsidRPr="00AA5099">
        <w:t>medikamentöse Tumortherapie</w:t>
      </w:r>
      <w:bookmarkEnd w:id="10"/>
    </w:p>
    <w:p w:rsidR="007C2C37" w:rsidRDefault="007C2C37">
      <w:pPr>
        <w:spacing w:line="240" w:lineRule="auto"/>
        <w:jc w:val="left"/>
      </w:pPr>
    </w:p>
    <w:p w:rsidR="007C2C37" w:rsidRDefault="007B18CF">
      <w:pPr>
        <w:spacing w:line="240" w:lineRule="auto"/>
        <w:jc w:val="left"/>
      </w:pPr>
      <w:r w:rsidRPr="00C57FBE">
        <w:rPr>
          <w:noProof/>
          <w:lang w:eastAsia="de-AT"/>
        </w:rPr>
        <w:drawing>
          <wp:inline distT="0" distB="0" distL="0" distR="0" wp14:anchorId="317E5368" wp14:editId="56527CC5">
            <wp:extent cx="5957570" cy="72478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7570" cy="7247890"/>
                    </a:xfrm>
                    <a:prstGeom prst="rect">
                      <a:avLst/>
                    </a:prstGeom>
                    <a:noFill/>
                    <a:ln>
                      <a:noFill/>
                    </a:ln>
                  </pic:spPr>
                </pic:pic>
              </a:graphicData>
            </a:graphic>
          </wp:inline>
        </w:drawing>
      </w:r>
      <w:r w:rsidR="007C2C37">
        <w:br w:type="page"/>
      </w:r>
    </w:p>
    <w:p w:rsidR="007C2C37" w:rsidRPr="00AA5099" w:rsidRDefault="007C2C37" w:rsidP="007C2C37">
      <w:pPr>
        <w:pStyle w:val="berschrift2"/>
        <w:numPr>
          <w:ilvl w:val="0"/>
          <w:numId w:val="0"/>
        </w:numPr>
      </w:pPr>
      <w:bookmarkStart w:id="11" w:name="_Toc58068449"/>
      <w:r>
        <w:lastRenderedPageBreak/>
        <w:t>2.</w:t>
      </w:r>
      <w:r w:rsidR="00013889">
        <w:t>5.</w:t>
      </w:r>
      <w:r>
        <w:t xml:space="preserve"> Antiemese</w:t>
      </w:r>
      <w:r w:rsidRPr="00AA5099">
        <w:t xml:space="preserve"> </w:t>
      </w:r>
      <w:r>
        <w:t>bei Strahlentherapie</w:t>
      </w:r>
      <w:bookmarkEnd w:id="11"/>
    </w:p>
    <w:p w:rsidR="007C2C37" w:rsidRDefault="007C2C37" w:rsidP="007C2C37">
      <w:pPr>
        <w:pStyle w:val="Textkrper-Einzug2"/>
        <w:spacing w:after="0" w:line="276" w:lineRule="auto"/>
        <w:ind w:left="0"/>
        <w:jc w:val="both"/>
        <w:rPr>
          <w:rFonts w:asciiTheme="minorHAnsi" w:hAnsiTheme="minorHAnsi" w:cstheme="minorHAnsi"/>
          <w:sz w:val="20"/>
          <w:lang w:val="de-DE"/>
        </w:rPr>
      </w:pPr>
      <w:r w:rsidRPr="002A79FE">
        <w:rPr>
          <w:rFonts w:asciiTheme="minorHAnsi" w:hAnsiTheme="minorHAnsi" w:cstheme="minorHAnsi"/>
          <w:sz w:val="20"/>
          <w:lang w:val="de-DE"/>
        </w:rPr>
        <w:t>Bei gleichzeitiger Radiochemotherapie erfolgt die antiemetische Prophylaxe gemäß der entsprechenden Risikokategorie der Chemotherapie, außer das Emesisrisiko ist aufgrund der Strahlentherapie höher als aufgrund der Chemotherapie.</w:t>
      </w:r>
    </w:p>
    <w:p w:rsidR="00B45D8B" w:rsidRDefault="00B45D8B">
      <w:pPr>
        <w:spacing w:line="240" w:lineRule="auto"/>
        <w:jc w:val="left"/>
      </w:pPr>
    </w:p>
    <w:p w:rsidR="00AA5099" w:rsidRDefault="00223C73">
      <w:pPr>
        <w:spacing w:line="240" w:lineRule="auto"/>
        <w:jc w:val="left"/>
      </w:pPr>
      <w:r w:rsidRPr="00223C73">
        <w:rPr>
          <w:noProof/>
          <w:lang w:eastAsia="de-AT"/>
        </w:rPr>
        <w:drawing>
          <wp:inline distT="0" distB="0" distL="0" distR="0" wp14:anchorId="1450479F" wp14:editId="152D13CF">
            <wp:extent cx="5957570" cy="5900148"/>
            <wp:effectExtent l="0" t="0" r="508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7570" cy="5900148"/>
                    </a:xfrm>
                    <a:prstGeom prst="rect">
                      <a:avLst/>
                    </a:prstGeom>
                    <a:noFill/>
                    <a:ln>
                      <a:noFill/>
                    </a:ln>
                  </pic:spPr>
                </pic:pic>
              </a:graphicData>
            </a:graphic>
          </wp:inline>
        </w:drawing>
      </w:r>
      <w:r w:rsidR="00AA5099">
        <w:br w:type="page"/>
      </w:r>
    </w:p>
    <w:p w:rsidR="001F719F" w:rsidRDefault="00013889" w:rsidP="00013889">
      <w:pPr>
        <w:pStyle w:val="berschrift2"/>
        <w:numPr>
          <w:ilvl w:val="0"/>
          <w:numId w:val="0"/>
        </w:numPr>
      </w:pPr>
      <w:bookmarkStart w:id="12" w:name="_Toc58068450"/>
      <w:r>
        <w:lastRenderedPageBreak/>
        <w:t>2.6.</w:t>
      </w:r>
      <w:r w:rsidR="00B45D8B">
        <w:t xml:space="preserve"> </w:t>
      </w:r>
      <w:r w:rsidR="00BE369A" w:rsidRPr="00E408C7">
        <w:t xml:space="preserve">Emetogenes </w:t>
      </w:r>
      <w:r w:rsidR="005137A2">
        <w:t>Potential der Zytostatika</w:t>
      </w:r>
      <w:bookmarkEnd w:id="12"/>
    </w:p>
    <w:p w:rsidR="00AA5099" w:rsidRDefault="00AA5099" w:rsidP="001F719F">
      <w:pPr>
        <w:spacing w:line="240" w:lineRule="auto"/>
        <w:jc w:val="left"/>
        <w:rPr>
          <w:b/>
          <w:sz w:val="24"/>
          <w:szCs w:val="24"/>
        </w:rPr>
      </w:pPr>
    </w:p>
    <w:p w:rsidR="00F4202F" w:rsidRDefault="007C2C37" w:rsidP="000C2005">
      <w:pPr>
        <w:pStyle w:val="berschrift3"/>
        <w:numPr>
          <w:ilvl w:val="0"/>
          <w:numId w:val="0"/>
        </w:numPr>
      </w:pPr>
      <w:bookmarkStart w:id="13" w:name="_Toc58068451"/>
      <w:r>
        <w:t>2.</w:t>
      </w:r>
      <w:r w:rsidR="00013889">
        <w:t>6</w:t>
      </w:r>
      <w:r>
        <w:t xml:space="preserve">.1 </w:t>
      </w:r>
      <w:r w:rsidR="00F4202F" w:rsidRPr="00F4202F">
        <w:t>Klassifizierung der intravenösen und sub</w:t>
      </w:r>
      <w:r w:rsidR="00930395">
        <w:t>k</w:t>
      </w:r>
      <w:r w:rsidR="00F4202F" w:rsidRPr="00F4202F">
        <w:t>utanen Tumortherapeutika</w:t>
      </w:r>
      <w:bookmarkEnd w:id="13"/>
    </w:p>
    <w:p w:rsidR="00CC6C61" w:rsidRPr="006C6AFC" w:rsidRDefault="00CC6C61">
      <w:pPr>
        <w:spacing w:line="240" w:lineRule="auto"/>
        <w:jc w:val="left"/>
        <w:rPr>
          <w:b/>
          <w:sz w:val="8"/>
          <w:szCs w:val="8"/>
        </w:rPr>
      </w:pPr>
    </w:p>
    <w:tbl>
      <w:tblPr>
        <w:tblW w:w="9819" w:type="dxa"/>
        <w:tblCellMar>
          <w:left w:w="70" w:type="dxa"/>
          <w:right w:w="70" w:type="dxa"/>
        </w:tblCellMar>
        <w:tblLook w:val="04A0" w:firstRow="1" w:lastRow="0" w:firstColumn="1" w:lastColumn="0" w:noHBand="0" w:noVBand="1"/>
      </w:tblPr>
      <w:tblGrid>
        <w:gridCol w:w="2122"/>
        <w:gridCol w:w="2397"/>
        <w:gridCol w:w="9"/>
        <w:gridCol w:w="2775"/>
        <w:gridCol w:w="10"/>
        <w:gridCol w:w="2506"/>
      </w:tblGrid>
      <w:tr w:rsidR="006C6AFC" w:rsidRPr="006C6AFC" w:rsidTr="006C6AFC">
        <w:trPr>
          <w:trHeight w:val="290"/>
        </w:trPr>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C6AFC" w:rsidRPr="006C6AFC" w:rsidRDefault="006C6AFC">
            <w:pPr>
              <w:spacing w:line="240" w:lineRule="auto"/>
              <w:jc w:val="left"/>
              <w:rPr>
                <w:rFonts w:ascii="Calibri" w:hAnsi="Calibri" w:cs="Calibri"/>
                <w:b/>
                <w:bCs/>
                <w:color w:val="000000"/>
                <w:sz w:val="18"/>
                <w:szCs w:val="18"/>
                <w:lang w:eastAsia="de-AT"/>
              </w:rPr>
            </w:pPr>
            <w:r w:rsidRPr="006C6AFC">
              <w:rPr>
                <w:rFonts w:ascii="Calibri" w:hAnsi="Calibri" w:cs="Calibri"/>
                <w:b/>
                <w:bCs/>
                <w:color w:val="000000"/>
                <w:sz w:val="18"/>
                <w:szCs w:val="18"/>
                <w:lang w:eastAsia="de-AT"/>
              </w:rPr>
              <w:t>minimal</w:t>
            </w:r>
          </w:p>
        </w:tc>
        <w:tc>
          <w:tcPr>
            <w:tcW w:w="2397" w:type="dxa"/>
            <w:tcBorders>
              <w:top w:val="single" w:sz="4" w:space="0" w:color="auto"/>
              <w:left w:val="nil"/>
              <w:bottom w:val="single" w:sz="4" w:space="0" w:color="auto"/>
              <w:right w:val="single" w:sz="4" w:space="0" w:color="auto"/>
            </w:tcBorders>
            <w:shd w:val="clear" w:color="000000" w:fill="D9D9D9"/>
            <w:noWrap/>
            <w:vAlign w:val="center"/>
            <w:hideMark/>
          </w:tcPr>
          <w:p w:rsidR="006C6AFC" w:rsidRPr="006C6AFC" w:rsidRDefault="006C6AFC" w:rsidP="006C6AFC">
            <w:pPr>
              <w:spacing w:line="240" w:lineRule="auto"/>
              <w:jc w:val="left"/>
              <w:rPr>
                <w:rFonts w:ascii="Calibri" w:hAnsi="Calibri" w:cs="Calibri"/>
                <w:b/>
                <w:bCs/>
                <w:color w:val="000000"/>
                <w:sz w:val="18"/>
                <w:szCs w:val="18"/>
                <w:lang w:eastAsia="de-AT"/>
              </w:rPr>
            </w:pPr>
            <w:r w:rsidRPr="006C6AFC">
              <w:rPr>
                <w:rFonts w:ascii="Calibri" w:hAnsi="Calibri" w:cs="Calibri"/>
                <w:b/>
                <w:bCs/>
                <w:color w:val="000000"/>
                <w:sz w:val="18"/>
                <w:szCs w:val="18"/>
                <w:lang w:eastAsia="de-AT"/>
              </w:rPr>
              <w:t xml:space="preserve">gering </w:t>
            </w:r>
          </w:p>
        </w:tc>
        <w:tc>
          <w:tcPr>
            <w:tcW w:w="2784"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6C6AFC" w:rsidRPr="006C6AFC" w:rsidRDefault="006C6AFC" w:rsidP="006C6AFC">
            <w:pPr>
              <w:spacing w:line="240" w:lineRule="auto"/>
              <w:jc w:val="left"/>
              <w:rPr>
                <w:rFonts w:ascii="Calibri" w:hAnsi="Calibri" w:cs="Calibri"/>
                <w:b/>
                <w:bCs/>
                <w:color w:val="000000"/>
                <w:sz w:val="18"/>
                <w:szCs w:val="18"/>
                <w:lang w:eastAsia="de-AT"/>
              </w:rPr>
            </w:pPr>
            <w:r w:rsidRPr="006C6AFC">
              <w:rPr>
                <w:rFonts w:ascii="Calibri" w:hAnsi="Calibri" w:cs="Calibri"/>
                <w:b/>
                <w:bCs/>
                <w:color w:val="000000"/>
                <w:sz w:val="18"/>
                <w:szCs w:val="18"/>
                <w:lang w:eastAsia="de-AT"/>
              </w:rPr>
              <w:t>moderat</w:t>
            </w:r>
          </w:p>
        </w:tc>
        <w:tc>
          <w:tcPr>
            <w:tcW w:w="2513"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6C6AFC" w:rsidRPr="006C6AFC" w:rsidRDefault="006C6AFC" w:rsidP="006C6AFC">
            <w:pPr>
              <w:spacing w:line="240" w:lineRule="auto"/>
              <w:jc w:val="left"/>
              <w:rPr>
                <w:rFonts w:ascii="Calibri" w:hAnsi="Calibri" w:cs="Calibri"/>
                <w:b/>
                <w:bCs/>
                <w:color w:val="000000"/>
                <w:sz w:val="18"/>
                <w:szCs w:val="18"/>
                <w:lang w:eastAsia="de-AT"/>
              </w:rPr>
            </w:pPr>
            <w:r w:rsidRPr="006C6AFC">
              <w:rPr>
                <w:rFonts w:ascii="Calibri" w:hAnsi="Calibri" w:cs="Calibri"/>
                <w:b/>
                <w:bCs/>
                <w:color w:val="000000"/>
                <w:sz w:val="18"/>
                <w:szCs w:val="18"/>
                <w:lang w:eastAsia="de-AT"/>
              </w:rPr>
              <w:t>hoch</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Alemtuzumab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Aflibercept</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Azacitidin</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Anthrazykline/Cyclophosphamid</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Asparaginase*</w:t>
            </w:r>
          </w:p>
        </w:tc>
        <w:tc>
          <w:tcPr>
            <w:tcW w:w="2397" w:type="dxa"/>
            <w:tcBorders>
              <w:top w:val="nil"/>
              <w:left w:val="nil"/>
              <w:bottom w:val="single" w:sz="4" w:space="0" w:color="auto"/>
              <w:right w:val="single" w:sz="4" w:space="0" w:color="auto"/>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Amivantamab</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Bendamustin</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Carboplatin AUC ≥4</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Atezolizumab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xml:space="preserve">Arsentrioxid </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Busulfan</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Carmustin ≥250 mg/m²</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Avelumab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Axicabtagen ciloleucel</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Carboplatin AUC &lt;4</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xml:space="preserve">Cisplatin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Belantamab mafodotin</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Belinostat</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Carmustin &lt;250 mg/m²</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Cyclophosphamid &gt;1500 mg/m²</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xml:space="preserve">Bevacicumab </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Bortezomib</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Clofarabin</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Dacarbazine</w:t>
            </w:r>
          </w:p>
        </w:tc>
      </w:tr>
      <w:tr w:rsidR="006C6AFC" w:rsidRPr="00552353"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Bleomycin</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xml:space="preserve">Brentuximab Vedotin </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Cyclophosphamid &lt;1500 mg/m²</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val="en-GB" w:eastAsia="de-AT"/>
              </w:rPr>
            </w:pPr>
            <w:r w:rsidRPr="006C6AFC">
              <w:rPr>
                <w:rFonts w:ascii="Calibri" w:hAnsi="Calibri" w:cs="Calibri"/>
                <w:color w:val="000000"/>
                <w:sz w:val="18"/>
                <w:szCs w:val="18"/>
                <w:lang w:val="en-GB" w:eastAsia="de-AT"/>
              </w:rPr>
              <w:t>Ifosfamid ≥2 g/m² pro Dosis</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Blinatumumab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Cabazitaxel</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Cytarabin ≥1000 mg/m²</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Melphalan HD</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Cemiplimab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Carfilzomib</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Dactinomycin</w:t>
            </w:r>
          </w:p>
        </w:tc>
        <w:tc>
          <w:tcPr>
            <w:tcW w:w="2513" w:type="dxa"/>
            <w:gridSpan w:val="2"/>
            <w:tcBorders>
              <w:top w:val="nil"/>
              <w:left w:val="nil"/>
              <w:bottom w:val="single" w:sz="4" w:space="0" w:color="auto"/>
              <w:right w:val="single" w:sz="4" w:space="0" w:color="auto"/>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Sacituzumab Govitecan</w:t>
            </w:r>
          </w:p>
        </w:tc>
      </w:tr>
      <w:tr w:rsidR="006C6AFC" w:rsidRPr="006C6AFC" w:rsidTr="006C6AF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Cetuximab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Cytarabin &lt;1000 mg/m²</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Daunorubicin</w:t>
            </w:r>
          </w:p>
        </w:tc>
        <w:tc>
          <w:tcPr>
            <w:tcW w:w="2513" w:type="dxa"/>
            <w:gridSpan w:val="2"/>
            <w:tcBorders>
              <w:top w:val="nil"/>
              <w:left w:val="nil"/>
              <w:bottom w:val="single" w:sz="8"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Streptozocin</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Cladribin</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Decitabin</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Daunorubicin lip/Cytarabin (Vyxeos)</w:t>
            </w:r>
          </w:p>
        </w:tc>
        <w:tc>
          <w:tcPr>
            <w:tcW w:w="2513" w:type="dxa"/>
            <w:gridSpan w:val="2"/>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Daratumumab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Docetaxel</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Doxorubicin</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Durvalumab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Eribulin</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Doxorubicin  liposomal (Myocet)</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Elotuzumab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Etoposid</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Doxorubicin peg liposomal (Caelyx)</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Enfortumab Vedotin</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Fluoruracil</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Epirubicin</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Fludarabin</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Gemcitabin</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Idarubicin</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552353"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Ipilimumab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Gemtuzumab Ozogamicin</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val="en-GB" w:eastAsia="de-AT"/>
              </w:rPr>
            </w:pPr>
            <w:r w:rsidRPr="006C6AFC">
              <w:rPr>
                <w:rFonts w:ascii="Calibri" w:hAnsi="Calibri" w:cs="Calibri"/>
                <w:color w:val="000000"/>
                <w:sz w:val="18"/>
                <w:szCs w:val="18"/>
                <w:lang w:val="en-GB" w:eastAsia="de-AT"/>
              </w:rPr>
              <w:t>Ifosfamid &lt;2 g/m² pro Dosis</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val="en-GB" w:eastAsia="de-AT"/>
              </w:rPr>
            </w:pPr>
            <w:r w:rsidRPr="006C6AFC">
              <w:rPr>
                <w:rFonts w:ascii="Calibri" w:hAnsi="Calibri" w:cs="Calibri"/>
                <w:color w:val="000000"/>
                <w:sz w:val="18"/>
                <w:szCs w:val="18"/>
                <w:lang w:val="en-GB"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Necitumumab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Inotuzumab Ozogamicin</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Irinotecan</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Nelarabin</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Methotrexat &lt;250 mg/m²</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Irinotecan liposomal (Onivyde)</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Nivolumab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Mitomycin</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Melphalan</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Obinutuzumab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Mitoxantron</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Methotrexat &gt;250 mg/m²</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Panitumumab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Paclitaxel</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Oxaliplatin</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Pembrolizumab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Paclitaxel-Albumin (Abraxane)</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Raltitrexed</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Pertuzumab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Pemetrexed</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Temozolamid</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Pixantron</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Pentostatin</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xml:space="preserve">Thiotepa </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Ramucirumab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Polatuzumab Vedotin</w:t>
            </w:r>
          </w:p>
        </w:tc>
        <w:tc>
          <w:tcPr>
            <w:tcW w:w="2784" w:type="dxa"/>
            <w:gridSpan w:val="2"/>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Trabectedin</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Rituximab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Talimogene laherparepvec</w:t>
            </w:r>
          </w:p>
        </w:tc>
        <w:tc>
          <w:tcPr>
            <w:tcW w:w="2784" w:type="dxa"/>
            <w:gridSpan w:val="2"/>
            <w:tcBorders>
              <w:top w:val="nil"/>
              <w:left w:val="nil"/>
              <w:bottom w:val="single" w:sz="4" w:space="0" w:color="auto"/>
              <w:right w:val="single" w:sz="4" w:space="0" w:color="auto"/>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Trastuzumab-Deruxtecan</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Temsirolimus</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Tisagenlecleucel</w:t>
            </w:r>
          </w:p>
        </w:tc>
        <w:tc>
          <w:tcPr>
            <w:tcW w:w="2784" w:type="dxa"/>
            <w:gridSpan w:val="2"/>
            <w:tcBorders>
              <w:top w:val="nil"/>
              <w:left w:val="nil"/>
              <w:bottom w:val="single" w:sz="8"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Treosulfan</w:t>
            </w: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Trastuzumab</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Topotecan</w:t>
            </w:r>
          </w:p>
        </w:tc>
        <w:tc>
          <w:tcPr>
            <w:tcW w:w="2784" w:type="dxa"/>
            <w:gridSpan w:val="2"/>
            <w:tcBorders>
              <w:top w:val="nil"/>
              <w:left w:val="nil"/>
              <w:bottom w:val="nil"/>
              <w:right w:val="nil"/>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Vinblastin</w:t>
            </w:r>
          </w:p>
        </w:tc>
        <w:tc>
          <w:tcPr>
            <w:tcW w:w="2397"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Trastuzumab Emtansin</w:t>
            </w:r>
          </w:p>
        </w:tc>
        <w:tc>
          <w:tcPr>
            <w:tcW w:w="2784" w:type="dxa"/>
            <w:gridSpan w:val="2"/>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Vincristin</w:t>
            </w:r>
          </w:p>
        </w:tc>
        <w:tc>
          <w:tcPr>
            <w:tcW w:w="2397" w:type="dxa"/>
            <w:tcBorders>
              <w:top w:val="nil"/>
              <w:left w:val="nil"/>
              <w:bottom w:val="single" w:sz="8"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Vinflunin</w:t>
            </w:r>
          </w:p>
        </w:tc>
        <w:tc>
          <w:tcPr>
            <w:tcW w:w="2784" w:type="dxa"/>
            <w:gridSpan w:val="2"/>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c>
          <w:tcPr>
            <w:tcW w:w="2513" w:type="dxa"/>
            <w:gridSpan w:val="2"/>
            <w:tcBorders>
              <w:top w:val="nil"/>
              <w:left w:val="nil"/>
              <w:bottom w:val="nil"/>
              <w:right w:val="nil"/>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w:t>
            </w:r>
          </w:p>
        </w:tc>
      </w:tr>
      <w:tr w:rsidR="006C6AFC" w:rsidRPr="006C6AFC" w:rsidTr="006C6AFC">
        <w:trPr>
          <w:trHeight w:val="300"/>
        </w:trPr>
        <w:tc>
          <w:tcPr>
            <w:tcW w:w="2122" w:type="dxa"/>
            <w:tcBorders>
              <w:top w:val="nil"/>
              <w:left w:val="single" w:sz="4" w:space="0" w:color="auto"/>
              <w:bottom w:val="single" w:sz="8" w:space="0" w:color="auto"/>
              <w:right w:val="single" w:sz="4" w:space="0" w:color="auto"/>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Vinorelbin</w:t>
            </w:r>
          </w:p>
        </w:tc>
        <w:tc>
          <w:tcPr>
            <w:tcW w:w="2397"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c>
          <w:tcPr>
            <w:tcW w:w="2784" w:type="dxa"/>
            <w:gridSpan w:val="2"/>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Times New Roman" w:hAnsi="Times New Roman"/>
                <w:sz w:val="18"/>
                <w:szCs w:val="18"/>
                <w:lang w:eastAsia="de-AT"/>
              </w:rPr>
            </w:pPr>
          </w:p>
        </w:tc>
        <w:tc>
          <w:tcPr>
            <w:tcW w:w="2513" w:type="dxa"/>
            <w:gridSpan w:val="2"/>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Times New Roman" w:hAnsi="Times New Roman"/>
                <w:sz w:val="18"/>
                <w:szCs w:val="18"/>
                <w:lang w:eastAsia="de-AT"/>
              </w:rPr>
            </w:pPr>
          </w:p>
        </w:tc>
      </w:tr>
      <w:tr w:rsidR="006C6AFC" w:rsidRPr="006C6AFC" w:rsidTr="006C6AFC">
        <w:trPr>
          <w:trHeight w:val="290"/>
        </w:trPr>
        <w:tc>
          <w:tcPr>
            <w:tcW w:w="2122" w:type="dxa"/>
            <w:tcBorders>
              <w:top w:val="nil"/>
              <w:left w:val="nil"/>
              <w:bottom w:val="nil"/>
              <w:right w:val="nil"/>
            </w:tcBorders>
            <w:shd w:val="clear" w:color="auto" w:fill="auto"/>
            <w:noWrap/>
            <w:vAlign w:val="center"/>
            <w:hideMark/>
          </w:tcPr>
          <w:p w:rsidR="006C6AFC" w:rsidRPr="006C6AFC" w:rsidRDefault="006C6AFC" w:rsidP="006C6AFC">
            <w:pPr>
              <w:spacing w:line="240" w:lineRule="auto"/>
              <w:jc w:val="left"/>
              <w:rPr>
                <w:rFonts w:ascii="Times New Roman" w:hAnsi="Times New Roman"/>
                <w:sz w:val="18"/>
                <w:szCs w:val="18"/>
                <w:lang w:eastAsia="de-AT"/>
              </w:rPr>
            </w:pPr>
          </w:p>
        </w:tc>
        <w:tc>
          <w:tcPr>
            <w:tcW w:w="2397"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Times New Roman" w:hAnsi="Times New Roman"/>
                <w:sz w:val="18"/>
                <w:szCs w:val="18"/>
                <w:lang w:eastAsia="de-AT"/>
              </w:rPr>
            </w:pPr>
          </w:p>
        </w:tc>
        <w:tc>
          <w:tcPr>
            <w:tcW w:w="2784" w:type="dxa"/>
            <w:gridSpan w:val="2"/>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Times New Roman" w:hAnsi="Times New Roman"/>
                <w:sz w:val="18"/>
                <w:szCs w:val="18"/>
                <w:lang w:eastAsia="de-AT"/>
              </w:rPr>
            </w:pPr>
          </w:p>
        </w:tc>
        <w:tc>
          <w:tcPr>
            <w:tcW w:w="2513" w:type="dxa"/>
            <w:gridSpan w:val="2"/>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Times New Roman" w:hAnsi="Times New Roman"/>
                <w:sz w:val="18"/>
                <w:szCs w:val="18"/>
                <w:lang w:eastAsia="de-AT"/>
              </w:rPr>
            </w:pPr>
          </w:p>
        </w:tc>
      </w:tr>
      <w:tr w:rsidR="006C6AFC" w:rsidRPr="006C6AFC" w:rsidTr="006C6AFC">
        <w:trPr>
          <w:trHeight w:val="290"/>
        </w:trPr>
        <w:tc>
          <w:tcPr>
            <w:tcW w:w="4528" w:type="dxa"/>
            <w:gridSpan w:val="3"/>
            <w:tcBorders>
              <w:top w:val="nil"/>
              <w:left w:val="nil"/>
              <w:bottom w:val="nil"/>
              <w:right w:val="nil"/>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Pegasparaginase, Erwinia Asparaginase</w:t>
            </w:r>
          </w:p>
        </w:tc>
        <w:tc>
          <w:tcPr>
            <w:tcW w:w="2785" w:type="dxa"/>
            <w:gridSpan w:val="2"/>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c>
          <w:tcPr>
            <w:tcW w:w="2506"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Times New Roman" w:hAnsi="Times New Roman"/>
                <w:sz w:val="18"/>
                <w:szCs w:val="18"/>
                <w:lang w:eastAsia="de-AT"/>
              </w:rPr>
            </w:pPr>
          </w:p>
        </w:tc>
      </w:tr>
    </w:tbl>
    <w:p w:rsidR="00AA5099" w:rsidRDefault="00AA5099" w:rsidP="00B3626A">
      <w:pPr>
        <w:spacing w:line="240" w:lineRule="auto"/>
        <w:jc w:val="left"/>
        <w:rPr>
          <w:b/>
          <w:sz w:val="24"/>
          <w:szCs w:val="24"/>
        </w:rPr>
      </w:pPr>
      <w:r>
        <w:rPr>
          <w:b/>
          <w:sz w:val="24"/>
          <w:szCs w:val="24"/>
        </w:rPr>
        <w:br w:type="page"/>
      </w:r>
    </w:p>
    <w:p w:rsidR="00F4202F" w:rsidRPr="007C2C37" w:rsidRDefault="007C2C37" w:rsidP="000C2005">
      <w:pPr>
        <w:pStyle w:val="berschrift3"/>
        <w:numPr>
          <w:ilvl w:val="0"/>
          <w:numId w:val="0"/>
        </w:numPr>
      </w:pPr>
      <w:bookmarkStart w:id="14" w:name="_Toc58068452"/>
      <w:r>
        <w:lastRenderedPageBreak/>
        <w:t>2.</w:t>
      </w:r>
      <w:r w:rsidR="00013889">
        <w:t>6</w:t>
      </w:r>
      <w:r>
        <w:t xml:space="preserve">.2 </w:t>
      </w:r>
      <w:r w:rsidR="00F4202F" w:rsidRPr="007C2C37">
        <w:t>Klassifizierung der oralen Tumortherapeutika</w:t>
      </w:r>
      <w:bookmarkEnd w:id="14"/>
    </w:p>
    <w:p w:rsidR="00F4202F" w:rsidRPr="006C6AFC" w:rsidRDefault="00F4202F" w:rsidP="00F4202F">
      <w:pPr>
        <w:spacing w:line="240" w:lineRule="auto"/>
        <w:jc w:val="left"/>
        <w:rPr>
          <w:sz w:val="8"/>
          <w:szCs w:val="8"/>
        </w:rPr>
      </w:pPr>
    </w:p>
    <w:tbl>
      <w:tblPr>
        <w:tblW w:w="6300" w:type="dxa"/>
        <w:tblCellMar>
          <w:left w:w="70" w:type="dxa"/>
          <w:right w:w="70" w:type="dxa"/>
        </w:tblCellMar>
        <w:tblLook w:val="04A0" w:firstRow="1" w:lastRow="0" w:firstColumn="1" w:lastColumn="0" w:noHBand="0" w:noVBand="1"/>
      </w:tblPr>
      <w:tblGrid>
        <w:gridCol w:w="2860"/>
        <w:gridCol w:w="3440"/>
      </w:tblGrid>
      <w:tr w:rsidR="006C6AFC" w:rsidRPr="006C6AFC" w:rsidTr="006C6AFC">
        <w:trPr>
          <w:trHeight w:val="290"/>
        </w:trPr>
        <w:tc>
          <w:tcPr>
            <w:tcW w:w="2860" w:type="dxa"/>
            <w:tcBorders>
              <w:top w:val="single" w:sz="4" w:space="0" w:color="auto"/>
              <w:left w:val="single" w:sz="4" w:space="0" w:color="auto"/>
              <w:bottom w:val="nil"/>
              <w:right w:val="single" w:sz="4" w:space="0" w:color="auto"/>
            </w:tcBorders>
            <w:shd w:val="clear" w:color="000000" w:fill="D9D9D9"/>
            <w:noWrap/>
            <w:vAlign w:val="bottom"/>
            <w:hideMark/>
          </w:tcPr>
          <w:p w:rsidR="006C6AFC" w:rsidRPr="006C6AFC" w:rsidRDefault="006C6AFC">
            <w:pPr>
              <w:spacing w:line="240" w:lineRule="auto"/>
              <w:jc w:val="left"/>
              <w:rPr>
                <w:rFonts w:ascii="Calibri" w:hAnsi="Calibri" w:cs="Calibri"/>
                <w:b/>
                <w:bCs/>
                <w:color w:val="000000"/>
                <w:sz w:val="18"/>
                <w:szCs w:val="18"/>
                <w:lang w:eastAsia="de-AT"/>
              </w:rPr>
            </w:pPr>
            <w:r w:rsidRPr="006C6AFC">
              <w:rPr>
                <w:rFonts w:ascii="Calibri" w:hAnsi="Calibri" w:cs="Calibri"/>
                <w:b/>
                <w:bCs/>
                <w:color w:val="000000"/>
                <w:sz w:val="18"/>
                <w:szCs w:val="18"/>
                <w:lang w:eastAsia="de-AT"/>
              </w:rPr>
              <w:t>minimal/gering</w:t>
            </w:r>
          </w:p>
        </w:tc>
        <w:tc>
          <w:tcPr>
            <w:tcW w:w="3440" w:type="dxa"/>
            <w:tcBorders>
              <w:top w:val="single" w:sz="4" w:space="0" w:color="auto"/>
              <w:left w:val="nil"/>
              <w:bottom w:val="nil"/>
              <w:right w:val="nil"/>
            </w:tcBorders>
            <w:shd w:val="clear" w:color="000000" w:fill="D9D9D9"/>
            <w:noWrap/>
            <w:vAlign w:val="center"/>
            <w:hideMark/>
          </w:tcPr>
          <w:p w:rsidR="006C6AFC" w:rsidRPr="006C6AFC" w:rsidRDefault="006C6AFC" w:rsidP="006C6AFC">
            <w:pPr>
              <w:spacing w:line="240" w:lineRule="auto"/>
              <w:jc w:val="left"/>
              <w:rPr>
                <w:rFonts w:ascii="Calibri" w:hAnsi="Calibri" w:cs="Calibri"/>
                <w:b/>
                <w:bCs/>
                <w:color w:val="000000"/>
                <w:sz w:val="18"/>
                <w:szCs w:val="18"/>
                <w:lang w:eastAsia="de-AT"/>
              </w:rPr>
            </w:pPr>
            <w:r w:rsidRPr="006C6AFC">
              <w:rPr>
                <w:rFonts w:ascii="Calibri" w:hAnsi="Calibri" w:cs="Calibri"/>
                <w:b/>
                <w:bCs/>
                <w:color w:val="000000"/>
                <w:sz w:val="18"/>
                <w:szCs w:val="18"/>
                <w:lang w:eastAsia="de-AT"/>
              </w:rPr>
              <w:t>moderat/hoch</w:t>
            </w:r>
          </w:p>
        </w:tc>
      </w:tr>
      <w:tr w:rsidR="006C6AFC" w:rsidRPr="006C6AFC" w:rsidTr="006C6AFC">
        <w:trPr>
          <w:trHeight w:val="29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Afatinib</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Abemaciclib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Alectinib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Avapritinib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Axitinib</w:t>
            </w:r>
          </w:p>
        </w:tc>
        <w:tc>
          <w:tcPr>
            <w:tcW w:w="3440" w:type="dxa"/>
            <w:tcBorders>
              <w:top w:val="nil"/>
              <w:left w:val="nil"/>
              <w:bottom w:val="single" w:sz="4" w:space="0" w:color="auto"/>
              <w:right w:val="single" w:sz="4" w:space="0" w:color="auto"/>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Azacitidin</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Brigatinib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Binimetinib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Capecitabine</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Bosutinib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sz w:val="18"/>
                <w:szCs w:val="18"/>
                <w:lang w:eastAsia="de-AT"/>
              </w:rPr>
            </w:pPr>
            <w:r w:rsidRPr="006C6AFC">
              <w:rPr>
                <w:rFonts w:ascii="Calibri" w:hAnsi="Calibri" w:cs="Calibri"/>
                <w:sz w:val="18"/>
                <w:szCs w:val="18"/>
                <w:lang w:eastAsia="de-AT"/>
              </w:rPr>
              <w:t>Dabrafenib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Busulfan ≥ 4mg/d</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Dasatinib</w:t>
            </w:r>
          </w:p>
        </w:tc>
        <w:tc>
          <w:tcPr>
            <w:tcW w:w="3440" w:type="dxa"/>
            <w:tcBorders>
              <w:top w:val="nil"/>
              <w:left w:val="nil"/>
              <w:bottom w:val="single" w:sz="4" w:space="0" w:color="auto"/>
              <w:right w:val="single" w:sz="4" w:space="0" w:color="auto"/>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Cabozantinib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sz w:val="18"/>
                <w:szCs w:val="18"/>
                <w:lang w:eastAsia="de-AT"/>
              </w:rPr>
            </w:pPr>
            <w:r w:rsidRPr="006C6AFC">
              <w:rPr>
                <w:rFonts w:ascii="Calibri" w:hAnsi="Calibri" w:cs="Calibri"/>
                <w:sz w:val="18"/>
                <w:szCs w:val="18"/>
                <w:lang w:eastAsia="de-AT"/>
              </w:rPr>
              <w:t>Encorafenib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Ceritinib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Entrectinib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Crizotinib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Enzalutamid</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Cyclophosphamid  ≥100 mg/m²/d</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Erlotinib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Estramustine</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sz w:val="18"/>
                <w:szCs w:val="18"/>
                <w:lang w:eastAsia="de-AT"/>
              </w:rPr>
            </w:pPr>
            <w:r w:rsidRPr="006C6AFC">
              <w:rPr>
                <w:rFonts w:ascii="Calibri" w:hAnsi="Calibri" w:cs="Calibri"/>
                <w:sz w:val="18"/>
                <w:szCs w:val="18"/>
                <w:lang w:eastAsia="de-AT"/>
              </w:rPr>
              <w:t>Etoposid</w:t>
            </w:r>
          </w:p>
        </w:tc>
        <w:tc>
          <w:tcPr>
            <w:tcW w:w="3440" w:type="dxa"/>
            <w:tcBorders>
              <w:top w:val="nil"/>
              <w:left w:val="nil"/>
              <w:bottom w:val="single" w:sz="4" w:space="0" w:color="auto"/>
              <w:right w:val="single" w:sz="4" w:space="0" w:color="auto"/>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Fedratinib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Everolimus</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Imatinib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Fludarabin</w:t>
            </w:r>
          </w:p>
        </w:tc>
        <w:tc>
          <w:tcPr>
            <w:tcW w:w="3440" w:type="dxa"/>
            <w:tcBorders>
              <w:top w:val="nil"/>
              <w:left w:val="nil"/>
              <w:bottom w:val="single" w:sz="4" w:space="0" w:color="auto"/>
              <w:right w:val="single" w:sz="4" w:space="0" w:color="auto"/>
            </w:tcBorders>
            <w:shd w:val="clear" w:color="000000" w:fill="FFFFFF"/>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Lenvatinib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Gefitinib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 xml:space="preserve">Lomustin </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Hydroxyurea</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Midostaurin</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Ibrutinib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Mitotan</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Idelalisib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Niraparib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Ixazomib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Procarbazine</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Lapatinib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Rucaparib</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Larotrectinib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Selinexor</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Lenalidomid</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Temozolomid</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Lorlatinib</w:t>
            </w:r>
          </w:p>
        </w:tc>
        <w:tc>
          <w:tcPr>
            <w:tcW w:w="3440" w:type="dxa"/>
            <w:tcBorders>
              <w:top w:val="nil"/>
              <w:left w:val="nil"/>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sz w:val="18"/>
                <w:szCs w:val="18"/>
                <w:lang w:eastAsia="de-AT"/>
              </w:rPr>
            </w:pPr>
            <w:r w:rsidRPr="006C6AFC">
              <w:rPr>
                <w:rFonts w:ascii="Calibri" w:hAnsi="Calibri" w:cs="Calibri"/>
                <w:sz w:val="18"/>
                <w:szCs w:val="18"/>
                <w:lang w:eastAsia="de-AT"/>
              </w:rPr>
              <w:t>Trifluridin/Tipiracil</w:t>
            </w:r>
          </w:p>
        </w:tc>
      </w:tr>
      <w:tr w:rsidR="006C6AFC" w:rsidRPr="006C6AFC" w:rsidTr="006C6AFC">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Mercaptopurin</w:t>
            </w:r>
          </w:p>
        </w:tc>
        <w:tc>
          <w:tcPr>
            <w:tcW w:w="3440" w:type="dxa"/>
            <w:tcBorders>
              <w:top w:val="nil"/>
              <w:left w:val="nil"/>
              <w:bottom w:val="single" w:sz="8"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Vinorelbin</w:t>
            </w: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Nilotinib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sz w:val="18"/>
                <w:szCs w:val="18"/>
                <w:lang w:eastAsia="de-AT"/>
              </w:rPr>
            </w:pPr>
            <w:r w:rsidRPr="006C6AFC">
              <w:rPr>
                <w:rFonts w:ascii="Calibri" w:hAnsi="Calibri" w:cs="Calibri"/>
                <w:sz w:val="18"/>
                <w:szCs w:val="18"/>
                <w:lang w:eastAsia="de-AT"/>
              </w:rPr>
              <w:t>Olaparib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Osimertinib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Palbociclib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Panobinostat</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Pazopanib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Ponatinib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Pralsetinib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Regorafenib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Selpercatinib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Sotorasib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Sunitinib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Tegafur</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Thalidomid</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Thioguanin</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Trametinib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Treosulfan</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29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Vandetanib</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52"/>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Venetoclax</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r w:rsidR="006C6AFC" w:rsidRPr="006C6AFC" w:rsidTr="006C6AFC">
        <w:trPr>
          <w:trHeight w:val="300"/>
        </w:trPr>
        <w:tc>
          <w:tcPr>
            <w:tcW w:w="2860" w:type="dxa"/>
            <w:tcBorders>
              <w:top w:val="nil"/>
              <w:left w:val="single" w:sz="4" w:space="0" w:color="auto"/>
              <w:bottom w:val="single" w:sz="8" w:space="0" w:color="auto"/>
              <w:right w:val="single" w:sz="4" w:space="0" w:color="auto"/>
            </w:tcBorders>
            <w:shd w:val="clear" w:color="auto" w:fill="auto"/>
            <w:noWrap/>
            <w:vAlign w:val="center"/>
            <w:hideMark/>
          </w:tcPr>
          <w:p w:rsidR="006C6AFC" w:rsidRPr="006C6AFC" w:rsidRDefault="006C6AFC" w:rsidP="006C6AFC">
            <w:pPr>
              <w:spacing w:line="240" w:lineRule="auto"/>
              <w:jc w:val="left"/>
              <w:rPr>
                <w:rFonts w:ascii="Calibri" w:hAnsi="Calibri" w:cs="Calibri"/>
                <w:color w:val="000000"/>
                <w:sz w:val="18"/>
                <w:szCs w:val="18"/>
                <w:lang w:eastAsia="de-AT"/>
              </w:rPr>
            </w:pPr>
            <w:r w:rsidRPr="006C6AFC">
              <w:rPr>
                <w:rFonts w:ascii="Calibri" w:hAnsi="Calibri" w:cs="Calibri"/>
                <w:color w:val="000000"/>
                <w:sz w:val="18"/>
                <w:szCs w:val="18"/>
                <w:lang w:eastAsia="de-AT"/>
              </w:rPr>
              <w:t>Vorinostad</w:t>
            </w:r>
          </w:p>
        </w:tc>
        <w:tc>
          <w:tcPr>
            <w:tcW w:w="3440" w:type="dxa"/>
            <w:tcBorders>
              <w:top w:val="nil"/>
              <w:left w:val="nil"/>
              <w:bottom w:val="nil"/>
              <w:right w:val="nil"/>
            </w:tcBorders>
            <w:shd w:val="clear" w:color="auto" w:fill="auto"/>
            <w:noWrap/>
            <w:vAlign w:val="bottom"/>
            <w:hideMark/>
          </w:tcPr>
          <w:p w:rsidR="006C6AFC" w:rsidRPr="006C6AFC" w:rsidRDefault="006C6AFC" w:rsidP="006C6AFC">
            <w:pPr>
              <w:spacing w:line="240" w:lineRule="auto"/>
              <w:jc w:val="left"/>
              <w:rPr>
                <w:rFonts w:ascii="Calibri" w:hAnsi="Calibri" w:cs="Calibri"/>
                <w:color w:val="000000"/>
                <w:sz w:val="18"/>
                <w:szCs w:val="18"/>
                <w:lang w:eastAsia="de-AT"/>
              </w:rPr>
            </w:pPr>
          </w:p>
        </w:tc>
      </w:tr>
    </w:tbl>
    <w:p w:rsidR="006D4DAC" w:rsidRPr="00E344D4" w:rsidRDefault="005137A2" w:rsidP="007F3064">
      <w:pPr>
        <w:pStyle w:val="berschrift1"/>
      </w:pPr>
      <w:bookmarkStart w:id="15" w:name="_Toc367183620"/>
      <w:bookmarkStart w:id="16" w:name="_Toc367183858"/>
      <w:bookmarkStart w:id="17" w:name="_Toc58068453"/>
      <w:r>
        <w:lastRenderedPageBreak/>
        <w:t>3</w:t>
      </w:r>
      <w:r w:rsidR="006D4DAC" w:rsidRPr="00E344D4">
        <w:tab/>
        <w:t>Dokumentation und Qualitätsparameter</w:t>
      </w:r>
      <w:bookmarkEnd w:id="15"/>
      <w:bookmarkEnd w:id="16"/>
      <w:bookmarkEnd w:id="17"/>
    </w:p>
    <w:p w:rsidR="007F3064" w:rsidRDefault="00B27C1B"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Dokumentation der Antieme</w:t>
      </w:r>
      <w:r w:rsidR="001F0AAD">
        <w:rPr>
          <w:rFonts w:asciiTheme="minorHAnsi" w:hAnsiTheme="minorHAnsi" w:cstheme="minorHAnsi"/>
          <w:szCs w:val="22"/>
        </w:rPr>
        <w:t>s</w:t>
      </w:r>
      <w:r>
        <w:rPr>
          <w:rFonts w:asciiTheme="minorHAnsi" w:hAnsiTheme="minorHAnsi" w:cstheme="minorHAnsi"/>
          <w:szCs w:val="22"/>
        </w:rPr>
        <w:t>estufe im jeweiligen Chemotherapieprotokoll in Cato</w:t>
      </w:r>
      <w:r w:rsidR="00AC420E">
        <w:rPr>
          <w:rFonts w:asciiTheme="minorHAnsi" w:hAnsiTheme="minorHAnsi" w:cstheme="minorHAnsi"/>
          <w:szCs w:val="22"/>
        </w:rPr>
        <w:t xml:space="preserve"> und Onkodoc.</w:t>
      </w:r>
    </w:p>
    <w:p w:rsidR="001F2BEC" w:rsidRPr="007F3064" w:rsidRDefault="001F2BEC" w:rsidP="007F3064">
      <w:pPr>
        <w:pStyle w:val="Textkrper-Einzug2"/>
        <w:spacing w:line="276" w:lineRule="auto"/>
        <w:ind w:left="0"/>
        <w:jc w:val="both"/>
        <w:rPr>
          <w:rFonts w:asciiTheme="minorHAnsi" w:hAnsiTheme="minorHAnsi" w:cstheme="minorHAnsi"/>
          <w:szCs w:val="22"/>
        </w:rPr>
      </w:pPr>
    </w:p>
    <w:p w:rsidR="00A47853" w:rsidRPr="001D7E0B" w:rsidRDefault="00A416F4" w:rsidP="007F3064">
      <w:pPr>
        <w:pStyle w:val="berschrift1"/>
        <w:rPr>
          <w:lang w:val="en-US"/>
        </w:rPr>
      </w:pPr>
      <w:bookmarkStart w:id="18" w:name="_Toc367183621"/>
      <w:bookmarkStart w:id="19" w:name="_Toc367183859"/>
      <w:bookmarkStart w:id="20" w:name="_Toc58068454"/>
      <w:r w:rsidRPr="001D7E0B">
        <w:rPr>
          <w:lang w:val="en-US"/>
        </w:rPr>
        <w:t>4</w:t>
      </w:r>
      <w:r w:rsidR="006D4DAC" w:rsidRPr="001D7E0B">
        <w:rPr>
          <w:lang w:val="en-US"/>
        </w:rPr>
        <w:tab/>
        <w:t>Literatur/Quellenangaben</w:t>
      </w:r>
      <w:bookmarkEnd w:id="18"/>
      <w:bookmarkEnd w:id="19"/>
      <w:bookmarkEnd w:id="20"/>
    </w:p>
    <w:p w:rsidR="00B45D8B" w:rsidRDefault="00B45D8B" w:rsidP="00AC420E">
      <w:pPr>
        <w:autoSpaceDE w:val="0"/>
        <w:autoSpaceDN w:val="0"/>
        <w:adjustRightInd w:val="0"/>
        <w:spacing w:line="240" w:lineRule="auto"/>
        <w:jc w:val="left"/>
        <w:rPr>
          <w:rFonts w:ascii="Calibri" w:hAnsi="Calibri" w:cs="Calibri"/>
          <w:szCs w:val="22"/>
          <w:lang w:val="de-DE" w:eastAsia="de-AT"/>
        </w:rPr>
      </w:pPr>
    </w:p>
    <w:p w:rsidR="00AC420E" w:rsidRPr="006C6AFC" w:rsidRDefault="00AC420E" w:rsidP="008527BA">
      <w:pPr>
        <w:pStyle w:val="Listenabsatz"/>
        <w:numPr>
          <w:ilvl w:val="0"/>
          <w:numId w:val="27"/>
        </w:numPr>
        <w:autoSpaceDE w:val="0"/>
        <w:autoSpaceDN w:val="0"/>
        <w:adjustRightInd w:val="0"/>
        <w:spacing w:line="276" w:lineRule="auto"/>
        <w:ind w:left="426" w:hanging="491"/>
        <w:jc w:val="left"/>
        <w:rPr>
          <w:rFonts w:ascii="Calibri" w:hAnsi="Calibri" w:cs="Calibri"/>
          <w:szCs w:val="22"/>
          <w:lang w:val="de-DE" w:eastAsia="de-AT"/>
        </w:rPr>
      </w:pPr>
      <w:r w:rsidRPr="00954D2C">
        <w:rPr>
          <w:rFonts w:ascii="Calibri" w:hAnsi="Calibri" w:cs="Calibri"/>
          <w:szCs w:val="22"/>
          <w:lang w:val="de-DE" w:eastAsia="de-AT"/>
        </w:rPr>
        <w:t xml:space="preserve">Onkopedia: Antiemese bei medikamentöser </w:t>
      </w:r>
      <w:r w:rsidRPr="006C6AFC">
        <w:rPr>
          <w:rFonts w:ascii="Calibri" w:hAnsi="Calibri" w:cs="Calibri"/>
          <w:szCs w:val="22"/>
          <w:lang w:val="de-DE" w:eastAsia="de-AT"/>
        </w:rPr>
        <w:t xml:space="preserve">Tumortherapie (Stand: </w:t>
      </w:r>
      <w:r w:rsidR="006C6AFC" w:rsidRPr="006C6AFC">
        <w:rPr>
          <w:rFonts w:ascii="Calibri" w:hAnsi="Calibri" w:cs="Calibri"/>
          <w:szCs w:val="22"/>
          <w:lang w:val="de-DE" w:eastAsia="de-AT"/>
        </w:rPr>
        <w:t>Mai 2021</w:t>
      </w:r>
      <w:r w:rsidRPr="006C6AFC">
        <w:rPr>
          <w:rFonts w:ascii="Calibri" w:hAnsi="Calibri" w:cs="Calibri"/>
          <w:szCs w:val="22"/>
          <w:lang w:val="de-DE" w:eastAsia="de-AT"/>
        </w:rPr>
        <w:t>)</w:t>
      </w:r>
    </w:p>
    <w:p w:rsidR="00AC420E" w:rsidRPr="006C6AFC" w:rsidRDefault="00AC420E" w:rsidP="008527BA">
      <w:pPr>
        <w:pStyle w:val="Listenabsatz"/>
        <w:numPr>
          <w:ilvl w:val="0"/>
          <w:numId w:val="27"/>
        </w:numPr>
        <w:autoSpaceDE w:val="0"/>
        <w:autoSpaceDN w:val="0"/>
        <w:adjustRightInd w:val="0"/>
        <w:spacing w:line="276" w:lineRule="auto"/>
        <w:ind w:left="426" w:hanging="491"/>
        <w:jc w:val="left"/>
        <w:rPr>
          <w:rFonts w:ascii="Calibri" w:hAnsi="Calibri" w:cs="Calibri"/>
          <w:szCs w:val="22"/>
          <w:lang w:val="de-DE" w:eastAsia="de-AT"/>
        </w:rPr>
      </w:pPr>
      <w:r w:rsidRPr="00954D2C">
        <w:rPr>
          <w:rFonts w:ascii="Calibri" w:hAnsi="Calibri" w:cs="Calibri"/>
          <w:szCs w:val="22"/>
          <w:lang w:val="de-DE" w:eastAsia="de-AT"/>
        </w:rPr>
        <w:t xml:space="preserve">NCCN: Antiemesis </w:t>
      </w:r>
      <w:r w:rsidRPr="006C6AFC">
        <w:rPr>
          <w:rFonts w:ascii="Calibri" w:hAnsi="Calibri" w:cs="Calibri"/>
          <w:szCs w:val="22"/>
          <w:lang w:val="de-DE" w:eastAsia="de-AT"/>
        </w:rPr>
        <w:t xml:space="preserve">Version </w:t>
      </w:r>
      <w:r w:rsidR="006C6AFC" w:rsidRPr="006C6AFC">
        <w:rPr>
          <w:rFonts w:ascii="Calibri" w:hAnsi="Calibri" w:cs="Calibri"/>
          <w:szCs w:val="22"/>
          <w:lang w:val="de-DE" w:eastAsia="de-AT"/>
        </w:rPr>
        <w:t>1</w:t>
      </w:r>
      <w:r w:rsidRPr="006C6AFC">
        <w:rPr>
          <w:rFonts w:ascii="Calibri" w:hAnsi="Calibri" w:cs="Calibri"/>
          <w:szCs w:val="22"/>
          <w:lang w:val="de-DE" w:eastAsia="de-AT"/>
        </w:rPr>
        <w:t>.202</w:t>
      </w:r>
      <w:r w:rsidR="006C6AFC" w:rsidRPr="006C6AFC">
        <w:rPr>
          <w:rFonts w:ascii="Calibri" w:hAnsi="Calibri" w:cs="Calibri"/>
          <w:szCs w:val="22"/>
          <w:lang w:val="de-DE" w:eastAsia="de-AT"/>
        </w:rPr>
        <w:t>2</w:t>
      </w:r>
    </w:p>
    <w:p w:rsidR="00AC420E" w:rsidRPr="008527BA" w:rsidRDefault="00AC420E" w:rsidP="008527BA">
      <w:pPr>
        <w:pStyle w:val="Listenabsatz"/>
        <w:numPr>
          <w:ilvl w:val="0"/>
          <w:numId w:val="27"/>
        </w:numPr>
        <w:autoSpaceDE w:val="0"/>
        <w:autoSpaceDN w:val="0"/>
        <w:adjustRightInd w:val="0"/>
        <w:spacing w:line="276" w:lineRule="auto"/>
        <w:ind w:left="426" w:hanging="491"/>
        <w:jc w:val="left"/>
        <w:rPr>
          <w:rFonts w:ascii="Calibri" w:hAnsi="Calibri" w:cs="Calibri"/>
          <w:szCs w:val="22"/>
          <w:lang w:val="en-GB" w:eastAsia="de-AT"/>
        </w:rPr>
      </w:pPr>
      <w:r w:rsidRPr="008527BA">
        <w:rPr>
          <w:rFonts w:ascii="Calibri" w:hAnsi="Calibri" w:cs="Calibri"/>
          <w:szCs w:val="22"/>
          <w:lang w:val="en-GB" w:eastAsia="de-AT"/>
        </w:rPr>
        <w:t>MASCC/ESMO Antiemetic Guideline 2016 (with Updates in 2019)</w:t>
      </w:r>
    </w:p>
    <w:p w:rsidR="00AC420E" w:rsidRPr="008527BA" w:rsidRDefault="00AC420E" w:rsidP="008527BA">
      <w:pPr>
        <w:pStyle w:val="Listenabsatz"/>
        <w:numPr>
          <w:ilvl w:val="0"/>
          <w:numId w:val="27"/>
        </w:numPr>
        <w:autoSpaceDE w:val="0"/>
        <w:autoSpaceDN w:val="0"/>
        <w:adjustRightInd w:val="0"/>
        <w:spacing w:line="276" w:lineRule="auto"/>
        <w:ind w:left="426" w:hanging="491"/>
        <w:jc w:val="left"/>
        <w:rPr>
          <w:rFonts w:ascii="Calibri" w:hAnsi="Calibri" w:cs="Calibri"/>
          <w:szCs w:val="22"/>
          <w:lang w:val="en-GB" w:eastAsia="de-AT"/>
        </w:rPr>
      </w:pPr>
      <w:r w:rsidRPr="008527BA">
        <w:rPr>
          <w:rFonts w:ascii="Calibri" w:hAnsi="Calibri" w:cs="Calibri"/>
          <w:szCs w:val="22"/>
          <w:lang w:val="en-GB" w:eastAsia="de-AT"/>
        </w:rPr>
        <w:t>P.J.</w:t>
      </w:r>
      <w:r w:rsidR="00954D2C" w:rsidRPr="008527BA">
        <w:rPr>
          <w:rFonts w:ascii="Calibri" w:hAnsi="Calibri" w:cs="Calibri"/>
          <w:szCs w:val="22"/>
          <w:lang w:val="en-GB" w:eastAsia="de-AT"/>
        </w:rPr>
        <w:t xml:space="preserve"> </w:t>
      </w:r>
      <w:r w:rsidRPr="008527BA">
        <w:rPr>
          <w:rFonts w:ascii="Calibri" w:hAnsi="Calibri" w:cs="Calibri"/>
          <w:szCs w:val="22"/>
          <w:lang w:val="en-GB" w:eastAsia="de-AT"/>
        </w:rPr>
        <w:t>Hesketh et al.: Asco Guideline Antiemetics Update:</w:t>
      </w:r>
      <w:r w:rsidR="00954D2C" w:rsidRPr="008527BA">
        <w:rPr>
          <w:rFonts w:ascii="Calibri" w:hAnsi="Calibri" w:cs="Calibri"/>
          <w:szCs w:val="22"/>
          <w:lang w:val="en-GB" w:eastAsia="de-AT"/>
        </w:rPr>
        <w:t xml:space="preserve"> J Clin Oncol 38:2782-2797</w:t>
      </w:r>
    </w:p>
    <w:p w:rsidR="006F423C" w:rsidRDefault="00306603" w:rsidP="008527BA">
      <w:pPr>
        <w:pStyle w:val="Listenabsatz"/>
        <w:numPr>
          <w:ilvl w:val="0"/>
          <w:numId w:val="27"/>
        </w:numPr>
        <w:autoSpaceDE w:val="0"/>
        <w:autoSpaceDN w:val="0"/>
        <w:adjustRightInd w:val="0"/>
        <w:spacing w:line="276" w:lineRule="auto"/>
        <w:ind w:left="426" w:hanging="491"/>
        <w:jc w:val="left"/>
        <w:rPr>
          <w:rFonts w:ascii="Calibri" w:hAnsi="Calibri" w:cs="Calibri"/>
          <w:szCs w:val="22"/>
          <w:lang w:val="de-DE" w:eastAsia="de-AT"/>
        </w:rPr>
      </w:pPr>
      <w:r w:rsidRPr="008527BA">
        <w:rPr>
          <w:rFonts w:ascii="Calibri" w:hAnsi="Calibri" w:cs="Calibri"/>
          <w:szCs w:val="22"/>
          <w:lang w:val="en-GB" w:eastAsia="de-AT"/>
        </w:rPr>
        <w:t xml:space="preserve">Navari RM, Qin R, Ruddy KJ, Liu H, Powell SF, Bajaj M, Dietrich L, Biggs D, Lafky JM, Loprinzi CL. Olanzapine for the Prevention of Chemotherapy-Induced Nausea and Vomiting. </w:t>
      </w:r>
      <w:r w:rsidRPr="00306603">
        <w:rPr>
          <w:rFonts w:ascii="Calibri" w:hAnsi="Calibri" w:cs="Calibri"/>
          <w:szCs w:val="22"/>
          <w:lang w:val="de-DE" w:eastAsia="de-AT"/>
        </w:rPr>
        <w:t>N Engl J Med. 2016 Jul 14;375(2):134-42.</w:t>
      </w:r>
    </w:p>
    <w:p w:rsidR="00AE19D7" w:rsidRPr="00416A25" w:rsidRDefault="00306603" w:rsidP="008527BA">
      <w:pPr>
        <w:pStyle w:val="Textkrper-Einzug2"/>
        <w:numPr>
          <w:ilvl w:val="0"/>
          <w:numId w:val="27"/>
        </w:numPr>
        <w:spacing w:line="276" w:lineRule="auto"/>
        <w:ind w:left="426" w:hanging="491"/>
        <w:jc w:val="both"/>
        <w:rPr>
          <w:rFonts w:ascii="Calibri" w:hAnsi="Calibri" w:cs="Calibri"/>
          <w:szCs w:val="22"/>
          <w:lang w:val="de-DE" w:eastAsia="de-AT"/>
        </w:rPr>
      </w:pPr>
      <w:r w:rsidRPr="008527BA">
        <w:rPr>
          <w:rFonts w:ascii="Calibri" w:hAnsi="Calibri" w:cs="Calibri"/>
          <w:szCs w:val="22"/>
          <w:lang w:val="en-GB" w:eastAsia="de-AT"/>
        </w:rPr>
        <w:t xml:space="preserve">Hashimoto H, Abe M, Tokuyama O, Mizutani H, Uchitomi Y, Yamaguchi T, Hoshina Y, Sakata Y, Takahashi TY, Nakashima K, Nakao M, Takei D, Zenda S, Mizukami K, Iwasa S, Sakurai M, Yamamoto N, Ohe Y. Olanzapine 5 mg plus standard antiemetic therapy for the prevention of chemotherapy-induced nausea and vomiting (J-FORCE): a multicentre, randomised, double-blind, placebo-controlled, phase 3 trial. </w:t>
      </w:r>
      <w:r w:rsidRPr="00416A25">
        <w:rPr>
          <w:rFonts w:ascii="Calibri" w:hAnsi="Calibri" w:cs="Calibri"/>
          <w:szCs w:val="22"/>
          <w:lang w:val="de-DE" w:eastAsia="de-AT"/>
        </w:rPr>
        <w:t>Lancet Oncol. 2020 Feb;21(2):242-249.</w:t>
      </w:r>
    </w:p>
    <w:p w:rsidR="008E0D7C" w:rsidRPr="00416A25" w:rsidRDefault="008E0D7C" w:rsidP="008527BA">
      <w:pPr>
        <w:pStyle w:val="Textkrper-Einzug2"/>
        <w:numPr>
          <w:ilvl w:val="0"/>
          <w:numId w:val="27"/>
        </w:numPr>
        <w:spacing w:line="276" w:lineRule="auto"/>
        <w:ind w:left="426" w:hanging="491"/>
        <w:jc w:val="both"/>
        <w:rPr>
          <w:rFonts w:ascii="Calibri" w:hAnsi="Calibri" w:cs="Calibri"/>
          <w:szCs w:val="22"/>
          <w:lang w:val="de-DE" w:eastAsia="de-AT"/>
        </w:rPr>
      </w:pPr>
      <w:r w:rsidRPr="00416A25">
        <w:rPr>
          <w:rFonts w:ascii="Calibri" w:hAnsi="Calibri" w:cs="Calibri"/>
          <w:szCs w:val="22"/>
          <w:lang w:val="de-DE" w:eastAsia="de-AT"/>
        </w:rPr>
        <w:t xml:space="preserve">Celio L, Bonizzoni E, Zattarin E, Codega P, de Braud F, Aapro M.  </w:t>
      </w:r>
      <w:r w:rsidRPr="008527BA">
        <w:rPr>
          <w:rFonts w:ascii="Calibri" w:hAnsi="Calibri" w:cs="Calibri"/>
          <w:szCs w:val="22"/>
          <w:lang w:val="en-GB" w:eastAsia="de-AT"/>
        </w:rPr>
        <w:t xml:space="preserve">Impact of dexamethasone-sparing regimens on delayed nausea caused by moderately or highly emetogenic chemotherapy: a meta-analysis of randomised evidence. </w:t>
      </w:r>
      <w:r w:rsidRPr="00416A25">
        <w:rPr>
          <w:rFonts w:ascii="Calibri" w:hAnsi="Calibri" w:cs="Calibri"/>
          <w:szCs w:val="22"/>
          <w:lang w:val="de-DE" w:eastAsia="de-AT"/>
        </w:rPr>
        <w:t>BMC Cancer 2019 Dec 30;19(1):1268.</w:t>
      </w:r>
    </w:p>
    <w:p w:rsidR="006D1BA1" w:rsidRPr="00416A25" w:rsidRDefault="006D1BA1" w:rsidP="008527BA">
      <w:pPr>
        <w:pStyle w:val="Textkrper-Einzug2"/>
        <w:numPr>
          <w:ilvl w:val="0"/>
          <w:numId w:val="27"/>
        </w:numPr>
        <w:spacing w:line="276" w:lineRule="auto"/>
        <w:ind w:left="426" w:hanging="491"/>
        <w:jc w:val="both"/>
        <w:rPr>
          <w:rFonts w:ascii="Calibri" w:hAnsi="Calibri" w:cs="Calibri"/>
          <w:szCs w:val="22"/>
          <w:lang w:val="de-DE" w:eastAsia="de-AT"/>
        </w:rPr>
      </w:pPr>
      <w:r w:rsidRPr="008527BA">
        <w:rPr>
          <w:rFonts w:ascii="Calibri" w:hAnsi="Calibri" w:cs="Calibri"/>
          <w:szCs w:val="22"/>
          <w:lang w:val="en-GB" w:eastAsia="de-AT"/>
        </w:rPr>
        <w:t xml:space="preserve">Okada Y, Oba K, Furukawa N, Kosaka Y, Okita K, Yuki S, Komatsu Y, Celio L, Aapro M. One-Day Versus Three-Day Dexamethasone in Combination with Palonosetron for the Prevention of Chemotherapy-Induced Nausea and Vomiting: A Systematic Review and Individual Patient Data-Based Meta-Analysis. </w:t>
      </w:r>
      <w:r w:rsidRPr="00416A25">
        <w:rPr>
          <w:rFonts w:ascii="Calibri" w:hAnsi="Calibri" w:cs="Calibri"/>
          <w:szCs w:val="22"/>
          <w:lang w:val="de-DE" w:eastAsia="de-AT"/>
        </w:rPr>
        <w:t>Oncologist 2019 Dec;24(12):1593-1600.</w:t>
      </w:r>
    </w:p>
    <w:p w:rsidR="00416A25" w:rsidRPr="00416A25" w:rsidRDefault="00416A25" w:rsidP="008527BA">
      <w:pPr>
        <w:pStyle w:val="Textkrper-Einzug2"/>
        <w:numPr>
          <w:ilvl w:val="0"/>
          <w:numId w:val="27"/>
        </w:numPr>
        <w:spacing w:line="276" w:lineRule="auto"/>
        <w:ind w:left="426" w:hanging="491"/>
        <w:jc w:val="both"/>
        <w:rPr>
          <w:rFonts w:ascii="Calibri" w:hAnsi="Calibri" w:cs="Calibri"/>
          <w:szCs w:val="22"/>
          <w:lang w:val="de-DE" w:eastAsia="de-AT"/>
        </w:rPr>
      </w:pPr>
      <w:r w:rsidRPr="008527BA">
        <w:rPr>
          <w:rFonts w:ascii="Calibri" w:hAnsi="Calibri" w:cs="Calibri"/>
          <w:szCs w:val="22"/>
          <w:lang w:val="en-GB" w:eastAsia="de-AT"/>
        </w:rPr>
        <w:t xml:space="preserve">Albany C, Brames MJ, Frausel C, et al. Randomized, double-blind, placebo-controlled, phase III cross-over study evaluating the oral neurokinin-1 antagonist aprepitant in combination with a 5HT3 receptor antagonist and dexamethasone in patients with germ cell tumors receiving 5-day cisplatin combination chemotherapy regimens: a hoosier oncology group study. </w:t>
      </w:r>
      <w:r w:rsidRPr="00416A25">
        <w:rPr>
          <w:rFonts w:ascii="Calibri" w:hAnsi="Calibri" w:cs="Calibri"/>
          <w:szCs w:val="22"/>
          <w:lang w:val="de-DE" w:eastAsia="de-AT"/>
        </w:rPr>
        <w:t>J Clin Oncol 2012;</w:t>
      </w:r>
      <w:r>
        <w:rPr>
          <w:rFonts w:ascii="Calibri" w:hAnsi="Calibri" w:cs="Calibri"/>
          <w:szCs w:val="22"/>
          <w:lang w:val="de-DE" w:eastAsia="de-AT"/>
        </w:rPr>
        <w:t xml:space="preserve"> </w:t>
      </w:r>
      <w:r w:rsidRPr="00416A25">
        <w:rPr>
          <w:rFonts w:ascii="Calibri" w:hAnsi="Calibri" w:cs="Calibri"/>
          <w:szCs w:val="22"/>
          <w:lang w:val="de-DE" w:eastAsia="de-AT"/>
        </w:rPr>
        <w:t>30(32):</w:t>
      </w:r>
      <w:r>
        <w:rPr>
          <w:rFonts w:ascii="Calibri" w:hAnsi="Calibri" w:cs="Calibri"/>
          <w:szCs w:val="22"/>
          <w:lang w:val="de-DE" w:eastAsia="de-AT"/>
        </w:rPr>
        <w:t xml:space="preserve"> </w:t>
      </w:r>
      <w:r w:rsidR="00AB6554">
        <w:rPr>
          <w:rFonts w:ascii="Calibri" w:hAnsi="Calibri" w:cs="Calibri"/>
          <w:szCs w:val="22"/>
          <w:lang w:val="de-DE" w:eastAsia="de-AT"/>
        </w:rPr>
        <w:t>3998-4003.</w:t>
      </w:r>
    </w:p>
    <w:p w:rsidR="00416A25" w:rsidRDefault="00416A25" w:rsidP="008527BA">
      <w:pPr>
        <w:pStyle w:val="Textkrper-Einzug2"/>
        <w:numPr>
          <w:ilvl w:val="0"/>
          <w:numId w:val="27"/>
        </w:numPr>
        <w:spacing w:line="276" w:lineRule="auto"/>
        <w:ind w:left="426" w:hanging="491"/>
        <w:jc w:val="both"/>
        <w:rPr>
          <w:rFonts w:ascii="Calibri" w:hAnsi="Calibri" w:cs="Calibri"/>
          <w:szCs w:val="22"/>
          <w:lang w:val="de-DE" w:eastAsia="de-AT"/>
        </w:rPr>
      </w:pPr>
      <w:r w:rsidRPr="008527BA">
        <w:rPr>
          <w:rFonts w:ascii="Calibri" w:hAnsi="Calibri" w:cs="Calibri"/>
          <w:szCs w:val="22"/>
          <w:lang w:val="en-GB" w:eastAsia="de-AT"/>
        </w:rPr>
        <w:t xml:space="preserve">Oliver IN, Grimison P, Chatfield M et al.. Results of a 7-day aprepitant schedule for the prevention of nausea and vomiting in 5-day cisplatin-based germ cell tumor chemotherapy. </w:t>
      </w:r>
      <w:r w:rsidRPr="00416A25">
        <w:rPr>
          <w:rFonts w:ascii="Calibri" w:hAnsi="Calibri" w:cs="Calibri"/>
          <w:szCs w:val="22"/>
          <w:lang w:val="de-DE" w:eastAsia="de-AT"/>
        </w:rPr>
        <w:t>Support C</w:t>
      </w:r>
      <w:r w:rsidR="00AB6554">
        <w:rPr>
          <w:rFonts w:ascii="Calibri" w:hAnsi="Calibri" w:cs="Calibri"/>
          <w:szCs w:val="22"/>
          <w:lang w:val="de-DE" w:eastAsia="de-AT"/>
        </w:rPr>
        <w:t>are Cancer 2013;21:1561-8.</w:t>
      </w:r>
    </w:p>
    <w:p w:rsidR="00AB6554" w:rsidRPr="00AB6554" w:rsidRDefault="00AB6554" w:rsidP="008527BA">
      <w:pPr>
        <w:pStyle w:val="Textkrper-Einzug2"/>
        <w:numPr>
          <w:ilvl w:val="0"/>
          <w:numId w:val="27"/>
        </w:numPr>
        <w:spacing w:line="276" w:lineRule="auto"/>
        <w:ind w:left="426" w:hanging="491"/>
        <w:jc w:val="both"/>
        <w:rPr>
          <w:rFonts w:ascii="Calibri" w:hAnsi="Calibri" w:cs="Calibri"/>
          <w:szCs w:val="22"/>
          <w:lang w:val="de-DE" w:eastAsia="de-AT"/>
        </w:rPr>
      </w:pPr>
      <w:r w:rsidRPr="008527BA">
        <w:rPr>
          <w:rFonts w:ascii="Calibri" w:hAnsi="Calibri" w:cs="Calibri"/>
          <w:szCs w:val="22"/>
          <w:lang w:val="en-GB" w:eastAsia="de-AT"/>
        </w:rPr>
        <w:t>Hamada S, Hinotsu S, Kawai K et al. Antiemetic ef</w:t>
      </w:r>
      <w:r w:rsidRPr="00AB6554">
        <w:rPr>
          <w:rFonts w:ascii="Calibri" w:hAnsi="Calibri" w:cs="Calibri"/>
          <w:szCs w:val="22"/>
          <w:lang w:val="de-DE" w:eastAsia="de-AT"/>
        </w:rPr>
        <w:t>ﬁ</w:t>
      </w:r>
      <w:r w:rsidRPr="008527BA">
        <w:rPr>
          <w:rFonts w:ascii="Calibri" w:hAnsi="Calibri" w:cs="Calibri"/>
          <w:szCs w:val="22"/>
          <w:lang w:val="en-GB" w:eastAsia="de-AT"/>
        </w:rPr>
        <w:t xml:space="preserve">cacy and safety of a combination of palonosetron, aprepitant and dexamethasone in patients with testicular germ cell tumor receiving 5-day cisplatin-based combination chemotherapy. </w:t>
      </w:r>
      <w:r w:rsidRPr="00AB6554">
        <w:rPr>
          <w:rFonts w:ascii="Calibri" w:hAnsi="Calibri" w:cs="Calibri"/>
          <w:szCs w:val="22"/>
          <w:lang w:val="de-DE" w:eastAsia="de-AT"/>
        </w:rPr>
        <w:t>Suppor</w:t>
      </w:r>
      <w:r>
        <w:rPr>
          <w:rFonts w:ascii="Calibri" w:hAnsi="Calibri" w:cs="Calibri"/>
          <w:szCs w:val="22"/>
          <w:lang w:val="de-DE" w:eastAsia="de-AT"/>
        </w:rPr>
        <w:t>t Care Cancer 2014; 22: 2161-</w:t>
      </w:r>
      <w:r w:rsidRPr="00AB6554">
        <w:rPr>
          <w:rFonts w:ascii="Calibri" w:hAnsi="Calibri" w:cs="Calibri"/>
          <w:szCs w:val="22"/>
          <w:lang w:val="de-DE" w:eastAsia="de-AT"/>
        </w:rPr>
        <w:t>6.</w:t>
      </w:r>
    </w:p>
    <w:p w:rsidR="00416A25" w:rsidRPr="006D1BA1" w:rsidRDefault="00416A25" w:rsidP="00416A25">
      <w:pPr>
        <w:pStyle w:val="Textkrper-Einzug2"/>
        <w:spacing w:line="276" w:lineRule="auto"/>
        <w:ind w:left="720"/>
        <w:jc w:val="both"/>
        <w:rPr>
          <w:rFonts w:ascii="Calibri" w:hAnsi="Calibri" w:cs="Calibri"/>
          <w:szCs w:val="22"/>
          <w:lang w:val="de-DE" w:eastAsia="de-AT"/>
        </w:rPr>
      </w:pPr>
    </w:p>
    <w:sectPr w:rsidR="00416A25" w:rsidRPr="006D1BA1" w:rsidSect="009266F9">
      <w:headerReference w:type="even" r:id="rId20"/>
      <w:footerReference w:type="even" r:id="rId21"/>
      <w:headerReference w:type="first" r:id="rId22"/>
      <w:footerReference w:type="first" r:id="rId23"/>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3FF" w:rsidRDefault="00BB53FF">
      <w:r>
        <w:separator/>
      </w:r>
    </w:p>
    <w:p w:rsidR="00BB53FF" w:rsidRDefault="00BB53FF"/>
    <w:p w:rsidR="00BB53FF" w:rsidRDefault="00BB53FF"/>
  </w:endnote>
  <w:endnote w:type="continuationSeparator" w:id="0">
    <w:p w:rsidR="00BB53FF" w:rsidRDefault="00BB53FF">
      <w:r>
        <w:continuationSeparator/>
      </w:r>
    </w:p>
    <w:p w:rsidR="00BB53FF" w:rsidRDefault="00BB53FF"/>
    <w:p w:rsidR="00BB53FF" w:rsidRDefault="00BB5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7" w:rsidRDefault="005206E7"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552353">
      <w:rPr>
        <w:noProof/>
        <w:sz w:val="18"/>
        <w:szCs w:val="18"/>
      </w:rPr>
      <w:t>11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552353">
      <w:rPr>
        <w:noProof/>
        <w:sz w:val="18"/>
        <w:szCs w:val="18"/>
      </w:rPr>
      <w:t>11</w:t>
    </w:r>
    <w:r>
      <w:rPr>
        <w:sz w:val="18"/>
        <w:szCs w:val="18"/>
      </w:rPr>
      <w:fldChar w:fldCharType="end"/>
    </w:r>
  </w:p>
  <w:p w:rsidR="005206E7" w:rsidRPr="00B6342E" w:rsidRDefault="005206E7"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7" w:rsidRPr="008527BA" w:rsidRDefault="005206E7">
    <w:pPr>
      <w:pStyle w:val="Fuzeile"/>
      <w:jc w:val="left"/>
    </w:pPr>
    <w:r w:rsidRPr="008527BA">
      <w:rPr>
        <w:snapToGrid w:val="0"/>
        <w:sz w:val="18"/>
      </w:rPr>
      <w:t xml:space="preserve">Abgelegt in: </w:t>
    </w:r>
    <w:r>
      <w:rPr>
        <w:snapToGrid w:val="0"/>
        <w:sz w:val="18"/>
      </w:rPr>
      <w:fldChar w:fldCharType="begin"/>
    </w:r>
    <w:r w:rsidRPr="008527BA">
      <w:rPr>
        <w:snapToGrid w:val="0"/>
        <w:sz w:val="18"/>
      </w:rPr>
      <w:instrText xml:space="preserve"> FILENAME \p </w:instrText>
    </w:r>
    <w:r>
      <w:rPr>
        <w:snapToGrid w:val="0"/>
        <w:sz w:val="18"/>
      </w:rPr>
      <w:fldChar w:fldCharType="separate"/>
    </w:r>
    <w:r w:rsidR="00BC26B4">
      <w:rPr>
        <w:noProof/>
        <w:snapToGrid w:val="0"/>
        <w:sz w:val="18"/>
      </w:rPr>
      <w:t>https://ooeg.info/dokumente/Lists/KH_Tumorzentrum_Extern/Leitlinie Antiemese.docx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7" w:rsidRDefault="005206E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7" w:rsidRDefault="005206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3FF" w:rsidRDefault="00BB53FF">
      <w:r>
        <w:separator/>
      </w:r>
    </w:p>
    <w:p w:rsidR="00BB53FF" w:rsidRDefault="00BB53FF"/>
    <w:p w:rsidR="00BB53FF" w:rsidRDefault="00BB53FF"/>
  </w:footnote>
  <w:footnote w:type="continuationSeparator" w:id="0">
    <w:p w:rsidR="00BB53FF" w:rsidRDefault="00BB53FF">
      <w:r>
        <w:continuationSeparator/>
      </w:r>
    </w:p>
    <w:p w:rsidR="00BB53FF" w:rsidRDefault="00BB53FF"/>
    <w:p w:rsidR="00BB53FF" w:rsidRDefault="00BB53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7" w:rsidRDefault="005206E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C26B4">
      <w:rPr>
        <w:rStyle w:val="Seitenzahl"/>
        <w:noProof/>
      </w:rPr>
      <w:t>11</w:t>
    </w:r>
    <w:r>
      <w:rPr>
        <w:rStyle w:val="Seitenzahl"/>
      </w:rPr>
      <w:fldChar w:fldCharType="end"/>
    </w:r>
  </w:p>
  <w:p w:rsidR="005206E7" w:rsidRDefault="005206E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5206E7" w:rsidTr="0041262A">
      <w:tc>
        <w:tcPr>
          <w:tcW w:w="3687" w:type="dxa"/>
        </w:tcPr>
        <w:p w:rsidR="005206E7" w:rsidRDefault="005206E7" w:rsidP="00122609">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3A698EC4" wp14:editId="7E96D8EE">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rsidR="005206E7" w:rsidRDefault="005206E7" w:rsidP="00122609">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rsidR="005206E7" w:rsidRDefault="005206E7" w:rsidP="00122609">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rsidR="005206E7" w:rsidRDefault="005206E7" w:rsidP="00122609">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Antiemese</w:t>
              </w:r>
            </w:sdtContent>
          </w:sdt>
        </w:p>
      </w:tc>
    </w:tr>
  </w:tbl>
  <w:p w:rsidR="005206E7" w:rsidRDefault="005206E7"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7" w:rsidRDefault="005206E7">
    <w:pPr>
      <w:pStyle w:val="Kopfzeile"/>
      <w:jc w:val="right"/>
    </w:pPr>
    <w:r>
      <w:rPr>
        <w:noProof/>
        <w:sz w:val="20"/>
        <w:lang w:eastAsia="de-AT"/>
      </w:rPr>
      <w:drawing>
        <wp:anchor distT="0" distB="0" distL="114300" distR="114300" simplePos="0" relativeHeight="251657216" behindDoc="0" locked="0" layoutInCell="1" allowOverlap="1" wp14:anchorId="7C0D3099" wp14:editId="210E4D74">
          <wp:simplePos x="0" y="0"/>
          <wp:positionH relativeFrom="column">
            <wp:posOffset>-48895</wp:posOffset>
          </wp:positionH>
          <wp:positionV relativeFrom="paragraph">
            <wp:posOffset>-14605</wp:posOffset>
          </wp:positionV>
          <wp:extent cx="1010920" cy="310515"/>
          <wp:effectExtent l="0" t="0" r="0" b="0"/>
          <wp:wrapSquare wrapText="bothSides"/>
          <wp:docPr id="5"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sidR="00BC26B4">
      <w:rPr>
        <w:rStyle w:val="Seitenzahl"/>
        <w:noProof/>
        <w:sz w:val="18"/>
      </w:rPr>
      <w:t>11</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BC26B4">
      <w:rPr>
        <w:rStyle w:val="Seitenzahl"/>
        <w:noProof/>
        <w:sz w:val="18"/>
      </w:rPr>
      <w:t>11</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7" w:rsidRDefault="005206E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7" w:rsidRDefault="005206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0CD"/>
    <w:multiLevelType w:val="multilevel"/>
    <w:tmpl w:val="6CC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2" w15:restartNumberingAfterBreak="0">
    <w:nsid w:val="16B67A67"/>
    <w:multiLevelType w:val="hybridMultilevel"/>
    <w:tmpl w:val="831C3E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98732E"/>
    <w:multiLevelType w:val="hybridMultilevel"/>
    <w:tmpl w:val="FE1290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3228BB"/>
    <w:multiLevelType w:val="hybridMultilevel"/>
    <w:tmpl w:val="7DDA9C34"/>
    <w:lvl w:ilvl="0" w:tplc="AA10B3CE">
      <w:start w:val="1"/>
      <w:numFmt w:val="bullet"/>
      <w:lvlText w:val="-"/>
      <w:lvlJc w:val="left"/>
      <w:pPr>
        <w:ind w:left="643" w:hanging="360"/>
      </w:pPr>
      <w:rPr>
        <w:rFonts w:ascii="Calibri" w:eastAsia="Times New Roman" w:hAnsi="Calibri" w:cs="Calibri" w:hint="default"/>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5" w15:restartNumberingAfterBreak="0">
    <w:nsid w:val="23E42D9B"/>
    <w:multiLevelType w:val="hybridMultilevel"/>
    <w:tmpl w:val="2FDA25B8"/>
    <w:lvl w:ilvl="0" w:tplc="226CE05E">
      <w:start w:val="2"/>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6F5B52"/>
    <w:multiLevelType w:val="hybridMultilevel"/>
    <w:tmpl w:val="6930C70C"/>
    <w:lvl w:ilvl="0" w:tplc="ADC0428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D205531"/>
    <w:multiLevelType w:val="multilevel"/>
    <w:tmpl w:val="E1D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6760C"/>
    <w:multiLevelType w:val="multilevel"/>
    <w:tmpl w:val="F2A691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D2325D"/>
    <w:multiLevelType w:val="multilevel"/>
    <w:tmpl w:val="AF0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339EE"/>
    <w:multiLevelType w:val="hybridMultilevel"/>
    <w:tmpl w:val="43B26F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B01DAC"/>
    <w:multiLevelType w:val="multilevel"/>
    <w:tmpl w:val="00F4D79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D622631"/>
    <w:multiLevelType w:val="multilevel"/>
    <w:tmpl w:val="B76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B2277"/>
    <w:multiLevelType w:val="hybridMultilevel"/>
    <w:tmpl w:val="E12CE81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8E37FD5"/>
    <w:multiLevelType w:val="hybridMultilevel"/>
    <w:tmpl w:val="C0E6D4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75665A"/>
    <w:multiLevelType w:val="hybridMultilevel"/>
    <w:tmpl w:val="AA341D02"/>
    <w:lvl w:ilvl="0" w:tplc="717288E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B223A4"/>
    <w:multiLevelType w:val="multilevel"/>
    <w:tmpl w:val="0A3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13088"/>
    <w:multiLevelType w:val="multilevel"/>
    <w:tmpl w:val="3FA2982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EA5CB6"/>
    <w:multiLevelType w:val="hybridMultilevel"/>
    <w:tmpl w:val="97A2B4A0"/>
    <w:lvl w:ilvl="0" w:tplc="CF1CDA92">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A9C6A45"/>
    <w:multiLevelType w:val="multilevel"/>
    <w:tmpl w:val="31D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F62BF"/>
    <w:multiLevelType w:val="hybridMultilevel"/>
    <w:tmpl w:val="E6528BA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F1D1FCC"/>
    <w:multiLevelType w:val="multilevel"/>
    <w:tmpl w:val="A4DC37F8"/>
    <w:lvl w:ilvl="0">
      <w:start w:val="1"/>
      <w:numFmt w:val="decimal"/>
      <w:lvlText w:val="%1"/>
      <w:lvlJc w:val="left"/>
      <w:pPr>
        <w:tabs>
          <w:tab w:val="num" w:pos="432"/>
        </w:tabs>
        <w:ind w:left="432" w:hanging="432"/>
      </w:pPr>
      <w:rPr>
        <w:rFonts w:hint="default"/>
        <w:b w:val="0"/>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EB00D9"/>
    <w:multiLevelType w:val="hybridMultilevel"/>
    <w:tmpl w:val="724A1702"/>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3" w15:restartNumberingAfterBreak="0">
    <w:nsid w:val="78924452"/>
    <w:multiLevelType w:val="multilevel"/>
    <w:tmpl w:val="7EC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F1844"/>
    <w:multiLevelType w:val="multilevel"/>
    <w:tmpl w:val="4A6228D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1"/>
  </w:num>
  <w:num w:numId="3">
    <w:abstractNumId w:val="3"/>
  </w:num>
  <w:num w:numId="4">
    <w:abstractNumId w:val="16"/>
  </w:num>
  <w:num w:numId="5">
    <w:abstractNumId w:val="23"/>
  </w:num>
  <w:num w:numId="6">
    <w:abstractNumId w:val="9"/>
  </w:num>
  <w:num w:numId="7">
    <w:abstractNumId w:val="12"/>
  </w:num>
  <w:num w:numId="8">
    <w:abstractNumId w:val="0"/>
  </w:num>
  <w:num w:numId="9">
    <w:abstractNumId w:val="7"/>
  </w:num>
  <w:num w:numId="10">
    <w:abstractNumId w:val="19"/>
  </w:num>
  <w:num w:numId="11">
    <w:abstractNumId w:val="18"/>
  </w:num>
  <w:num w:numId="12">
    <w:abstractNumId w:val="20"/>
  </w:num>
  <w:num w:numId="13">
    <w:abstractNumId w:val="24"/>
  </w:num>
  <w:num w:numId="14">
    <w:abstractNumId w:val="6"/>
  </w:num>
  <w:num w:numId="15">
    <w:abstractNumId w:val="17"/>
  </w:num>
  <w:num w:numId="16">
    <w:abstractNumId w:val="10"/>
  </w:num>
  <w:num w:numId="17">
    <w:abstractNumId w:val="11"/>
  </w:num>
  <w:num w:numId="18">
    <w:abstractNumId w:val="21"/>
  </w:num>
  <w:num w:numId="19">
    <w:abstractNumId w:val="15"/>
  </w:num>
  <w:num w:numId="20">
    <w:abstractNumId w:val="14"/>
  </w:num>
  <w:num w:numId="21">
    <w:abstractNumId w:val="21"/>
  </w:num>
  <w:num w:numId="22">
    <w:abstractNumId w:val="21"/>
  </w:num>
  <w:num w:numId="23">
    <w:abstractNumId w:val="21"/>
  </w:num>
  <w:num w:numId="24">
    <w:abstractNumId w:val="8"/>
  </w:num>
  <w:num w:numId="25">
    <w:abstractNumId w:val="21"/>
  </w:num>
  <w:num w:numId="26">
    <w:abstractNumId w:val="21"/>
  </w:num>
  <w:num w:numId="27">
    <w:abstractNumId w:val="13"/>
  </w:num>
  <w:num w:numId="28">
    <w:abstractNumId w:val="22"/>
  </w:num>
  <w:num w:numId="29">
    <w:abstractNumId w:val="21"/>
  </w:num>
  <w:num w:numId="30">
    <w:abstractNumId w:val="21"/>
  </w:num>
  <w:num w:numId="31">
    <w:abstractNumId w:val="21"/>
  </w:num>
  <w:num w:numId="32">
    <w:abstractNumId w:val="5"/>
  </w:num>
  <w:num w:numId="33">
    <w:abstractNumId w:val="2"/>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0CD5"/>
    <w:rsid w:val="000046F3"/>
    <w:rsid w:val="00004C32"/>
    <w:rsid w:val="00007A0D"/>
    <w:rsid w:val="00010449"/>
    <w:rsid w:val="00013889"/>
    <w:rsid w:val="00020C03"/>
    <w:rsid w:val="0002186C"/>
    <w:rsid w:val="00030D42"/>
    <w:rsid w:val="00045ABC"/>
    <w:rsid w:val="0005627C"/>
    <w:rsid w:val="000660ED"/>
    <w:rsid w:val="000804DA"/>
    <w:rsid w:val="0008449B"/>
    <w:rsid w:val="00090105"/>
    <w:rsid w:val="0009476C"/>
    <w:rsid w:val="000A03AA"/>
    <w:rsid w:val="000A2694"/>
    <w:rsid w:val="000A370F"/>
    <w:rsid w:val="000B415A"/>
    <w:rsid w:val="000B5AA0"/>
    <w:rsid w:val="000C1C85"/>
    <w:rsid w:val="000C2005"/>
    <w:rsid w:val="000D2A3E"/>
    <w:rsid w:val="000D410A"/>
    <w:rsid w:val="000D51A4"/>
    <w:rsid w:val="000D5C01"/>
    <w:rsid w:val="000E38B9"/>
    <w:rsid w:val="000E3EFA"/>
    <w:rsid w:val="00100418"/>
    <w:rsid w:val="00104993"/>
    <w:rsid w:val="00107704"/>
    <w:rsid w:val="001123EF"/>
    <w:rsid w:val="00115BB4"/>
    <w:rsid w:val="00122609"/>
    <w:rsid w:val="00122B2D"/>
    <w:rsid w:val="00122DB8"/>
    <w:rsid w:val="00136301"/>
    <w:rsid w:val="00137388"/>
    <w:rsid w:val="001448E2"/>
    <w:rsid w:val="00170FFF"/>
    <w:rsid w:val="00183A5B"/>
    <w:rsid w:val="00183CD1"/>
    <w:rsid w:val="001876E7"/>
    <w:rsid w:val="00187C83"/>
    <w:rsid w:val="00190BBB"/>
    <w:rsid w:val="00195521"/>
    <w:rsid w:val="001A336E"/>
    <w:rsid w:val="001A34B8"/>
    <w:rsid w:val="001B222A"/>
    <w:rsid w:val="001B5A29"/>
    <w:rsid w:val="001C2175"/>
    <w:rsid w:val="001C7A96"/>
    <w:rsid w:val="001D11C7"/>
    <w:rsid w:val="001D34A4"/>
    <w:rsid w:val="001D7E0B"/>
    <w:rsid w:val="001E1068"/>
    <w:rsid w:val="001E6293"/>
    <w:rsid w:val="001F0AAD"/>
    <w:rsid w:val="001F172F"/>
    <w:rsid w:val="001F2BEC"/>
    <w:rsid w:val="001F719F"/>
    <w:rsid w:val="002138DB"/>
    <w:rsid w:val="00217C51"/>
    <w:rsid w:val="002201ED"/>
    <w:rsid w:val="00223C73"/>
    <w:rsid w:val="00230C08"/>
    <w:rsid w:val="00236316"/>
    <w:rsid w:val="00242DD4"/>
    <w:rsid w:val="00250E53"/>
    <w:rsid w:val="0025127B"/>
    <w:rsid w:val="00253E3B"/>
    <w:rsid w:val="00264ECF"/>
    <w:rsid w:val="00274D64"/>
    <w:rsid w:val="002758C3"/>
    <w:rsid w:val="00293BE4"/>
    <w:rsid w:val="00294A5B"/>
    <w:rsid w:val="002971CA"/>
    <w:rsid w:val="002A2023"/>
    <w:rsid w:val="002A2E15"/>
    <w:rsid w:val="002A79FE"/>
    <w:rsid w:val="002B67EF"/>
    <w:rsid w:val="002C2915"/>
    <w:rsid w:val="002C59E1"/>
    <w:rsid w:val="002E0EC5"/>
    <w:rsid w:val="002E4DD8"/>
    <w:rsid w:val="002E7743"/>
    <w:rsid w:val="002F296D"/>
    <w:rsid w:val="002F5532"/>
    <w:rsid w:val="003050D6"/>
    <w:rsid w:val="00306603"/>
    <w:rsid w:val="00313B47"/>
    <w:rsid w:val="003154EF"/>
    <w:rsid w:val="0032635C"/>
    <w:rsid w:val="00327D55"/>
    <w:rsid w:val="00327F40"/>
    <w:rsid w:val="00330662"/>
    <w:rsid w:val="00330AFE"/>
    <w:rsid w:val="00332A40"/>
    <w:rsid w:val="00351158"/>
    <w:rsid w:val="003513E5"/>
    <w:rsid w:val="00354C84"/>
    <w:rsid w:val="0036219A"/>
    <w:rsid w:val="00386D6E"/>
    <w:rsid w:val="003A70E3"/>
    <w:rsid w:val="003B09BE"/>
    <w:rsid w:val="003B6656"/>
    <w:rsid w:val="003C182E"/>
    <w:rsid w:val="003C4308"/>
    <w:rsid w:val="003C4B7F"/>
    <w:rsid w:val="003C6310"/>
    <w:rsid w:val="003D245A"/>
    <w:rsid w:val="003F0DB4"/>
    <w:rsid w:val="003F1D05"/>
    <w:rsid w:val="003F7A50"/>
    <w:rsid w:val="00403884"/>
    <w:rsid w:val="0041262A"/>
    <w:rsid w:val="00416A25"/>
    <w:rsid w:val="00420802"/>
    <w:rsid w:val="004252AA"/>
    <w:rsid w:val="00430E05"/>
    <w:rsid w:val="0043259C"/>
    <w:rsid w:val="004451D6"/>
    <w:rsid w:val="00450568"/>
    <w:rsid w:val="0045594E"/>
    <w:rsid w:val="00463524"/>
    <w:rsid w:val="00470F84"/>
    <w:rsid w:val="00476F37"/>
    <w:rsid w:val="00480033"/>
    <w:rsid w:val="00484ECA"/>
    <w:rsid w:val="00486C3A"/>
    <w:rsid w:val="00491093"/>
    <w:rsid w:val="0049768A"/>
    <w:rsid w:val="004A1A15"/>
    <w:rsid w:val="004B682C"/>
    <w:rsid w:val="004D00CF"/>
    <w:rsid w:val="004D5CA7"/>
    <w:rsid w:val="004D7087"/>
    <w:rsid w:val="004E118C"/>
    <w:rsid w:val="004F0D6D"/>
    <w:rsid w:val="004F1414"/>
    <w:rsid w:val="004F5A6E"/>
    <w:rsid w:val="005137A2"/>
    <w:rsid w:val="005163F4"/>
    <w:rsid w:val="00516467"/>
    <w:rsid w:val="005206E7"/>
    <w:rsid w:val="00522FFB"/>
    <w:rsid w:val="00524A45"/>
    <w:rsid w:val="00534643"/>
    <w:rsid w:val="00542ABC"/>
    <w:rsid w:val="00545067"/>
    <w:rsid w:val="00550304"/>
    <w:rsid w:val="00552353"/>
    <w:rsid w:val="005546AB"/>
    <w:rsid w:val="005716B3"/>
    <w:rsid w:val="005819D5"/>
    <w:rsid w:val="005847E4"/>
    <w:rsid w:val="005915C3"/>
    <w:rsid w:val="00592BA2"/>
    <w:rsid w:val="005973BD"/>
    <w:rsid w:val="005A3EDD"/>
    <w:rsid w:val="005C2135"/>
    <w:rsid w:val="005C5568"/>
    <w:rsid w:val="005D16A1"/>
    <w:rsid w:val="005D23B9"/>
    <w:rsid w:val="005D4351"/>
    <w:rsid w:val="005D5403"/>
    <w:rsid w:val="005E0058"/>
    <w:rsid w:val="00601C83"/>
    <w:rsid w:val="00612502"/>
    <w:rsid w:val="0062318C"/>
    <w:rsid w:val="00632D4B"/>
    <w:rsid w:val="00665447"/>
    <w:rsid w:val="00670B44"/>
    <w:rsid w:val="0067150E"/>
    <w:rsid w:val="00671A8B"/>
    <w:rsid w:val="006912D7"/>
    <w:rsid w:val="006914E3"/>
    <w:rsid w:val="006A0570"/>
    <w:rsid w:val="006A3E7B"/>
    <w:rsid w:val="006A46C0"/>
    <w:rsid w:val="006A5DF9"/>
    <w:rsid w:val="006B36B6"/>
    <w:rsid w:val="006B7F85"/>
    <w:rsid w:val="006C5EB4"/>
    <w:rsid w:val="006C6AFC"/>
    <w:rsid w:val="006D1BA1"/>
    <w:rsid w:val="006D4DAC"/>
    <w:rsid w:val="006D6C87"/>
    <w:rsid w:val="006F423C"/>
    <w:rsid w:val="00701184"/>
    <w:rsid w:val="007013C8"/>
    <w:rsid w:val="007044C6"/>
    <w:rsid w:val="00710490"/>
    <w:rsid w:val="007132F1"/>
    <w:rsid w:val="007153C6"/>
    <w:rsid w:val="007172A6"/>
    <w:rsid w:val="00733408"/>
    <w:rsid w:val="00734878"/>
    <w:rsid w:val="007473D9"/>
    <w:rsid w:val="00784585"/>
    <w:rsid w:val="00793157"/>
    <w:rsid w:val="00794700"/>
    <w:rsid w:val="007A3598"/>
    <w:rsid w:val="007A5909"/>
    <w:rsid w:val="007B18CF"/>
    <w:rsid w:val="007C18C9"/>
    <w:rsid w:val="007C2C37"/>
    <w:rsid w:val="007F0A54"/>
    <w:rsid w:val="007F3064"/>
    <w:rsid w:val="007F31F3"/>
    <w:rsid w:val="00800B21"/>
    <w:rsid w:val="008076E7"/>
    <w:rsid w:val="008229D9"/>
    <w:rsid w:val="00822E59"/>
    <w:rsid w:val="00832A4E"/>
    <w:rsid w:val="00836EC1"/>
    <w:rsid w:val="00837FDE"/>
    <w:rsid w:val="008456E6"/>
    <w:rsid w:val="008527BA"/>
    <w:rsid w:val="008544D2"/>
    <w:rsid w:val="00864E4B"/>
    <w:rsid w:val="008772E0"/>
    <w:rsid w:val="008775DC"/>
    <w:rsid w:val="00880B3B"/>
    <w:rsid w:val="008A1E23"/>
    <w:rsid w:val="008A1FC0"/>
    <w:rsid w:val="008A3694"/>
    <w:rsid w:val="008A64B2"/>
    <w:rsid w:val="008A7324"/>
    <w:rsid w:val="008B1DC3"/>
    <w:rsid w:val="008B2595"/>
    <w:rsid w:val="008B2917"/>
    <w:rsid w:val="008C1A05"/>
    <w:rsid w:val="008E0D7C"/>
    <w:rsid w:val="008E2288"/>
    <w:rsid w:val="008E2521"/>
    <w:rsid w:val="008E314A"/>
    <w:rsid w:val="008F3C62"/>
    <w:rsid w:val="008F4D5E"/>
    <w:rsid w:val="00900461"/>
    <w:rsid w:val="00907EF6"/>
    <w:rsid w:val="00913D1D"/>
    <w:rsid w:val="009229DF"/>
    <w:rsid w:val="009266F9"/>
    <w:rsid w:val="00930395"/>
    <w:rsid w:val="00932ADE"/>
    <w:rsid w:val="00934CFE"/>
    <w:rsid w:val="00936E0F"/>
    <w:rsid w:val="0095092F"/>
    <w:rsid w:val="00951BE2"/>
    <w:rsid w:val="00954D2C"/>
    <w:rsid w:val="0096220B"/>
    <w:rsid w:val="0096742E"/>
    <w:rsid w:val="00980352"/>
    <w:rsid w:val="009817F0"/>
    <w:rsid w:val="0099254E"/>
    <w:rsid w:val="009952D0"/>
    <w:rsid w:val="00996D15"/>
    <w:rsid w:val="009A01D6"/>
    <w:rsid w:val="009A6222"/>
    <w:rsid w:val="009A6D95"/>
    <w:rsid w:val="009C1F85"/>
    <w:rsid w:val="009C39DC"/>
    <w:rsid w:val="00A24E96"/>
    <w:rsid w:val="00A34AB1"/>
    <w:rsid w:val="00A408D0"/>
    <w:rsid w:val="00A416F4"/>
    <w:rsid w:val="00A47853"/>
    <w:rsid w:val="00A6435E"/>
    <w:rsid w:val="00A76551"/>
    <w:rsid w:val="00A90B48"/>
    <w:rsid w:val="00A9584A"/>
    <w:rsid w:val="00AA0D47"/>
    <w:rsid w:val="00AA5041"/>
    <w:rsid w:val="00AA5099"/>
    <w:rsid w:val="00AA7B86"/>
    <w:rsid w:val="00AB010D"/>
    <w:rsid w:val="00AB20C4"/>
    <w:rsid w:val="00AB6554"/>
    <w:rsid w:val="00AC302B"/>
    <w:rsid w:val="00AC420E"/>
    <w:rsid w:val="00AC7335"/>
    <w:rsid w:val="00AD1B8D"/>
    <w:rsid w:val="00AE19D7"/>
    <w:rsid w:val="00AE4FFB"/>
    <w:rsid w:val="00AE7C12"/>
    <w:rsid w:val="00AF5388"/>
    <w:rsid w:val="00AF7329"/>
    <w:rsid w:val="00B00C98"/>
    <w:rsid w:val="00B1118B"/>
    <w:rsid w:val="00B11B7C"/>
    <w:rsid w:val="00B27C1B"/>
    <w:rsid w:val="00B301A0"/>
    <w:rsid w:val="00B3626A"/>
    <w:rsid w:val="00B45D8B"/>
    <w:rsid w:val="00B558AF"/>
    <w:rsid w:val="00B63247"/>
    <w:rsid w:val="00B6342E"/>
    <w:rsid w:val="00B716EB"/>
    <w:rsid w:val="00B76073"/>
    <w:rsid w:val="00B76C7B"/>
    <w:rsid w:val="00B80CD1"/>
    <w:rsid w:val="00B90850"/>
    <w:rsid w:val="00B96F18"/>
    <w:rsid w:val="00B975B4"/>
    <w:rsid w:val="00BA6342"/>
    <w:rsid w:val="00BA6854"/>
    <w:rsid w:val="00BB0871"/>
    <w:rsid w:val="00BB2D1D"/>
    <w:rsid w:val="00BB53FF"/>
    <w:rsid w:val="00BC26B4"/>
    <w:rsid w:val="00BD259B"/>
    <w:rsid w:val="00BD2FE2"/>
    <w:rsid w:val="00BD5AAD"/>
    <w:rsid w:val="00BE369A"/>
    <w:rsid w:val="00C00762"/>
    <w:rsid w:val="00C02676"/>
    <w:rsid w:val="00C12E87"/>
    <w:rsid w:val="00C13A30"/>
    <w:rsid w:val="00C206CC"/>
    <w:rsid w:val="00C22651"/>
    <w:rsid w:val="00C26F7E"/>
    <w:rsid w:val="00C31943"/>
    <w:rsid w:val="00C3383C"/>
    <w:rsid w:val="00C43598"/>
    <w:rsid w:val="00C46AF6"/>
    <w:rsid w:val="00C47A83"/>
    <w:rsid w:val="00C529CA"/>
    <w:rsid w:val="00C52CD3"/>
    <w:rsid w:val="00C544D1"/>
    <w:rsid w:val="00C57FBE"/>
    <w:rsid w:val="00C709F4"/>
    <w:rsid w:val="00C758E7"/>
    <w:rsid w:val="00C80423"/>
    <w:rsid w:val="00C81BA8"/>
    <w:rsid w:val="00C86F05"/>
    <w:rsid w:val="00C90FB9"/>
    <w:rsid w:val="00CA5AAA"/>
    <w:rsid w:val="00CA75DF"/>
    <w:rsid w:val="00CC6C61"/>
    <w:rsid w:val="00CD4213"/>
    <w:rsid w:val="00CD6389"/>
    <w:rsid w:val="00CD6909"/>
    <w:rsid w:val="00CE09EE"/>
    <w:rsid w:val="00CE59DE"/>
    <w:rsid w:val="00CE61EB"/>
    <w:rsid w:val="00CE62F5"/>
    <w:rsid w:val="00CF0EFD"/>
    <w:rsid w:val="00CF3031"/>
    <w:rsid w:val="00D02334"/>
    <w:rsid w:val="00D03B7B"/>
    <w:rsid w:val="00D20093"/>
    <w:rsid w:val="00D21D92"/>
    <w:rsid w:val="00D423A0"/>
    <w:rsid w:val="00D570ED"/>
    <w:rsid w:val="00D57F20"/>
    <w:rsid w:val="00D60E5E"/>
    <w:rsid w:val="00D626AE"/>
    <w:rsid w:val="00D71064"/>
    <w:rsid w:val="00D76EF9"/>
    <w:rsid w:val="00D777C4"/>
    <w:rsid w:val="00D85B76"/>
    <w:rsid w:val="00D923DA"/>
    <w:rsid w:val="00D960A9"/>
    <w:rsid w:val="00DA275D"/>
    <w:rsid w:val="00DA784B"/>
    <w:rsid w:val="00DB3EB6"/>
    <w:rsid w:val="00DB67BC"/>
    <w:rsid w:val="00DC33C7"/>
    <w:rsid w:val="00DC65EB"/>
    <w:rsid w:val="00DC74E7"/>
    <w:rsid w:val="00DD7B03"/>
    <w:rsid w:val="00DF4FAC"/>
    <w:rsid w:val="00DF62C6"/>
    <w:rsid w:val="00E036CC"/>
    <w:rsid w:val="00E12F9B"/>
    <w:rsid w:val="00E344D4"/>
    <w:rsid w:val="00E408C7"/>
    <w:rsid w:val="00E475D2"/>
    <w:rsid w:val="00E47D7B"/>
    <w:rsid w:val="00E55456"/>
    <w:rsid w:val="00E56514"/>
    <w:rsid w:val="00E62655"/>
    <w:rsid w:val="00E63272"/>
    <w:rsid w:val="00E67988"/>
    <w:rsid w:val="00E76AE2"/>
    <w:rsid w:val="00EB12B7"/>
    <w:rsid w:val="00EC5A5C"/>
    <w:rsid w:val="00ED1117"/>
    <w:rsid w:val="00ED24ED"/>
    <w:rsid w:val="00EF0F48"/>
    <w:rsid w:val="00EF46F8"/>
    <w:rsid w:val="00F21AD4"/>
    <w:rsid w:val="00F31FAD"/>
    <w:rsid w:val="00F4202F"/>
    <w:rsid w:val="00F443D5"/>
    <w:rsid w:val="00F5029D"/>
    <w:rsid w:val="00F52C07"/>
    <w:rsid w:val="00F54D35"/>
    <w:rsid w:val="00F55814"/>
    <w:rsid w:val="00F55B3C"/>
    <w:rsid w:val="00F70285"/>
    <w:rsid w:val="00F72AC8"/>
    <w:rsid w:val="00F72F26"/>
    <w:rsid w:val="00F73C57"/>
    <w:rsid w:val="00F74762"/>
    <w:rsid w:val="00F74E28"/>
    <w:rsid w:val="00F81309"/>
    <w:rsid w:val="00FA0941"/>
    <w:rsid w:val="00FA5241"/>
    <w:rsid w:val="00FC4D2C"/>
    <w:rsid w:val="00FD6D58"/>
    <w:rsid w:val="00FF3C35"/>
    <w:rsid w:val="00FF7A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620CC1C-E26D-46BA-9B41-2B592332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450568"/>
    <w:pPr>
      <w:keepNext/>
      <w:numPr>
        <w:ilvl w:val="2"/>
        <w:numId w:val="2"/>
      </w:numPr>
      <w:jc w:val="left"/>
      <w:outlineLvl w:val="2"/>
    </w:pPr>
    <w:rPr>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uiPriority w:val="39"/>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0D410A"/>
    <w:pPr>
      <w:tabs>
        <w:tab w:val="left" w:pos="851"/>
        <w:tab w:val="right" w:leader="dot" w:pos="9372"/>
      </w:tabs>
      <w:spacing w:after="100"/>
      <w:ind w:left="220"/>
      <w:jc w:val="both"/>
    </w:pPr>
  </w:style>
  <w:style w:type="paragraph" w:styleId="Verzeichnis3">
    <w:name w:val="toc 3"/>
    <w:basedOn w:val="Standard"/>
    <w:next w:val="Standard"/>
    <w:autoRedefine/>
    <w:uiPriority w:val="39"/>
    <w:rsid w:val="00D777C4"/>
    <w:pPr>
      <w:spacing w:after="100"/>
      <w:ind w:left="440"/>
    </w:pPr>
  </w:style>
  <w:style w:type="character" w:styleId="Kommentarzeichen">
    <w:name w:val="annotation reference"/>
    <w:basedOn w:val="Absatz-Standardschriftart"/>
    <w:rsid w:val="00B716EB"/>
    <w:rPr>
      <w:sz w:val="16"/>
      <w:szCs w:val="16"/>
    </w:rPr>
  </w:style>
  <w:style w:type="paragraph" w:styleId="Kommentartext">
    <w:name w:val="annotation text"/>
    <w:basedOn w:val="Standard"/>
    <w:link w:val="KommentartextZchn"/>
    <w:rsid w:val="00B716EB"/>
    <w:pPr>
      <w:spacing w:line="240" w:lineRule="auto"/>
    </w:pPr>
    <w:rPr>
      <w:sz w:val="20"/>
    </w:rPr>
  </w:style>
  <w:style w:type="character" w:customStyle="1" w:styleId="KommentartextZchn">
    <w:name w:val="Kommentartext Zchn"/>
    <w:basedOn w:val="Absatz-Standardschriftart"/>
    <w:link w:val="Kommentartext"/>
    <w:rsid w:val="00B716EB"/>
    <w:rPr>
      <w:rFonts w:ascii="Arial" w:hAnsi="Arial"/>
      <w:lang w:eastAsia="de-DE"/>
    </w:rPr>
  </w:style>
  <w:style w:type="paragraph" w:styleId="Kommentarthema">
    <w:name w:val="annotation subject"/>
    <w:basedOn w:val="Kommentartext"/>
    <w:next w:val="Kommentartext"/>
    <w:link w:val="KommentarthemaZchn"/>
    <w:rsid w:val="00B716EB"/>
    <w:rPr>
      <w:b/>
      <w:bCs/>
    </w:rPr>
  </w:style>
  <w:style w:type="character" w:customStyle="1" w:styleId="KommentarthemaZchn">
    <w:name w:val="Kommentarthema Zchn"/>
    <w:basedOn w:val="KommentartextZchn"/>
    <w:link w:val="Kommentarthema"/>
    <w:rsid w:val="00B716EB"/>
    <w:rPr>
      <w:rFonts w:ascii="Arial" w:hAnsi="Arial"/>
      <w:b/>
      <w:bCs/>
      <w:lang w:eastAsia="de-DE"/>
    </w:rPr>
  </w:style>
  <w:style w:type="character" w:customStyle="1" w:styleId="KopfzeileZchn">
    <w:name w:val="Kopfzeile Zchn"/>
    <w:basedOn w:val="Absatz-Standardschriftart"/>
    <w:link w:val="Kopfzeile"/>
    <w:rsid w:val="00122609"/>
    <w:rPr>
      <w:rFonts w:ascii="Arial" w:hAnsi="Arial"/>
      <w:sz w:val="22"/>
      <w:lang w:eastAsia="de-DE"/>
    </w:rPr>
  </w:style>
  <w:style w:type="character" w:customStyle="1" w:styleId="acopre">
    <w:name w:val="acopre"/>
    <w:basedOn w:val="Absatz-Standardschriftart"/>
    <w:rsid w:val="0013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0979">
      <w:bodyDiv w:val="1"/>
      <w:marLeft w:val="0"/>
      <w:marRight w:val="0"/>
      <w:marTop w:val="0"/>
      <w:marBottom w:val="0"/>
      <w:divBdr>
        <w:top w:val="none" w:sz="0" w:space="0" w:color="auto"/>
        <w:left w:val="none" w:sz="0" w:space="0" w:color="auto"/>
        <w:bottom w:val="none" w:sz="0" w:space="0" w:color="auto"/>
        <w:right w:val="none" w:sz="0" w:space="0" w:color="auto"/>
      </w:divBdr>
    </w:div>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385">
      <w:bodyDiv w:val="1"/>
      <w:marLeft w:val="0"/>
      <w:marRight w:val="0"/>
      <w:marTop w:val="0"/>
      <w:marBottom w:val="0"/>
      <w:divBdr>
        <w:top w:val="none" w:sz="0" w:space="0" w:color="auto"/>
        <w:left w:val="none" w:sz="0" w:space="0" w:color="auto"/>
        <w:bottom w:val="none" w:sz="0" w:space="0" w:color="auto"/>
        <w:right w:val="none" w:sz="0" w:space="0" w:color="auto"/>
      </w:divBdr>
    </w:div>
    <w:div w:id="256669674">
      <w:bodyDiv w:val="1"/>
      <w:marLeft w:val="0"/>
      <w:marRight w:val="0"/>
      <w:marTop w:val="0"/>
      <w:marBottom w:val="0"/>
      <w:divBdr>
        <w:top w:val="none" w:sz="0" w:space="0" w:color="auto"/>
        <w:left w:val="none" w:sz="0" w:space="0" w:color="auto"/>
        <w:bottom w:val="none" w:sz="0" w:space="0" w:color="auto"/>
        <w:right w:val="none" w:sz="0" w:space="0" w:color="auto"/>
      </w:divBdr>
    </w:div>
    <w:div w:id="257837014">
      <w:bodyDiv w:val="1"/>
      <w:marLeft w:val="0"/>
      <w:marRight w:val="0"/>
      <w:marTop w:val="0"/>
      <w:marBottom w:val="0"/>
      <w:divBdr>
        <w:top w:val="none" w:sz="0" w:space="0" w:color="auto"/>
        <w:left w:val="none" w:sz="0" w:space="0" w:color="auto"/>
        <w:bottom w:val="none" w:sz="0" w:space="0" w:color="auto"/>
        <w:right w:val="none" w:sz="0" w:space="0" w:color="auto"/>
      </w:divBdr>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406851170">
      <w:bodyDiv w:val="1"/>
      <w:marLeft w:val="0"/>
      <w:marRight w:val="0"/>
      <w:marTop w:val="0"/>
      <w:marBottom w:val="0"/>
      <w:divBdr>
        <w:top w:val="none" w:sz="0" w:space="0" w:color="auto"/>
        <w:left w:val="none" w:sz="0" w:space="0" w:color="auto"/>
        <w:bottom w:val="none" w:sz="0" w:space="0" w:color="auto"/>
        <w:right w:val="none" w:sz="0" w:space="0" w:color="auto"/>
      </w:divBdr>
    </w:div>
    <w:div w:id="450592428">
      <w:bodyDiv w:val="1"/>
      <w:marLeft w:val="0"/>
      <w:marRight w:val="0"/>
      <w:marTop w:val="0"/>
      <w:marBottom w:val="0"/>
      <w:divBdr>
        <w:top w:val="none" w:sz="0" w:space="0" w:color="auto"/>
        <w:left w:val="none" w:sz="0" w:space="0" w:color="auto"/>
        <w:bottom w:val="none" w:sz="0" w:space="0" w:color="auto"/>
        <w:right w:val="none" w:sz="0" w:space="0" w:color="auto"/>
      </w:divBdr>
    </w:div>
    <w:div w:id="500389933">
      <w:bodyDiv w:val="1"/>
      <w:marLeft w:val="0"/>
      <w:marRight w:val="0"/>
      <w:marTop w:val="0"/>
      <w:marBottom w:val="0"/>
      <w:divBdr>
        <w:top w:val="none" w:sz="0" w:space="0" w:color="auto"/>
        <w:left w:val="none" w:sz="0" w:space="0" w:color="auto"/>
        <w:bottom w:val="none" w:sz="0" w:space="0" w:color="auto"/>
        <w:right w:val="none" w:sz="0" w:space="0" w:color="auto"/>
      </w:divBdr>
    </w:div>
    <w:div w:id="541409079">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1422875666">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5960">
      <w:bodyDiv w:val="1"/>
      <w:marLeft w:val="0"/>
      <w:marRight w:val="0"/>
      <w:marTop w:val="0"/>
      <w:marBottom w:val="0"/>
      <w:divBdr>
        <w:top w:val="none" w:sz="0" w:space="0" w:color="auto"/>
        <w:left w:val="none" w:sz="0" w:space="0" w:color="auto"/>
        <w:bottom w:val="none" w:sz="0" w:space="0" w:color="auto"/>
        <w:right w:val="none" w:sz="0" w:space="0" w:color="auto"/>
      </w:divBdr>
    </w:div>
    <w:div w:id="21007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660B8"/>
    <w:rsid w:val="00091302"/>
    <w:rsid w:val="000B2B28"/>
    <w:rsid w:val="000F0598"/>
    <w:rsid w:val="0020072C"/>
    <w:rsid w:val="00287F6C"/>
    <w:rsid w:val="002E0504"/>
    <w:rsid w:val="003207F8"/>
    <w:rsid w:val="00376D55"/>
    <w:rsid w:val="003A13AC"/>
    <w:rsid w:val="004A08F3"/>
    <w:rsid w:val="004C7812"/>
    <w:rsid w:val="0053681E"/>
    <w:rsid w:val="005E74E7"/>
    <w:rsid w:val="00623CD5"/>
    <w:rsid w:val="0066123F"/>
    <w:rsid w:val="00691EC7"/>
    <w:rsid w:val="006A3D32"/>
    <w:rsid w:val="00735E6B"/>
    <w:rsid w:val="00741567"/>
    <w:rsid w:val="008B0FC9"/>
    <w:rsid w:val="008C73B5"/>
    <w:rsid w:val="008D531A"/>
    <w:rsid w:val="009375A1"/>
    <w:rsid w:val="009B748A"/>
    <w:rsid w:val="00A665D5"/>
    <w:rsid w:val="00B25D9E"/>
    <w:rsid w:val="00B853EA"/>
    <w:rsid w:val="00C223BC"/>
    <w:rsid w:val="00C9385A"/>
    <w:rsid w:val="00CE7B78"/>
    <w:rsid w:val="00D74F1C"/>
    <w:rsid w:val="00E50CF5"/>
    <w:rsid w:val="00E62305"/>
    <w:rsid w:val="00E700AC"/>
    <w:rsid w:val="00EC50B4"/>
    <w:rsid w:val="00ED7CDB"/>
    <w:rsid w:val="00F21A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https://ooeg.info/dokumente/_layouts/gespag.dfr/revise.aspx?IsDlg=1&amp;listID=18c45198-6fc7-4da6-aad9-951c94b71f4f&amp;itemID=112, revisionieren</dfr_actionlink>
    <dfr_prevdepartment xmlns="http://schemas.microsoft.com/sharepoint/v3" xsi:nil="true"/>
    <dfr_creator xmlns="http://schemas.microsoft.com/sharepoint/v3">
      <UserInfo>
        <DisplayName>Pichler, Thomas</DisplayName>
        <AccountId>1332</AccountId>
        <AccountType/>
      </UserInfo>
      <UserInfo>
        <DisplayName>Schreil, Georg</DisplayName>
        <AccountId>8397</AccountId>
        <AccountType/>
      </UserInfo>
    </dfr_creator>
    <dfr_approvalid xmlns="http://schemas.microsoft.com/sharepoint/v3">24294915-66cc-4259-8c34-80257e1caebd</dfr_approvalid>
    <dfr_taskinitializer xmlns="http://schemas.microsoft.com/sharepoint/v3">
      <UserInfo>
        <DisplayName>Pichler, Thomas</DisplayName>
        <AccountId>28327</AccountId>
        <AccountType/>
      </UserInfo>
    </dfr_taskinitializer>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21.03.2022 13:16:39 Pichler, Thomas (Initiator) : Freigabe der Revision Mag. Pernkopf per Mail vom 21.03.2022
(Anm: Heuer kein Handlungsbedarf bei der Leitlinie Antiemese gegeben – wird sie so belassen und es werden nur die Kategorisierungen der Wirkstoffe aktualisiert)
21.03.2022 13:16:51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2023-03-21T12:16:53+00:00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sonstige</dfr_department>
    <dfr_taskownerresponsibility xmlns="http://schemas.microsoft.com/sharepoint/v3" xsi:nil="true"/>
    <dfr_publisheddate xmlns="http://schemas.microsoft.com/sharepoint/v3">2022-03-21T12:16:51+00:00</dfr_publisheddate>
    <dfr_location xmlns="http://schemas.microsoft.com/sharepoint/v3">KH</dfr_location>
    <customfield_majorversion xmlns="http://schemas.microsoft.com/sharepoint/v3" xsi:nil="true"/>
    <dfr_majorversion xmlns="18c45198-6fc7-4da6-aad9-951c94b71f4f">11.0</dfr_majorversion>
    <dfr_classification xmlns="18c45198-6fc7-4da6-aad9-951c94b71f4f">öffentlich</dfr_classification>
    <dfr_nextasknotification xmlns="18c45198-6fc7-4da6-aad9-951c94b71f4f" xsi:nil="true"/>
    <dfr_inforecipients xmlns="http://schemas.microsoft.com/sharepoint/v3">
      <UserInfo>
        <DisplayName/>
        <AccountId xsi:nil="true"/>
        <AccountType/>
      </UserInfo>
    </dfr_inforecipients>
    <dfr_infodistributionlist xmlns="http://schemas.microsoft.com/sharepoint/v3" xsi:nil="true"/>
    <TaxCatchAll xmlns="824990fe-55f0-45e8-a37e-05db7cf8aedc"/>
    <TaxKeywordTaxHTField xmlns="824990fe-55f0-45e8-a37e-05db7cf8aedc">
      <Terms xmlns="http://schemas.microsoft.com/office/infopath/2007/PartnerControls"/>
    </TaxKeywordTaxHTField>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8DABD-E4DE-4B04-BCA9-51C84FDC6DF9}"/>
</file>

<file path=customXml/itemProps2.xml><?xml version="1.0" encoding="utf-8"?>
<ds:datastoreItem xmlns:ds="http://schemas.openxmlformats.org/officeDocument/2006/customXml" ds:itemID="{274BC783-A813-4297-99AD-9E9E8A1521E2}"/>
</file>

<file path=customXml/itemProps3.xml><?xml version="1.0" encoding="utf-8"?>
<ds:datastoreItem xmlns:ds="http://schemas.openxmlformats.org/officeDocument/2006/customXml" ds:itemID="{E20FE06A-E31F-40A7-8894-4B5B42C79A73}"/>
</file>

<file path=customXml/itemProps4.xml><?xml version="1.0" encoding="utf-8"?>
<ds:datastoreItem xmlns:ds="http://schemas.openxmlformats.org/officeDocument/2006/customXml" ds:itemID="{1532C1A9-97FD-4D8B-9D57-96EDE406038D}"/>
</file>

<file path=docProps/app.xml><?xml version="1.0" encoding="utf-8"?>
<Properties xmlns="http://schemas.openxmlformats.org/officeDocument/2006/extended-properties" xmlns:vt="http://schemas.openxmlformats.org/officeDocument/2006/docPropsVTypes">
  <Template>Normal</Template>
  <TotalTime>0</TotalTime>
  <Pages>11</Pages>
  <Words>2045</Words>
  <Characters>12885</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Antiemese</vt:lpstr>
    </vt:vector>
  </TitlesOfParts>
  <Company>gespag</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Antiemese</dc:title>
  <dc:subject/>
  <dc:creator>Mag. Pichler (KI), (71)20090, kipichth</dc:creator>
  <cp:keywords/>
  <dc:description/>
  <cp:lastModifiedBy>Pichler, Thomas</cp:lastModifiedBy>
  <cp:revision>2</cp:revision>
  <cp:lastPrinted>2021-05-31T07:29:00Z</cp:lastPrinted>
  <dcterms:created xsi:type="dcterms:W3CDTF">2022-03-21T12:09:00Z</dcterms:created>
  <dcterms:modified xsi:type="dcterms:W3CDTF">2022-03-21T12:09:00Z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ufsgruppe">
    <vt:lpwstr>2;#;#3;#;#4;#;#5;#;#6;#</vt:lpwstr>
  </property>
  <property fmtid="{D5CDD505-2E9C-101B-9397-08002B2CF9AE}" pid="23" name="TaxKeyword">
    <vt:lpwstr/>
  </property>
</Properties>
</file>