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E1AA14" w14:textId="77777777" w:rsidR="00B6342E" w:rsidRPr="00B6342E" w:rsidRDefault="00B6342E" w:rsidP="00B6342E">
      <w:pPr>
        <w:pStyle w:val="Titel"/>
        <w:jc w:val="left"/>
        <w:rPr>
          <w:b/>
          <w:sz w:val="20"/>
        </w:rPr>
      </w:pPr>
    </w:p>
    <w:p w14:paraId="1646884D" w14:textId="77777777" w:rsidR="00B6342E" w:rsidRPr="00B6342E" w:rsidRDefault="00B6342E" w:rsidP="00B6342E">
      <w:pPr>
        <w:pStyle w:val="Titel"/>
        <w:jc w:val="left"/>
        <w:rPr>
          <w:b/>
          <w:sz w:val="20"/>
        </w:rPr>
      </w:pPr>
    </w:p>
    <w:p w14:paraId="2AE7ACF1" w14:textId="77777777" w:rsidR="00B6342E" w:rsidRPr="00B6342E" w:rsidRDefault="00B6342E" w:rsidP="00B6342E">
      <w:pPr>
        <w:pStyle w:val="Titel"/>
        <w:jc w:val="left"/>
        <w:rPr>
          <w:b/>
          <w:sz w:val="20"/>
        </w:rPr>
      </w:pPr>
    </w:p>
    <w:p w14:paraId="14E27185" w14:textId="77777777" w:rsidR="00B6342E" w:rsidRPr="00B6342E" w:rsidRDefault="00B6342E" w:rsidP="00B6342E">
      <w:pPr>
        <w:pStyle w:val="Titel"/>
        <w:jc w:val="left"/>
        <w:rPr>
          <w:b/>
          <w:sz w:val="20"/>
        </w:rPr>
      </w:pPr>
    </w:p>
    <w:p w14:paraId="4E29B83C" w14:textId="77777777" w:rsidR="00B6342E" w:rsidRDefault="00B6342E" w:rsidP="00B6342E">
      <w:pPr>
        <w:pStyle w:val="Titel"/>
        <w:jc w:val="left"/>
        <w:rPr>
          <w:b/>
          <w:sz w:val="48"/>
          <w:szCs w:val="48"/>
        </w:rPr>
      </w:pPr>
    </w:p>
    <w:p w14:paraId="318DA320" w14:textId="77777777" w:rsidR="00E67988" w:rsidRDefault="00E67988" w:rsidP="00B6342E">
      <w:pPr>
        <w:pStyle w:val="Titel"/>
        <w:jc w:val="left"/>
        <w:rPr>
          <w:b/>
          <w:sz w:val="48"/>
          <w:szCs w:val="48"/>
        </w:rPr>
      </w:pPr>
    </w:p>
    <w:p w14:paraId="21B7C77C" w14:textId="77777777" w:rsidR="00250E53" w:rsidRDefault="00250E53" w:rsidP="00B6342E">
      <w:pPr>
        <w:pStyle w:val="Titel"/>
        <w:jc w:val="left"/>
        <w:rPr>
          <w:b/>
          <w:sz w:val="48"/>
          <w:szCs w:val="48"/>
        </w:rPr>
      </w:pPr>
    </w:p>
    <w:p w14:paraId="226CB71E" w14:textId="77777777" w:rsidR="008A7324" w:rsidRPr="00E344D4" w:rsidRDefault="00460DE7" w:rsidP="00B6342E">
      <w:pPr>
        <w:pStyle w:val="Titel"/>
        <w:jc w:val="left"/>
        <w:rPr>
          <w:b/>
          <w:sz w:val="48"/>
          <w:szCs w:val="48"/>
        </w:rPr>
      </w:pPr>
      <w:sdt>
        <w:sdtPr>
          <w:rPr>
            <w:b/>
            <w:sz w:val="48"/>
            <w:szCs w:val="48"/>
          </w:rPr>
          <w:alias w:val="Titel"/>
          <w:tag w:val=""/>
          <w:id w:val="710549034"/>
          <w:placeholder>
            <w:docPart w:val="2051CD9AAA8D4651B2F1E88EC3F37254"/>
          </w:placeholder>
          <w:dataBinding w:prefixMappings="xmlns:ns0='http://purl.org/dc/elements/1.1/' xmlns:ns1='http://schemas.openxmlformats.org/package/2006/metadata/core-properties' " w:xpath="/ns1:coreProperties[1]/ns0:title[1]" w:storeItemID="{6C3C8BC8-F283-45AE-878A-BAB7291924A1}"/>
          <w:text/>
        </w:sdtPr>
        <w:sdtEndPr/>
        <w:sdtContent>
          <w:r w:rsidR="00C7780A">
            <w:rPr>
              <w:b/>
              <w:sz w:val="48"/>
              <w:szCs w:val="48"/>
            </w:rPr>
            <w:t>AML</w:t>
          </w:r>
        </w:sdtContent>
      </w:sdt>
    </w:p>
    <w:p w14:paraId="3FB9AFEC" w14:textId="77777777" w:rsidR="008A7324" w:rsidRPr="00B6342E" w:rsidRDefault="008A7324" w:rsidP="005E0058">
      <w:pPr>
        <w:pStyle w:val="Titel"/>
        <w:ind w:left="-56"/>
        <w:jc w:val="left"/>
        <w:rPr>
          <w:sz w:val="28"/>
          <w:szCs w:val="28"/>
        </w:rPr>
      </w:pPr>
    </w:p>
    <w:p w14:paraId="519EC926" w14:textId="77777777" w:rsidR="00A04F27" w:rsidRPr="00272EBB" w:rsidRDefault="00A04F27" w:rsidP="00A04F27">
      <w:pPr>
        <w:tabs>
          <w:tab w:val="left" w:pos="1418"/>
        </w:tabs>
        <w:spacing w:line="276" w:lineRule="auto"/>
        <w:jc w:val="both"/>
        <w:rPr>
          <w:rFonts w:cs="Arial"/>
          <w:b/>
          <w:sz w:val="48"/>
          <w:szCs w:val="48"/>
        </w:rPr>
      </w:pPr>
      <w:r>
        <w:rPr>
          <w:rFonts w:cs="Arial"/>
          <w:b/>
          <w:sz w:val="48"/>
          <w:szCs w:val="48"/>
        </w:rPr>
        <w:t>Akute myeloische Leukämie</w:t>
      </w:r>
    </w:p>
    <w:p w14:paraId="53979D88" w14:textId="77777777" w:rsidR="005163F4" w:rsidRDefault="005163F4" w:rsidP="00B6342E">
      <w:pPr>
        <w:tabs>
          <w:tab w:val="left" w:pos="1418"/>
        </w:tabs>
        <w:spacing w:line="276" w:lineRule="auto"/>
        <w:jc w:val="both"/>
        <w:rPr>
          <w:rFonts w:cs="Arial"/>
          <w:sz w:val="28"/>
          <w:szCs w:val="28"/>
        </w:rPr>
      </w:pPr>
    </w:p>
    <w:p w14:paraId="7A83455E" w14:textId="77777777" w:rsidR="00B6342E" w:rsidRDefault="00B6342E" w:rsidP="00B6342E">
      <w:pPr>
        <w:tabs>
          <w:tab w:val="left" w:pos="1418"/>
        </w:tabs>
        <w:spacing w:line="276" w:lineRule="auto"/>
        <w:jc w:val="both"/>
        <w:rPr>
          <w:rFonts w:cs="Arial"/>
          <w:sz w:val="28"/>
          <w:szCs w:val="28"/>
        </w:rPr>
      </w:pPr>
    </w:p>
    <w:p w14:paraId="1909149F" w14:textId="77777777" w:rsidR="00B6342E" w:rsidRPr="0062716A" w:rsidRDefault="00A6435E" w:rsidP="00B6342E">
      <w:pPr>
        <w:spacing w:line="276" w:lineRule="auto"/>
        <w:jc w:val="both"/>
        <w:rPr>
          <w:rFonts w:cs="Arial"/>
          <w:b/>
          <w:sz w:val="40"/>
          <w:szCs w:val="40"/>
        </w:rPr>
      </w:pPr>
      <w:r w:rsidRPr="0067150E">
        <w:rPr>
          <w:rFonts w:cs="Arial"/>
          <w:b/>
          <w:sz w:val="40"/>
          <w:szCs w:val="40"/>
        </w:rPr>
        <w:t xml:space="preserve">Medizinische </w:t>
      </w:r>
      <w:r w:rsidR="00B6342E" w:rsidRPr="0067150E">
        <w:rPr>
          <w:rFonts w:cs="Arial"/>
          <w:b/>
          <w:sz w:val="40"/>
          <w:szCs w:val="40"/>
        </w:rPr>
        <w:t>Leitlinie</w:t>
      </w:r>
    </w:p>
    <w:p w14:paraId="0C68D9C7" w14:textId="77777777" w:rsidR="00B6342E" w:rsidRDefault="00B6342E" w:rsidP="00B6342E">
      <w:pPr>
        <w:tabs>
          <w:tab w:val="left" w:pos="1418"/>
        </w:tabs>
        <w:spacing w:line="276" w:lineRule="auto"/>
        <w:jc w:val="both"/>
        <w:rPr>
          <w:rFonts w:cs="Arial"/>
          <w:sz w:val="28"/>
          <w:szCs w:val="28"/>
        </w:rPr>
      </w:pPr>
    </w:p>
    <w:p w14:paraId="2D775BBF" w14:textId="77777777" w:rsidR="00B6342E" w:rsidRDefault="00B6342E" w:rsidP="00B6342E">
      <w:pPr>
        <w:tabs>
          <w:tab w:val="left" w:pos="1418"/>
        </w:tabs>
        <w:spacing w:line="276" w:lineRule="auto"/>
        <w:jc w:val="both"/>
        <w:rPr>
          <w:rFonts w:cs="Arial"/>
          <w:sz w:val="28"/>
          <w:szCs w:val="28"/>
        </w:rPr>
      </w:pPr>
    </w:p>
    <w:p w14:paraId="5707678E" w14:textId="77777777" w:rsidR="005163F4" w:rsidRDefault="005163F4" w:rsidP="00B6342E">
      <w:pPr>
        <w:tabs>
          <w:tab w:val="left" w:pos="1418"/>
        </w:tabs>
        <w:spacing w:line="276" w:lineRule="auto"/>
        <w:jc w:val="both"/>
        <w:rPr>
          <w:rFonts w:cs="Arial"/>
          <w:sz w:val="28"/>
          <w:szCs w:val="28"/>
        </w:rPr>
      </w:pPr>
    </w:p>
    <w:p w14:paraId="521CA321" w14:textId="77777777" w:rsidR="005163F4" w:rsidRDefault="005163F4" w:rsidP="00B6342E">
      <w:pPr>
        <w:tabs>
          <w:tab w:val="left" w:pos="1418"/>
        </w:tabs>
        <w:spacing w:line="276" w:lineRule="auto"/>
        <w:jc w:val="both"/>
        <w:rPr>
          <w:rFonts w:cs="Arial"/>
          <w:sz w:val="28"/>
          <w:szCs w:val="28"/>
        </w:rPr>
      </w:pPr>
    </w:p>
    <w:p w14:paraId="2FAAFC16" w14:textId="77777777" w:rsidR="005163F4" w:rsidRDefault="005163F4" w:rsidP="00B6342E">
      <w:pPr>
        <w:tabs>
          <w:tab w:val="left" w:pos="1418"/>
        </w:tabs>
        <w:spacing w:line="276" w:lineRule="auto"/>
        <w:jc w:val="both"/>
        <w:rPr>
          <w:rFonts w:cs="Arial"/>
          <w:sz w:val="28"/>
          <w:szCs w:val="28"/>
        </w:rPr>
      </w:pPr>
    </w:p>
    <w:p w14:paraId="4D959C54" w14:textId="77777777" w:rsidR="005163F4" w:rsidRDefault="005163F4" w:rsidP="00B6342E">
      <w:pPr>
        <w:tabs>
          <w:tab w:val="left" w:pos="1418"/>
        </w:tabs>
        <w:spacing w:line="276" w:lineRule="auto"/>
        <w:jc w:val="both"/>
        <w:rPr>
          <w:rFonts w:cs="Arial"/>
          <w:sz w:val="28"/>
          <w:szCs w:val="28"/>
        </w:rPr>
      </w:pPr>
    </w:p>
    <w:p w14:paraId="7F9B0F2A" w14:textId="77777777" w:rsidR="005163F4" w:rsidRDefault="005163F4" w:rsidP="00B6342E">
      <w:pPr>
        <w:tabs>
          <w:tab w:val="left" w:pos="1418"/>
        </w:tabs>
        <w:spacing w:line="276" w:lineRule="auto"/>
        <w:jc w:val="both"/>
        <w:rPr>
          <w:rFonts w:cs="Arial"/>
          <w:sz w:val="28"/>
          <w:szCs w:val="28"/>
        </w:rPr>
      </w:pPr>
    </w:p>
    <w:tbl>
      <w:tblPr>
        <w:tblStyle w:val="Tabellenraster1"/>
        <w:tblW w:w="9690" w:type="dxa"/>
        <w:tblInd w:w="-84" w:type="dxa"/>
        <w:tblLook w:val="04A0" w:firstRow="1" w:lastRow="0" w:firstColumn="1" w:lastColumn="0" w:noHBand="0" w:noVBand="1"/>
      </w:tblPr>
      <w:tblGrid>
        <w:gridCol w:w="2744"/>
        <w:gridCol w:w="6946"/>
      </w:tblGrid>
      <w:tr w:rsidR="00A04F27" w:rsidRPr="00C12E87" w14:paraId="60EB7D81" w14:textId="77777777" w:rsidTr="00A04F27">
        <w:trPr>
          <w:trHeight w:val="567"/>
        </w:trPr>
        <w:tc>
          <w:tcPr>
            <w:tcW w:w="2744" w:type="dxa"/>
            <w:vAlign w:val="center"/>
          </w:tcPr>
          <w:p w14:paraId="7AA1B77D" w14:textId="77777777" w:rsidR="00A04F27" w:rsidRPr="00D02334" w:rsidRDefault="00A04F27" w:rsidP="0095092F">
            <w:pPr>
              <w:spacing w:line="276" w:lineRule="auto"/>
              <w:jc w:val="left"/>
              <w:rPr>
                <w:rFonts w:asciiTheme="minorHAnsi" w:hAnsiTheme="minorHAnsi" w:cstheme="minorHAnsi"/>
              </w:rPr>
            </w:pPr>
            <w:r w:rsidRPr="00D02334">
              <w:rPr>
                <w:rFonts w:asciiTheme="minorHAnsi" w:hAnsiTheme="minorHAnsi" w:cstheme="minorHAnsi"/>
              </w:rPr>
              <w:t>Leitlinie erstellt von:</w:t>
            </w:r>
          </w:p>
        </w:tc>
        <w:tc>
          <w:tcPr>
            <w:tcW w:w="6946" w:type="dxa"/>
            <w:vAlign w:val="center"/>
          </w:tcPr>
          <w:p w14:paraId="290932B8" w14:textId="77777777" w:rsidR="00A04F27" w:rsidRPr="00C12E87" w:rsidRDefault="00A04F27" w:rsidP="00E872CF">
            <w:pPr>
              <w:spacing w:line="276" w:lineRule="auto"/>
              <w:jc w:val="left"/>
              <w:rPr>
                <w:rFonts w:asciiTheme="minorHAnsi" w:hAnsiTheme="minorHAnsi" w:cstheme="minorHAnsi"/>
              </w:rPr>
            </w:pPr>
            <w:r w:rsidRPr="00A04F27">
              <w:rPr>
                <w:rFonts w:asciiTheme="minorHAnsi" w:hAnsiTheme="minorHAnsi" w:cstheme="minorHAnsi"/>
              </w:rPr>
              <w:t>O</w:t>
            </w:r>
            <w:r w:rsidR="00E872CF">
              <w:rPr>
                <w:rFonts w:asciiTheme="minorHAnsi" w:hAnsiTheme="minorHAnsi" w:cstheme="minorHAnsi"/>
              </w:rPr>
              <w:t>Ä</w:t>
            </w:r>
            <w:r w:rsidRPr="00A04F27">
              <w:rPr>
                <w:rFonts w:asciiTheme="minorHAnsi" w:hAnsiTheme="minorHAnsi" w:cstheme="minorHAnsi"/>
              </w:rPr>
              <w:t xml:space="preserve"> Dr. Sigrid Machherndl-Spandl (</w:t>
            </w:r>
            <w:r w:rsidR="00D0615C">
              <w:rPr>
                <w:rFonts w:asciiTheme="minorHAnsi" w:hAnsiTheme="minorHAnsi" w:cstheme="minorHAnsi"/>
              </w:rPr>
              <w:t>OKL</w:t>
            </w:r>
            <w:r w:rsidRPr="00A04F27">
              <w:rPr>
                <w:rFonts w:asciiTheme="minorHAnsi" w:hAnsiTheme="minorHAnsi" w:cstheme="minorHAnsi"/>
              </w:rPr>
              <w:t>)</w:t>
            </w:r>
          </w:p>
        </w:tc>
      </w:tr>
      <w:tr w:rsidR="00A04F27" w:rsidRPr="006256D9" w14:paraId="6DD92873" w14:textId="77777777" w:rsidTr="00A04F27">
        <w:trPr>
          <w:trHeight w:val="567"/>
        </w:trPr>
        <w:tc>
          <w:tcPr>
            <w:tcW w:w="2744" w:type="dxa"/>
            <w:vAlign w:val="center"/>
          </w:tcPr>
          <w:p w14:paraId="453AB4B3" w14:textId="77777777" w:rsidR="00A04F27" w:rsidRPr="00D02334" w:rsidRDefault="00A04F27" w:rsidP="0095092F">
            <w:pPr>
              <w:spacing w:line="276" w:lineRule="auto"/>
              <w:jc w:val="left"/>
              <w:rPr>
                <w:rFonts w:asciiTheme="minorHAnsi" w:hAnsiTheme="minorHAnsi" w:cstheme="minorHAnsi"/>
              </w:rPr>
            </w:pPr>
            <w:r w:rsidRPr="00D02334">
              <w:rPr>
                <w:rFonts w:asciiTheme="minorHAnsi" w:hAnsiTheme="minorHAnsi" w:cstheme="minorHAnsi"/>
              </w:rPr>
              <w:t>Leitlinie geprüft von:</w:t>
            </w:r>
          </w:p>
        </w:tc>
        <w:tc>
          <w:tcPr>
            <w:tcW w:w="6946" w:type="dxa"/>
            <w:vAlign w:val="center"/>
          </w:tcPr>
          <w:p w14:paraId="78331403" w14:textId="77777777" w:rsidR="00922A92" w:rsidRDefault="00A04F27" w:rsidP="00A04F27">
            <w:pPr>
              <w:spacing w:line="276" w:lineRule="auto"/>
              <w:jc w:val="left"/>
              <w:rPr>
                <w:rFonts w:asciiTheme="minorHAnsi" w:hAnsiTheme="minorHAnsi" w:cstheme="minorHAnsi"/>
              </w:rPr>
            </w:pPr>
            <w:r w:rsidRPr="00A04F27">
              <w:rPr>
                <w:rFonts w:asciiTheme="minorHAnsi" w:hAnsiTheme="minorHAnsi" w:cstheme="minorHAnsi"/>
              </w:rPr>
              <w:t>OA PD Dr. Johannes Clausen (</w:t>
            </w:r>
            <w:r w:rsidR="00D0615C">
              <w:rPr>
                <w:rFonts w:asciiTheme="minorHAnsi" w:hAnsiTheme="minorHAnsi" w:cstheme="minorHAnsi"/>
              </w:rPr>
              <w:t>OKL</w:t>
            </w:r>
            <w:r w:rsidRPr="00A04F27">
              <w:rPr>
                <w:rFonts w:asciiTheme="minorHAnsi" w:hAnsiTheme="minorHAnsi" w:cstheme="minorHAnsi"/>
              </w:rPr>
              <w:t xml:space="preserve">), </w:t>
            </w:r>
            <w:r w:rsidR="00057605">
              <w:rPr>
                <w:rFonts w:asciiTheme="minorHAnsi" w:hAnsiTheme="minorHAnsi" w:cstheme="minorHAnsi"/>
              </w:rPr>
              <w:t>OA Dr. Franz Romeder (OKL);</w:t>
            </w:r>
          </w:p>
          <w:p w14:paraId="5A93A0E3" w14:textId="77777777" w:rsidR="00057605" w:rsidRDefault="00A04F27" w:rsidP="00922A92">
            <w:pPr>
              <w:spacing w:line="276" w:lineRule="auto"/>
              <w:jc w:val="left"/>
              <w:rPr>
                <w:rFonts w:asciiTheme="minorHAnsi" w:hAnsiTheme="minorHAnsi" w:cstheme="minorHAnsi"/>
              </w:rPr>
            </w:pPr>
            <w:r w:rsidRPr="00A04F27">
              <w:rPr>
                <w:rFonts w:asciiTheme="minorHAnsi" w:hAnsiTheme="minorHAnsi" w:cstheme="minorHAnsi"/>
              </w:rPr>
              <w:t>OA Dr. Michael Girschikofsky</w:t>
            </w:r>
            <w:r>
              <w:rPr>
                <w:rFonts w:asciiTheme="minorHAnsi" w:hAnsiTheme="minorHAnsi" w:cstheme="minorHAnsi"/>
              </w:rPr>
              <w:t xml:space="preserve"> (</w:t>
            </w:r>
            <w:r w:rsidR="00057605">
              <w:rPr>
                <w:rFonts w:asciiTheme="minorHAnsi" w:hAnsiTheme="minorHAnsi" w:cstheme="minorHAnsi"/>
              </w:rPr>
              <w:t>OKL</w:t>
            </w:r>
            <w:r>
              <w:rPr>
                <w:rFonts w:asciiTheme="minorHAnsi" w:hAnsiTheme="minorHAnsi" w:cstheme="minorHAnsi"/>
              </w:rPr>
              <w:t>)</w:t>
            </w:r>
            <w:r w:rsidR="00B114EA">
              <w:rPr>
                <w:rFonts w:asciiTheme="minorHAnsi" w:hAnsiTheme="minorHAnsi" w:cstheme="minorHAnsi"/>
              </w:rPr>
              <w:t xml:space="preserve">, </w:t>
            </w:r>
            <w:r w:rsidR="00057605">
              <w:rPr>
                <w:rFonts w:asciiTheme="minorHAnsi" w:hAnsiTheme="minorHAnsi" w:cstheme="minorHAnsi"/>
              </w:rPr>
              <w:t>OA Dr. Gregor Aschauer (OKL</w:t>
            </w:r>
            <w:r w:rsidR="00D0615C">
              <w:rPr>
                <w:rFonts w:asciiTheme="minorHAnsi" w:hAnsiTheme="minorHAnsi" w:cstheme="minorHAnsi"/>
              </w:rPr>
              <w:t xml:space="preserve">); </w:t>
            </w:r>
          </w:p>
          <w:p w14:paraId="6C901095" w14:textId="77777777" w:rsidR="00A04F27" w:rsidRPr="00D02334" w:rsidRDefault="00922A92" w:rsidP="00922A92">
            <w:pPr>
              <w:spacing w:line="276" w:lineRule="auto"/>
              <w:jc w:val="left"/>
              <w:rPr>
                <w:rFonts w:asciiTheme="minorHAnsi" w:hAnsiTheme="minorHAnsi" w:cstheme="minorHAnsi"/>
              </w:rPr>
            </w:pPr>
            <w:r>
              <w:rPr>
                <w:rFonts w:asciiTheme="minorHAnsi" w:hAnsiTheme="minorHAnsi" w:cstheme="minorHAnsi"/>
              </w:rPr>
              <w:t>Prim. Dr. Ernst Rechberger (RI); Univ.</w:t>
            </w:r>
            <w:r w:rsidR="00B114EA">
              <w:rPr>
                <w:rFonts w:asciiTheme="minorHAnsi" w:hAnsiTheme="minorHAnsi" w:cstheme="minorHAnsi"/>
              </w:rPr>
              <w:t xml:space="preserve"> Doz.Dr. Ansgar Weltermann</w:t>
            </w:r>
            <w:r w:rsidR="00D0615C">
              <w:rPr>
                <w:rFonts w:asciiTheme="minorHAnsi" w:hAnsiTheme="minorHAnsi" w:cstheme="minorHAnsi"/>
              </w:rPr>
              <w:t xml:space="preserve"> (TZ)</w:t>
            </w:r>
          </w:p>
        </w:tc>
      </w:tr>
      <w:tr w:rsidR="00A04F27" w:rsidRPr="006256D9" w14:paraId="3AC67AAF" w14:textId="77777777" w:rsidTr="00A04F27">
        <w:trPr>
          <w:trHeight w:val="567"/>
        </w:trPr>
        <w:tc>
          <w:tcPr>
            <w:tcW w:w="2744" w:type="dxa"/>
            <w:vAlign w:val="center"/>
          </w:tcPr>
          <w:p w14:paraId="3EF1BB97" w14:textId="77777777" w:rsidR="00A04F27" w:rsidRPr="00D02334" w:rsidRDefault="00A04F27" w:rsidP="00C80423">
            <w:pPr>
              <w:spacing w:line="276" w:lineRule="auto"/>
              <w:jc w:val="left"/>
              <w:rPr>
                <w:rFonts w:asciiTheme="minorHAnsi" w:hAnsiTheme="minorHAnsi" w:cstheme="minorHAnsi"/>
              </w:rPr>
            </w:pPr>
            <w:r w:rsidRPr="00D02334">
              <w:rPr>
                <w:rFonts w:asciiTheme="minorHAnsi" w:hAnsiTheme="minorHAnsi" w:cstheme="minorHAnsi"/>
              </w:rPr>
              <w:t>Fachliche Freigabe:</w:t>
            </w:r>
          </w:p>
        </w:tc>
        <w:tc>
          <w:tcPr>
            <w:tcW w:w="6946" w:type="dxa"/>
            <w:vAlign w:val="center"/>
          </w:tcPr>
          <w:p w14:paraId="5AB6546A" w14:textId="77777777" w:rsidR="00A04F27" w:rsidRDefault="00A04F27" w:rsidP="00A04F27">
            <w:pPr>
              <w:spacing w:line="276" w:lineRule="auto"/>
              <w:jc w:val="left"/>
              <w:rPr>
                <w:rFonts w:asciiTheme="minorHAnsi" w:hAnsiTheme="minorHAnsi" w:cstheme="minorHAnsi"/>
              </w:rPr>
            </w:pPr>
            <w:r w:rsidRPr="00A04F27">
              <w:rPr>
                <w:rFonts w:asciiTheme="minorHAnsi" w:hAnsiTheme="minorHAnsi" w:cstheme="minorHAnsi"/>
              </w:rPr>
              <w:t>O</w:t>
            </w:r>
            <w:r w:rsidR="00E872CF">
              <w:rPr>
                <w:rFonts w:asciiTheme="minorHAnsi" w:hAnsiTheme="minorHAnsi" w:cstheme="minorHAnsi"/>
              </w:rPr>
              <w:t>Ä</w:t>
            </w:r>
            <w:r w:rsidRPr="00A04F27">
              <w:rPr>
                <w:rFonts w:asciiTheme="minorHAnsi" w:hAnsiTheme="minorHAnsi" w:cstheme="minorHAnsi"/>
              </w:rPr>
              <w:t xml:space="preserve"> Dr. Sigrid Machherndl-Spandl </w:t>
            </w:r>
          </w:p>
          <w:p w14:paraId="1FD14811" w14:textId="77777777" w:rsidR="00D0615C" w:rsidRPr="00D02334" w:rsidRDefault="005D0D5C" w:rsidP="000621AE">
            <w:pPr>
              <w:spacing w:line="276" w:lineRule="auto"/>
              <w:jc w:val="left"/>
              <w:rPr>
                <w:rFonts w:asciiTheme="minorHAnsi" w:hAnsiTheme="minorHAnsi" w:cstheme="minorHAnsi"/>
              </w:rPr>
            </w:pPr>
            <w:r>
              <w:rPr>
                <w:rFonts w:asciiTheme="minorHAnsi" w:hAnsiTheme="minorHAnsi" w:cstheme="minorHAnsi"/>
              </w:rPr>
              <w:t xml:space="preserve">Revision v. </w:t>
            </w:r>
            <w:r w:rsidR="000621AE">
              <w:rPr>
                <w:rFonts w:asciiTheme="minorHAnsi" w:hAnsiTheme="minorHAnsi" w:cstheme="minorHAnsi"/>
              </w:rPr>
              <w:t>29.03.2022</w:t>
            </w:r>
          </w:p>
        </w:tc>
      </w:tr>
    </w:tbl>
    <w:p w14:paraId="6B5D627D" w14:textId="77777777" w:rsidR="008B2595" w:rsidRDefault="008B2595">
      <w:pPr>
        <w:spacing w:line="240" w:lineRule="auto"/>
        <w:jc w:val="left"/>
      </w:pPr>
    </w:p>
    <w:p w14:paraId="78984A38" w14:textId="77777777" w:rsidR="008B2595" w:rsidRDefault="008B2595">
      <w:pPr>
        <w:spacing w:line="240" w:lineRule="auto"/>
        <w:jc w:val="left"/>
      </w:pPr>
    </w:p>
    <w:p w14:paraId="05644D72" w14:textId="77777777" w:rsidR="00D02334" w:rsidRDefault="00D02334">
      <w:pPr>
        <w:spacing w:line="240" w:lineRule="auto"/>
        <w:jc w:val="left"/>
      </w:pPr>
    </w:p>
    <w:p w14:paraId="73FBAEB5" w14:textId="77777777" w:rsidR="00D02334" w:rsidRDefault="00D02334" w:rsidP="00D02334">
      <w:pPr>
        <w:spacing w:line="276" w:lineRule="auto"/>
        <w:jc w:val="both"/>
        <w:rPr>
          <w:rFonts w:asciiTheme="minorHAnsi" w:hAnsiTheme="minorHAnsi" w:cstheme="minorHAnsi"/>
          <w:sz w:val="18"/>
          <w:szCs w:val="18"/>
        </w:rPr>
      </w:pPr>
    </w:p>
    <w:p w14:paraId="196A3A9C" w14:textId="77777777" w:rsidR="00D02334" w:rsidRDefault="00D02334" w:rsidP="00D02334">
      <w:pPr>
        <w:spacing w:line="276" w:lineRule="auto"/>
        <w:jc w:val="both"/>
        <w:rPr>
          <w:rFonts w:asciiTheme="minorHAnsi" w:hAnsiTheme="minorHAnsi" w:cstheme="minorHAnsi"/>
          <w:sz w:val="18"/>
          <w:szCs w:val="18"/>
        </w:rPr>
      </w:pPr>
    </w:p>
    <w:p w14:paraId="1B573908" w14:textId="77777777" w:rsidR="00D02334" w:rsidRDefault="00D02334" w:rsidP="00D02334">
      <w:pPr>
        <w:spacing w:line="276" w:lineRule="auto"/>
        <w:jc w:val="both"/>
        <w:rPr>
          <w:rFonts w:asciiTheme="minorHAnsi" w:hAnsiTheme="minorHAnsi" w:cstheme="minorHAnsi"/>
          <w:sz w:val="18"/>
          <w:szCs w:val="18"/>
        </w:rPr>
      </w:pPr>
    </w:p>
    <w:p w14:paraId="7C33B0E2" w14:textId="77777777" w:rsidR="00D02334" w:rsidRDefault="00D02334" w:rsidP="00D02334">
      <w:pPr>
        <w:spacing w:line="276" w:lineRule="auto"/>
        <w:jc w:val="both"/>
        <w:rPr>
          <w:rFonts w:asciiTheme="minorHAnsi" w:hAnsiTheme="minorHAnsi" w:cstheme="minorHAnsi"/>
          <w:sz w:val="18"/>
          <w:szCs w:val="18"/>
        </w:rPr>
      </w:pPr>
    </w:p>
    <w:p w14:paraId="6615CB28" w14:textId="77777777" w:rsidR="00D02334" w:rsidRDefault="00D02334" w:rsidP="00D02334">
      <w:pPr>
        <w:spacing w:line="276" w:lineRule="auto"/>
        <w:jc w:val="both"/>
        <w:rPr>
          <w:rFonts w:asciiTheme="minorHAnsi" w:hAnsiTheme="minorHAnsi" w:cstheme="minorHAnsi"/>
          <w:sz w:val="18"/>
          <w:szCs w:val="18"/>
        </w:rPr>
      </w:pPr>
    </w:p>
    <w:p w14:paraId="6D1F9D83" w14:textId="77777777" w:rsidR="00D02334" w:rsidRPr="00D02334" w:rsidRDefault="00D02334" w:rsidP="00D02334">
      <w:pPr>
        <w:spacing w:line="276" w:lineRule="auto"/>
        <w:jc w:val="both"/>
        <w:rPr>
          <w:rFonts w:asciiTheme="minorHAnsi" w:hAnsiTheme="minorHAnsi" w:cstheme="minorHAnsi"/>
          <w:sz w:val="18"/>
          <w:szCs w:val="18"/>
        </w:rPr>
      </w:pPr>
      <w:r w:rsidRPr="00D02334">
        <w:rPr>
          <w:rFonts w:asciiTheme="minorHAnsi" w:hAnsiTheme="minorHAnsi" w:cstheme="minorHAnsi"/>
          <w:sz w:val="18"/>
          <w:szCs w:val="18"/>
        </w:rPr>
        <w:t xml:space="preserve">Diese Leitlinie ist eine Grundlage für die Diagnostik und Therapie innerhalb </w:t>
      </w:r>
      <w:r w:rsidR="00057605">
        <w:rPr>
          <w:rFonts w:asciiTheme="minorHAnsi" w:hAnsiTheme="minorHAnsi" w:cstheme="minorHAnsi"/>
          <w:sz w:val="18"/>
          <w:szCs w:val="18"/>
        </w:rPr>
        <w:t>des Tumorzentrums Oberösterreich</w:t>
      </w:r>
      <w:r w:rsidRPr="00D02334">
        <w:rPr>
          <w:rFonts w:asciiTheme="minorHAnsi" w:hAnsiTheme="minorHAnsi" w:cstheme="minorHAnsi"/>
          <w:sz w:val="18"/>
          <w:szCs w:val="18"/>
        </w:rPr>
        <w:t xml:space="preserve"> und erhebt nicht den Anspruch auf Vollständigkeit.</w:t>
      </w:r>
    </w:p>
    <w:p w14:paraId="70EA9E94" w14:textId="77777777" w:rsidR="00D02334" w:rsidRDefault="00D02334" w:rsidP="00D02334">
      <w:pPr>
        <w:spacing w:line="240" w:lineRule="auto"/>
        <w:jc w:val="both"/>
      </w:pPr>
      <w:r w:rsidRPr="00D02334">
        <w:rPr>
          <w:rFonts w:asciiTheme="minorHAnsi" w:hAnsiTheme="minorHAnsi" w:cstheme="minorHAnsi"/>
          <w:sz w:val="18"/>
          <w:szCs w:val="18"/>
        </w:rPr>
        <w:t>Darüberhinaus von den jeweiligen Fachgesellschaften festgelegte Qualitätsstandards sind dem Stand der Wissenschaft entsprechend</w:t>
      </w:r>
      <w:r>
        <w:rPr>
          <w:rFonts w:asciiTheme="minorHAnsi" w:hAnsiTheme="minorHAnsi" w:cstheme="minorHAnsi"/>
          <w:sz w:val="18"/>
          <w:szCs w:val="18"/>
        </w:rPr>
        <w:t xml:space="preserve"> enzubeziehen.</w:t>
      </w:r>
    </w:p>
    <w:p w14:paraId="73D2747F" w14:textId="77777777" w:rsidR="00D02334" w:rsidRDefault="00D02334">
      <w:pPr>
        <w:spacing w:line="240" w:lineRule="auto"/>
        <w:jc w:val="left"/>
      </w:pPr>
    </w:p>
    <w:p w14:paraId="15F14390" w14:textId="77777777" w:rsidR="00D02334" w:rsidRPr="00D02334" w:rsidRDefault="00D02334" w:rsidP="00D02334">
      <w:pPr>
        <w:spacing w:line="276" w:lineRule="auto"/>
        <w:jc w:val="both"/>
        <w:rPr>
          <w:rFonts w:asciiTheme="minorHAnsi" w:hAnsiTheme="minorHAnsi" w:cstheme="minorHAnsi"/>
          <w:sz w:val="18"/>
          <w:szCs w:val="18"/>
        </w:rPr>
        <w:sectPr w:rsidR="00D02334" w:rsidRPr="00D02334" w:rsidSect="009F1C6D">
          <w:headerReference w:type="even" r:id="rId11"/>
          <w:headerReference w:type="default" r:id="rId12"/>
          <w:footerReference w:type="default" r:id="rId13"/>
          <w:headerReference w:type="first" r:id="rId14"/>
          <w:footerReference w:type="first" r:id="rId15"/>
          <w:pgSz w:w="11906" w:h="16838"/>
          <w:pgMar w:top="544" w:right="1106" w:bottom="1134" w:left="1418" w:header="567" w:footer="403" w:gutter="0"/>
          <w:cols w:space="720"/>
        </w:sectPr>
      </w:pPr>
    </w:p>
    <w:sdt>
      <w:sdtPr>
        <w:rPr>
          <w:rFonts w:ascii="Arial" w:eastAsia="Times New Roman" w:hAnsi="Arial" w:cs="Times New Roman"/>
          <w:b w:val="0"/>
          <w:bCs w:val="0"/>
          <w:color w:val="auto"/>
          <w:szCs w:val="20"/>
          <w:lang w:val="de-DE" w:eastAsia="de-DE"/>
        </w:rPr>
        <w:id w:val="-1099178055"/>
        <w:docPartObj>
          <w:docPartGallery w:val="Table of Contents"/>
          <w:docPartUnique/>
        </w:docPartObj>
      </w:sdtPr>
      <w:sdtEndPr/>
      <w:sdtContent>
        <w:p w14:paraId="63B9BA49" w14:textId="77777777" w:rsidR="007F3064" w:rsidRPr="000B63B8" w:rsidRDefault="007F3064" w:rsidP="000B63B8">
          <w:pPr>
            <w:pStyle w:val="Inhaltsverzeichnisberschrift"/>
            <w:shd w:val="clear" w:color="auto" w:fill="FFFFFF" w:themeFill="background1"/>
            <w:spacing w:before="0"/>
            <w:rPr>
              <w:rFonts w:asciiTheme="minorHAnsi" w:hAnsiTheme="minorHAnsi" w:cstheme="minorHAnsi"/>
              <w:color w:val="auto"/>
              <w:sz w:val="24"/>
              <w:szCs w:val="18"/>
              <w:lang w:val="de-DE"/>
            </w:rPr>
          </w:pPr>
          <w:r w:rsidRPr="000B63B8">
            <w:rPr>
              <w:rFonts w:asciiTheme="minorHAnsi" w:hAnsiTheme="minorHAnsi" w:cstheme="minorHAnsi"/>
              <w:color w:val="auto"/>
              <w:sz w:val="24"/>
              <w:szCs w:val="18"/>
              <w:lang w:val="de-DE"/>
            </w:rPr>
            <w:t>Inhaltsverzeichnis</w:t>
          </w:r>
        </w:p>
        <w:p w14:paraId="672C6D97" w14:textId="77777777" w:rsidR="007F3064" w:rsidRPr="000B63B8" w:rsidRDefault="007F3064" w:rsidP="007F3064">
          <w:pPr>
            <w:rPr>
              <w:rFonts w:asciiTheme="minorHAnsi" w:hAnsiTheme="minorHAnsi" w:cstheme="minorHAnsi"/>
              <w:sz w:val="18"/>
              <w:szCs w:val="18"/>
              <w:lang w:val="de-DE" w:eastAsia="de-AT"/>
            </w:rPr>
          </w:pPr>
        </w:p>
        <w:p w14:paraId="2E75295A" w14:textId="35CF1C46" w:rsidR="00FE6600" w:rsidRPr="00FE6600" w:rsidRDefault="00822E59" w:rsidP="00FE6600">
          <w:pPr>
            <w:pStyle w:val="Verzeichnis1"/>
            <w:rPr>
              <w:rFonts w:eastAsiaTheme="minorEastAsia"/>
              <w:b w:val="0"/>
              <w:szCs w:val="22"/>
              <w:lang w:eastAsia="de-AT"/>
            </w:rPr>
          </w:pPr>
          <w:r w:rsidRPr="000B63B8">
            <w:rPr>
              <w:sz w:val="18"/>
              <w:szCs w:val="18"/>
            </w:rPr>
            <w:fldChar w:fldCharType="begin"/>
          </w:r>
          <w:r w:rsidR="007F3064" w:rsidRPr="000B63B8">
            <w:rPr>
              <w:sz w:val="18"/>
              <w:szCs w:val="18"/>
            </w:rPr>
            <w:instrText xml:space="preserve"> TOC \o "1-3" \h \z \u </w:instrText>
          </w:r>
          <w:r w:rsidRPr="000B63B8">
            <w:rPr>
              <w:sz w:val="18"/>
              <w:szCs w:val="18"/>
            </w:rPr>
            <w:fldChar w:fldCharType="separate"/>
          </w:r>
          <w:hyperlink w:anchor="_Toc63667656" w:history="1">
            <w:r w:rsidR="00FE6600" w:rsidRPr="00FE6600">
              <w:rPr>
                <w:rStyle w:val="Hyperlink"/>
              </w:rPr>
              <w:t>1.</w:t>
            </w:r>
            <w:r w:rsidR="00FE6600" w:rsidRPr="00FE6600">
              <w:rPr>
                <w:rFonts w:eastAsiaTheme="minorEastAsia"/>
                <w:b w:val="0"/>
                <w:szCs w:val="22"/>
                <w:lang w:eastAsia="de-AT"/>
              </w:rPr>
              <w:tab/>
            </w:r>
            <w:r w:rsidR="00FE6600" w:rsidRPr="00FE6600">
              <w:rPr>
                <w:rStyle w:val="Hyperlink"/>
              </w:rPr>
              <w:t>Allgemeines</w:t>
            </w:r>
            <w:r w:rsidR="00FE6600" w:rsidRPr="00FE6600">
              <w:rPr>
                <w:webHidden/>
              </w:rPr>
              <w:tab/>
            </w:r>
            <w:r w:rsidR="00FE6600" w:rsidRPr="00FE6600">
              <w:rPr>
                <w:webHidden/>
              </w:rPr>
              <w:fldChar w:fldCharType="begin"/>
            </w:r>
            <w:r w:rsidR="00FE6600" w:rsidRPr="00FE6600">
              <w:rPr>
                <w:webHidden/>
              </w:rPr>
              <w:instrText xml:space="preserve"> PAGEREF _Toc63667656 \h </w:instrText>
            </w:r>
            <w:r w:rsidR="00FE6600" w:rsidRPr="00FE6600">
              <w:rPr>
                <w:webHidden/>
              </w:rPr>
            </w:r>
            <w:r w:rsidR="00FE6600" w:rsidRPr="00FE6600">
              <w:rPr>
                <w:webHidden/>
              </w:rPr>
              <w:fldChar w:fldCharType="separate"/>
            </w:r>
            <w:r w:rsidR="004F75A3">
              <w:rPr>
                <w:webHidden/>
              </w:rPr>
              <w:t>3</w:t>
            </w:r>
            <w:r w:rsidR="00FE6600" w:rsidRPr="00FE6600">
              <w:rPr>
                <w:webHidden/>
              </w:rPr>
              <w:fldChar w:fldCharType="end"/>
            </w:r>
          </w:hyperlink>
        </w:p>
        <w:p w14:paraId="5FC01FF6" w14:textId="04463FFB" w:rsidR="00FE6600" w:rsidRPr="00FE6600" w:rsidRDefault="00460DE7" w:rsidP="00FE6600">
          <w:pPr>
            <w:pStyle w:val="Verzeichnis1"/>
            <w:rPr>
              <w:rFonts w:eastAsiaTheme="minorEastAsia"/>
              <w:b w:val="0"/>
              <w:szCs w:val="22"/>
              <w:lang w:eastAsia="de-AT"/>
            </w:rPr>
          </w:pPr>
          <w:hyperlink w:anchor="_Toc63667657" w:history="1">
            <w:r w:rsidR="00FE6600" w:rsidRPr="00FE6600">
              <w:rPr>
                <w:rStyle w:val="Hyperlink"/>
              </w:rPr>
              <w:t>2.</w:t>
            </w:r>
            <w:r w:rsidR="00FE6600" w:rsidRPr="00FE6600">
              <w:rPr>
                <w:rFonts w:eastAsiaTheme="minorEastAsia"/>
                <w:b w:val="0"/>
                <w:szCs w:val="22"/>
                <w:lang w:eastAsia="de-AT"/>
              </w:rPr>
              <w:tab/>
            </w:r>
            <w:r w:rsidR="00FE6600" w:rsidRPr="00FE6600">
              <w:rPr>
                <w:rStyle w:val="Hyperlink"/>
              </w:rPr>
              <w:t>Diagnostik und Scoring</w:t>
            </w:r>
            <w:r w:rsidR="00FE6600" w:rsidRPr="00FE6600">
              <w:rPr>
                <w:webHidden/>
              </w:rPr>
              <w:tab/>
            </w:r>
            <w:r w:rsidR="00FE6600" w:rsidRPr="00FE6600">
              <w:rPr>
                <w:webHidden/>
              </w:rPr>
              <w:fldChar w:fldCharType="begin"/>
            </w:r>
            <w:r w:rsidR="00FE6600" w:rsidRPr="00FE6600">
              <w:rPr>
                <w:webHidden/>
              </w:rPr>
              <w:instrText xml:space="preserve"> PAGEREF _Toc63667657 \h </w:instrText>
            </w:r>
            <w:r w:rsidR="00FE6600" w:rsidRPr="00FE6600">
              <w:rPr>
                <w:webHidden/>
              </w:rPr>
            </w:r>
            <w:r w:rsidR="00FE6600" w:rsidRPr="00FE6600">
              <w:rPr>
                <w:webHidden/>
              </w:rPr>
              <w:fldChar w:fldCharType="separate"/>
            </w:r>
            <w:r w:rsidR="004F75A3">
              <w:rPr>
                <w:webHidden/>
              </w:rPr>
              <w:t>3</w:t>
            </w:r>
            <w:r w:rsidR="00FE6600" w:rsidRPr="00FE6600">
              <w:rPr>
                <w:webHidden/>
              </w:rPr>
              <w:fldChar w:fldCharType="end"/>
            </w:r>
          </w:hyperlink>
        </w:p>
        <w:p w14:paraId="6896F808" w14:textId="7320FB1A" w:rsidR="00FE6600" w:rsidRPr="00FE6600" w:rsidRDefault="00460DE7" w:rsidP="00FE6600">
          <w:pPr>
            <w:pStyle w:val="Verzeichnis2"/>
            <w:spacing w:line="240" w:lineRule="auto"/>
            <w:rPr>
              <w:rFonts w:asciiTheme="minorHAnsi" w:eastAsiaTheme="minorEastAsia" w:hAnsiTheme="minorHAnsi" w:cstheme="minorHAnsi"/>
              <w:noProof/>
              <w:szCs w:val="22"/>
              <w:lang w:eastAsia="de-AT"/>
            </w:rPr>
          </w:pPr>
          <w:hyperlink w:anchor="_Toc63667658" w:history="1">
            <w:r w:rsidR="00FE6600" w:rsidRPr="00FE6600">
              <w:rPr>
                <w:rStyle w:val="Hyperlink"/>
                <w:rFonts w:asciiTheme="minorHAnsi" w:hAnsiTheme="minorHAnsi" w:cstheme="minorHAnsi"/>
                <w:noProof/>
              </w:rPr>
              <w:t>2.1</w:t>
            </w:r>
            <w:r w:rsidR="00FE6600" w:rsidRPr="00FE6600">
              <w:rPr>
                <w:rFonts w:asciiTheme="minorHAnsi" w:eastAsiaTheme="minorEastAsia" w:hAnsiTheme="minorHAnsi" w:cstheme="minorHAnsi"/>
                <w:noProof/>
                <w:szCs w:val="22"/>
                <w:lang w:eastAsia="de-AT"/>
              </w:rPr>
              <w:tab/>
            </w:r>
            <w:r w:rsidR="00FE6600" w:rsidRPr="00FE6600">
              <w:rPr>
                <w:rStyle w:val="Hyperlink"/>
                <w:rFonts w:asciiTheme="minorHAnsi" w:hAnsiTheme="minorHAnsi" w:cstheme="minorHAnsi"/>
                <w:noProof/>
              </w:rPr>
              <w:t>Diagnostik bei Verdacht auf AML</w:t>
            </w:r>
            <w:r w:rsidR="00FE6600" w:rsidRPr="00FE6600">
              <w:rPr>
                <w:rFonts w:asciiTheme="minorHAnsi" w:hAnsiTheme="minorHAnsi" w:cstheme="minorHAnsi"/>
                <w:noProof/>
                <w:webHidden/>
              </w:rPr>
              <w:tab/>
            </w:r>
            <w:r w:rsidR="00FE6600" w:rsidRPr="00FE6600">
              <w:rPr>
                <w:rFonts w:asciiTheme="minorHAnsi" w:hAnsiTheme="minorHAnsi" w:cstheme="minorHAnsi"/>
                <w:noProof/>
                <w:webHidden/>
              </w:rPr>
              <w:fldChar w:fldCharType="begin"/>
            </w:r>
            <w:r w:rsidR="00FE6600" w:rsidRPr="00FE6600">
              <w:rPr>
                <w:rFonts w:asciiTheme="minorHAnsi" w:hAnsiTheme="minorHAnsi" w:cstheme="minorHAnsi"/>
                <w:noProof/>
                <w:webHidden/>
              </w:rPr>
              <w:instrText xml:space="preserve"> PAGEREF _Toc63667658 \h </w:instrText>
            </w:r>
            <w:r w:rsidR="00FE6600" w:rsidRPr="00FE6600">
              <w:rPr>
                <w:rFonts w:asciiTheme="minorHAnsi" w:hAnsiTheme="minorHAnsi" w:cstheme="minorHAnsi"/>
                <w:noProof/>
                <w:webHidden/>
              </w:rPr>
            </w:r>
            <w:r w:rsidR="00FE6600" w:rsidRPr="00FE6600">
              <w:rPr>
                <w:rFonts w:asciiTheme="minorHAnsi" w:hAnsiTheme="minorHAnsi" w:cstheme="minorHAnsi"/>
                <w:noProof/>
                <w:webHidden/>
              </w:rPr>
              <w:fldChar w:fldCharType="separate"/>
            </w:r>
            <w:r w:rsidR="004F75A3">
              <w:rPr>
                <w:rFonts w:asciiTheme="minorHAnsi" w:hAnsiTheme="minorHAnsi" w:cstheme="minorHAnsi"/>
                <w:noProof/>
                <w:webHidden/>
              </w:rPr>
              <w:t>3</w:t>
            </w:r>
            <w:r w:rsidR="00FE6600" w:rsidRPr="00FE6600">
              <w:rPr>
                <w:rFonts w:asciiTheme="minorHAnsi" w:hAnsiTheme="minorHAnsi" w:cstheme="minorHAnsi"/>
                <w:noProof/>
                <w:webHidden/>
              </w:rPr>
              <w:fldChar w:fldCharType="end"/>
            </w:r>
          </w:hyperlink>
        </w:p>
        <w:p w14:paraId="02B638AE" w14:textId="63C7E38F" w:rsidR="00FE6600" w:rsidRPr="00FE6600" w:rsidRDefault="00460DE7" w:rsidP="00FE6600">
          <w:pPr>
            <w:pStyle w:val="Verzeichnis2"/>
            <w:spacing w:line="240" w:lineRule="auto"/>
            <w:rPr>
              <w:rFonts w:asciiTheme="minorHAnsi" w:eastAsiaTheme="minorEastAsia" w:hAnsiTheme="minorHAnsi" w:cstheme="minorHAnsi"/>
              <w:noProof/>
              <w:szCs w:val="22"/>
              <w:lang w:eastAsia="de-AT"/>
            </w:rPr>
          </w:pPr>
          <w:hyperlink w:anchor="_Toc63667659" w:history="1">
            <w:r w:rsidR="00FE6600" w:rsidRPr="00FE6600">
              <w:rPr>
                <w:rStyle w:val="Hyperlink"/>
                <w:rFonts w:asciiTheme="minorHAnsi" w:hAnsiTheme="minorHAnsi" w:cstheme="minorHAnsi"/>
                <w:noProof/>
              </w:rPr>
              <w:t>2.2</w:t>
            </w:r>
            <w:r w:rsidR="00FE6600" w:rsidRPr="00FE6600">
              <w:rPr>
                <w:rFonts w:asciiTheme="minorHAnsi" w:eastAsiaTheme="minorEastAsia" w:hAnsiTheme="minorHAnsi" w:cstheme="minorHAnsi"/>
                <w:noProof/>
                <w:szCs w:val="22"/>
                <w:lang w:eastAsia="de-AT"/>
              </w:rPr>
              <w:tab/>
            </w:r>
            <w:r w:rsidR="00FE6600" w:rsidRPr="00FE6600">
              <w:rPr>
                <w:rStyle w:val="Hyperlink"/>
                <w:rFonts w:asciiTheme="minorHAnsi" w:hAnsiTheme="minorHAnsi" w:cstheme="minorHAnsi"/>
                <w:noProof/>
              </w:rPr>
              <w:t>Weitere Diagnostik / Intervention nach Diagnosestellung der AML</w:t>
            </w:r>
            <w:r w:rsidR="00FE6600" w:rsidRPr="00FE6600">
              <w:rPr>
                <w:rFonts w:asciiTheme="minorHAnsi" w:hAnsiTheme="minorHAnsi" w:cstheme="minorHAnsi"/>
                <w:noProof/>
                <w:webHidden/>
              </w:rPr>
              <w:tab/>
            </w:r>
            <w:r w:rsidR="00FE6600" w:rsidRPr="00FE6600">
              <w:rPr>
                <w:rFonts w:asciiTheme="minorHAnsi" w:hAnsiTheme="minorHAnsi" w:cstheme="minorHAnsi"/>
                <w:noProof/>
                <w:webHidden/>
              </w:rPr>
              <w:fldChar w:fldCharType="begin"/>
            </w:r>
            <w:r w:rsidR="00FE6600" w:rsidRPr="00FE6600">
              <w:rPr>
                <w:rFonts w:asciiTheme="minorHAnsi" w:hAnsiTheme="minorHAnsi" w:cstheme="minorHAnsi"/>
                <w:noProof/>
                <w:webHidden/>
              </w:rPr>
              <w:instrText xml:space="preserve"> PAGEREF _Toc63667659 \h </w:instrText>
            </w:r>
            <w:r w:rsidR="00FE6600" w:rsidRPr="00FE6600">
              <w:rPr>
                <w:rFonts w:asciiTheme="minorHAnsi" w:hAnsiTheme="minorHAnsi" w:cstheme="minorHAnsi"/>
                <w:noProof/>
                <w:webHidden/>
              </w:rPr>
            </w:r>
            <w:r w:rsidR="00FE6600" w:rsidRPr="00FE6600">
              <w:rPr>
                <w:rFonts w:asciiTheme="minorHAnsi" w:hAnsiTheme="minorHAnsi" w:cstheme="minorHAnsi"/>
                <w:noProof/>
                <w:webHidden/>
              </w:rPr>
              <w:fldChar w:fldCharType="separate"/>
            </w:r>
            <w:r w:rsidR="004F75A3">
              <w:rPr>
                <w:rFonts w:asciiTheme="minorHAnsi" w:hAnsiTheme="minorHAnsi" w:cstheme="minorHAnsi"/>
                <w:noProof/>
                <w:webHidden/>
              </w:rPr>
              <w:t>4</w:t>
            </w:r>
            <w:r w:rsidR="00FE6600" w:rsidRPr="00FE6600">
              <w:rPr>
                <w:rFonts w:asciiTheme="minorHAnsi" w:hAnsiTheme="minorHAnsi" w:cstheme="minorHAnsi"/>
                <w:noProof/>
                <w:webHidden/>
              </w:rPr>
              <w:fldChar w:fldCharType="end"/>
            </w:r>
          </w:hyperlink>
        </w:p>
        <w:p w14:paraId="23A922A9" w14:textId="30D3974E" w:rsidR="00FE6600" w:rsidRPr="00FE6600" w:rsidRDefault="00460DE7" w:rsidP="00FE6600">
          <w:pPr>
            <w:pStyle w:val="Verzeichnis2"/>
            <w:spacing w:line="240" w:lineRule="auto"/>
            <w:rPr>
              <w:rFonts w:asciiTheme="minorHAnsi" w:eastAsiaTheme="minorEastAsia" w:hAnsiTheme="minorHAnsi" w:cstheme="minorHAnsi"/>
              <w:noProof/>
              <w:szCs w:val="22"/>
              <w:lang w:eastAsia="de-AT"/>
            </w:rPr>
          </w:pPr>
          <w:hyperlink w:anchor="_Toc63667660" w:history="1">
            <w:r w:rsidR="00FE6600" w:rsidRPr="00FE6600">
              <w:rPr>
                <w:rStyle w:val="Hyperlink"/>
                <w:rFonts w:asciiTheme="minorHAnsi" w:hAnsiTheme="minorHAnsi" w:cstheme="minorHAnsi"/>
                <w:noProof/>
              </w:rPr>
              <w:t>2.3</w:t>
            </w:r>
            <w:r w:rsidR="00FE6600" w:rsidRPr="00FE6600">
              <w:rPr>
                <w:rFonts w:asciiTheme="minorHAnsi" w:eastAsiaTheme="minorEastAsia" w:hAnsiTheme="minorHAnsi" w:cstheme="minorHAnsi"/>
                <w:noProof/>
                <w:szCs w:val="22"/>
                <w:lang w:eastAsia="de-AT"/>
              </w:rPr>
              <w:tab/>
            </w:r>
            <w:r w:rsidR="00FE6600" w:rsidRPr="00FE6600">
              <w:rPr>
                <w:rStyle w:val="Hyperlink"/>
                <w:rFonts w:asciiTheme="minorHAnsi" w:hAnsiTheme="minorHAnsi" w:cstheme="minorHAnsi"/>
                <w:noProof/>
              </w:rPr>
              <w:t>Klassifikation</w:t>
            </w:r>
            <w:r w:rsidR="00FE6600" w:rsidRPr="00FE6600">
              <w:rPr>
                <w:rFonts w:asciiTheme="minorHAnsi" w:hAnsiTheme="minorHAnsi" w:cstheme="minorHAnsi"/>
                <w:noProof/>
                <w:webHidden/>
              </w:rPr>
              <w:tab/>
            </w:r>
            <w:r w:rsidR="00FE6600" w:rsidRPr="00FE6600">
              <w:rPr>
                <w:rFonts w:asciiTheme="minorHAnsi" w:hAnsiTheme="minorHAnsi" w:cstheme="minorHAnsi"/>
                <w:noProof/>
                <w:webHidden/>
              </w:rPr>
              <w:fldChar w:fldCharType="begin"/>
            </w:r>
            <w:r w:rsidR="00FE6600" w:rsidRPr="00FE6600">
              <w:rPr>
                <w:rFonts w:asciiTheme="minorHAnsi" w:hAnsiTheme="minorHAnsi" w:cstheme="minorHAnsi"/>
                <w:noProof/>
                <w:webHidden/>
              </w:rPr>
              <w:instrText xml:space="preserve"> PAGEREF _Toc63667660 \h </w:instrText>
            </w:r>
            <w:r w:rsidR="00FE6600" w:rsidRPr="00FE6600">
              <w:rPr>
                <w:rFonts w:asciiTheme="minorHAnsi" w:hAnsiTheme="minorHAnsi" w:cstheme="minorHAnsi"/>
                <w:noProof/>
                <w:webHidden/>
              </w:rPr>
            </w:r>
            <w:r w:rsidR="00FE6600" w:rsidRPr="00FE6600">
              <w:rPr>
                <w:rFonts w:asciiTheme="minorHAnsi" w:hAnsiTheme="minorHAnsi" w:cstheme="minorHAnsi"/>
                <w:noProof/>
                <w:webHidden/>
              </w:rPr>
              <w:fldChar w:fldCharType="separate"/>
            </w:r>
            <w:r w:rsidR="004F75A3">
              <w:rPr>
                <w:rFonts w:asciiTheme="minorHAnsi" w:hAnsiTheme="minorHAnsi" w:cstheme="minorHAnsi"/>
                <w:noProof/>
                <w:webHidden/>
              </w:rPr>
              <w:t>5</w:t>
            </w:r>
            <w:r w:rsidR="00FE6600" w:rsidRPr="00FE6600">
              <w:rPr>
                <w:rFonts w:asciiTheme="minorHAnsi" w:hAnsiTheme="minorHAnsi" w:cstheme="minorHAnsi"/>
                <w:noProof/>
                <w:webHidden/>
              </w:rPr>
              <w:fldChar w:fldCharType="end"/>
            </w:r>
          </w:hyperlink>
        </w:p>
        <w:p w14:paraId="2AA370C2" w14:textId="15738438" w:rsidR="00FE6600" w:rsidRPr="00FE6600" w:rsidRDefault="00460DE7" w:rsidP="00FE6600">
          <w:pPr>
            <w:pStyle w:val="Verzeichnis3"/>
            <w:spacing w:line="240" w:lineRule="auto"/>
            <w:rPr>
              <w:rFonts w:asciiTheme="minorHAnsi" w:eastAsiaTheme="minorEastAsia" w:hAnsiTheme="minorHAnsi" w:cstheme="minorHAnsi"/>
              <w:noProof/>
              <w:szCs w:val="22"/>
              <w:lang w:eastAsia="de-AT"/>
            </w:rPr>
          </w:pPr>
          <w:hyperlink w:anchor="_Toc63667661" w:history="1">
            <w:r w:rsidR="00FE6600" w:rsidRPr="00FE6600">
              <w:rPr>
                <w:rStyle w:val="Hyperlink"/>
                <w:rFonts w:asciiTheme="minorHAnsi" w:hAnsiTheme="minorHAnsi" w:cstheme="minorHAnsi"/>
                <w:noProof/>
              </w:rPr>
              <w:t>2.3.1</w:t>
            </w:r>
            <w:r w:rsidR="00FE6600" w:rsidRPr="00FE6600">
              <w:rPr>
                <w:rFonts w:asciiTheme="minorHAnsi" w:eastAsiaTheme="minorEastAsia" w:hAnsiTheme="minorHAnsi" w:cstheme="minorHAnsi"/>
                <w:noProof/>
                <w:szCs w:val="22"/>
                <w:lang w:eastAsia="de-AT"/>
              </w:rPr>
              <w:tab/>
            </w:r>
            <w:r w:rsidR="00FE6600" w:rsidRPr="00FE6600">
              <w:rPr>
                <w:rStyle w:val="Hyperlink"/>
                <w:rFonts w:asciiTheme="minorHAnsi" w:hAnsiTheme="minorHAnsi" w:cstheme="minorHAnsi"/>
                <w:noProof/>
              </w:rPr>
              <w:t>WHO-Klassifikation 2016: AML</w:t>
            </w:r>
            <w:r w:rsidR="00FE6600" w:rsidRPr="00FE6600">
              <w:rPr>
                <w:rFonts w:asciiTheme="minorHAnsi" w:hAnsiTheme="minorHAnsi" w:cstheme="minorHAnsi"/>
                <w:noProof/>
                <w:webHidden/>
              </w:rPr>
              <w:tab/>
            </w:r>
            <w:r w:rsidR="00FE6600" w:rsidRPr="00FE6600">
              <w:rPr>
                <w:rFonts w:asciiTheme="minorHAnsi" w:hAnsiTheme="minorHAnsi" w:cstheme="minorHAnsi"/>
                <w:noProof/>
                <w:webHidden/>
              </w:rPr>
              <w:fldChar w:fldCharType="begin"/>
            </w:r>
            <w:r w:rsidR="00FE6600" w:rsidRPr="00FE6600">
              <w:rPr>
                <w:rFonts w:asciiTheme="minorHAnsi" w:hAnsiTheme="minorHAnsi" w:cstheme="minorHAnsi"/>
                <w:noProof/>
                <w:webHidden/>
              </w:rPr>
              <w:instrText xml:space="preserve"> PAGEREF _Toc63667661 \h </w:instrText>
            </w:r>
            <w:r w:rsidR="00FE6600" w:rsidRPr="00FE6600">
              <w:rPr>
                <w:rFonts w:asciiTheme="minorHAnsi" w:hAnsiTheme="minorHAnsi" w:cstheme="minorHAnsi"/>
                <w:noProof/>
                <w:webHidden/>
              </w:rPr>
            </w:r>
            <w:r w:rsidR="00FE6600" w:rsidRPr="00FE6600">
              <w:rPr>
                <w:rFonts w:asciiTheme="minorHAnsi" w:hAnsiTheme="minorHAnsi" w:cstheme="minorHAnsi"/>
                <w:noProof/>
                <w:webHidden/>
              </w:rPr>
              <w:fldChar w:fldCharType="separate"/>
            </w:r>
            <w:r w:rsidR="004F75A3">
              <w:rPr>
                <w:rFonts w:asciiTheme="minorHAnsi" w:hAnsiTheme="minorHAnsi" w:cstheme="minorHAnsi"/>
                <w:noProof/>
                <w:webHidden/>
              </w:rPr>
              <w:t>5</w:t>
            </w:r>
            <w:r w:rsidR="00FE6600" w:rsidRPr="00FE6600">
              <w:rPr>
                <w:rFonts w:asciiTheme="minorHAnsi" w:hAnsiTheme="minorHAnsi" w:cstheme="minorHAnsi"/>
                <w:noProof/>
                <w:webHidden/>
              </w:rPr>
              <w:fldChar w:fldCharType="end"/>
            </w:r>
          </w:hyperlink>
        </w:p>
        <w:p w14:paraId="5B299845" w14:textId="3162D7CA" w:rsidR="00FE6600" w:rsidRPr="00FE6600" w:rsidRDefault="00460DE7" w:rsidP="00FE6600">
          <w:pPr>
            <w:pStyle w:val="Verzeichnis3"/>
            <w:spacing w:line="240" w:lineRule="auto"/>
            <w:rPr>
              <w:rFonts w:asciiTheme="minorHAnsi" w:eastAsiaTheme="minorEastAsia" w:hAnsiTheme="minorHAnsi" w:cstheme="minorHAnsi"/>
              <w:noProof/>
              <w:szCs w:val="22"/>
              <w:lang w:eastAsia="de-AT"/>
            </w:rPr>
          </w:pPr>
          <w:hyperlink w:anchor="_Toc63667662" w:history="1">
            <w:r w:rsidR="00FE6600" w:rsidRPr="00FE6600">
              <w:rPr>
                <w:rStyle w:val="Hyperlink"/>
                <w:rFonts w:asciiTheme="minorHAnsi" w:hAnsiTheme="minorHAnsi" w:cstheme="minorHAnsi"/>
                <w:noProof/>
              </w:rPr>
              <w:t>2.3.2</w:t>
            </w:r>
            <w:r w:rsidR="00FE6600" w:rsidRPr="00FE6600">
              <w:rPr>
                <w:rFonts w:asciiTheme="minorHAnsi" w:eastAsiaTheme="minorEastAsia" w:hAnsiTheme="minorHAnsi" w:cstheme="minorHAnsi"/>
                <w:noProof/>
                <w:szCs w:val="22"/>
                <w:lang w:eastAsia="de-AT"/>
              </w:rPr>
              <w:tab/>
            </w:r>
            <w:r w:rsidR="00FE6600" w:rsidRPr="00FE6600">
              <w:rPr>
                <w:rStyle w:val="Hyperlink"/>
                <w:rFonts w:asciiTheme="minorHAnsi" w:hAnsiTheme="minorHAnsi" w:cstheme="minorHAnsi"/>
                <w:noProof/>
              </w:rPr>
              <w:t>Ergänzungen zur WHO Klassifikation (wichtig für die Entscheidung bezüglich CPX 351)</w:t>
            </w:r>
            <w:r w:rsidR="00FE6600" w:rsidRPr="00FE6600">
              <w:rPr>
                <w:rFonts w:asciiTheme="minorHAnsi" w:hAnsiTheme="minorHAnsi" w:cstheme="minorHAnsi"/>
                <w:noProof/>
                <w:webHidden/>
              </w:rPr>
              <w:tab/>
            </w:r>
            <w:r w:rsidR="00FE6600" w:rsidRPr="00FE6600">
              <w:rPr>
                <w:rFonts w:asciiTheme="minorHAnsi" w:hAnsiTheme="minorHAnsi" w:cstheme="minorHAnsi"/>
                <w:noProof/>
                <w:webHidden/>
              </w:rPr>
              <w:fldChar w:fldCharType="begin"/>
            </w:r>
            <w:r w:rsidR="00FE6600" w:rsidRPr="00FE6600">
              <w:rPr>
                <w:rFonts w:asciiTheme="minorHAnsi" w:hAnsiTheme="minorHAnsi" w:cstheme="minorHAnsi"/>
                <w:noProof/>
                <w:webHidden/>
              </w:rPr>
              <w:instrText xml:space="preserve"> PAGEREF _Toc63667662 \h </w:instrText>
            </w:r>
            <w:r w:rsidR="00FE6600" w:rsidRPr="00FE6600">
              <w:rPr>
                <w:rFonts w:asciiTheme="minorHAnsi" w:hAnsiTheme="minorHAnsi" w:cstheme="minorHAnsi"/>
                <w:noProof/>
                <w:webHidden/>
              </w:rPr>
            </w:r>
            <w:r w:rsidR="00FE6600" w:rsidRPr="00FE6600">
              <w:rPr>
                <w:rFonts w:asciiTheme="minorHAnsi" w:hAnsiTheme="minorHAnsi" w:cstheme="minorHAnsi"/>
                <w:noProof/>
                <w:webHidden/>
              </w:rPr>
              <w:fldChar w:fldCharType="separate"/>
            </w:r>
            <w:r w:rsidR="004F75A3">
              <w:rPr>
                <w:rFonts w:asciiTheme="minorHAnsi" w:hAnsiTheme="minorHAnsi" w:cstheme="minorHAnsi"/>
                <w:noProof/>
                <w:webHidden/>
              </w:rPr>
              <w:t>5</w:t>
            </w:r>
            <w:r w:rsidR="00FE6600" w:rsidRPr="00FE6600">
              <w:rPr>
                <w:rFonts w:asciiTheme="minorHAnsi" w:hAnsiTheme="minorHAnsi" w:cstheme="minorHAnsi"/>
                <w:noProof/>
                <w:webHidden/>
              </w:rPr>
              <w:fldChar w:fldCharType="end"/>
            </w:r>
          </w:hyperlink>
        </w:p>
        <w:p w14:paraId="65C36814" w14:textId="754518B8" w:rsidR="00FE6600" w:rsidRPr="00FE6600" w:rsidRDefault="00460DE7" w:rsidP="00FE6600">
          <w:pPr>
            <w:pStyle w:val="Verzeichnis3"/>
            <w:spacing w:line="240" w:lineRule="auto"/>
            <w:rPr>
              <w:rFonts w:asciiTheme="minorHAnsi" w:eastAsiaTheme="minorEastAsia" w:hAnsiTheme="minorHAnsi" w:cstheme="minorHAnsi"/>
              <w:noProof/>
              <w:szCs w:val="22"/>
              <w:lang w:eastAsia="de-AT"/>
            </w:rPr>
          </w:pPr>
          <w:hyperlink w:anchor="_Toc63667663" w:history="1">
            <w:r w:rsidR="00FE6600" w:rsidRPr="00FE6600">
              <w:rPr>
                <w:rStyle w:val="Hyperlink"/>
                <w:rFonts w:asciiTheme="minorHAnsi" w:hAnsiTheme="minorHAnsi" w:cstheme="minorHAnsi"/>
                <w:noProof/>
              </w:rPr>
              <w:t>2.3.3</w:t>
            </w:r>
            <w:r w:rsidR="00FE6600" w:rsidRPr="00FE6600">
              <w:rPr>
                <w:rFonts w:asciiTheme="minorHAnsi" w:eastAsiaTheme="minorEastAsia" w:hAnsiTheme="minorHAnsi" w:cstheme="minorHAnsi"/>
                <w:noProof/>
                <w:szCs w:val="22"/>
                <w:lang w:eastAsia="de-AT"/>
              </w:rPr>
              <w:tab/>
            </w:r>
            <w:r w:rsidR="00FE6600" w:rsidRPr="00FE6600">
              <w:rPr>
                <w:rStyle w:val="Hyperlink"/>
                <w:rFonts w:asciiTheme="minorHAnsi" w:hAnsiTheme="minorHAnsi" w:cstheme="minorHAnsi"/>
                <w:noProof/>
              </w:rPr>
              <w:t>Differentialdiagnose MDS - AML mit Myelodysplasie - Akute Erythroleukämie</w:t>
            </w:r>
            <w:r w:rsidR="00FE6600" w:rsidRPr="00FE6600">
              <w:rPr>
                <w:rFonts w:asciiTheme="minorHAnsi" w:hAnsiTheme="minorHAnsi" w:cstheme="minorHAnsi"/>
                <w:noProof/>
                <w:webHidden/>
              </w:rPr>
              <w:tab/>
            </w:r>
            <w:r w:rsidR="00FE6600" w:rsidRPr="00FE6600">
              <w:rPr>
                <w:rFonts w:asciiTheme="minorHAnsi" w:hAnsiTheme="minorHAnsi" w:cstheme="minorHAnsi"/>
                <w:noProof/>
                <w:webHidden/>
              </w:rPr>
              <w:fldChar w:fldCharType="begin"/>
            </w:r>
            <w:r w:rsidR="00FE6600" w:rsidRPr="00FE6600">
              <w:rPr>
                <w:rFonts w:asciiTheme="minorHAnsi" w:hAnsiTheme="minorHAnsi" w:cstheme="minorHAnsi"/>
                <w:noProof/>
                <w:webHidden/>
              </w:rPr>
              <w:instrText xml:space="preserve"> PAGEREF _Toc63667663 \h </w:instrText>
            </w:r>
            <w:r w:rsidR="00FE6600" w:rsidRPr="00FE6600">
              <w:rPr>
                <w:rFonts w:asciiTheme="minorHAnsi" w:hAnsiTheme="minorHAnsi" w:cstheme="minorHAnsi"/>
                <w:noProof/>
                <w:webHidden/>
              </w:rPr>
            </w:r>
            <w:r w:rsidR="00FE6600" w:rsidRPr="00FE6600">
              <w:rPr>
                <w:rFonts w:asciiTheme="minorHAnsi" w:hAnsiTheme="minorHAnsi" w:cstheme="minorHAnsi"/>
                <w:noProof/>
                <w:webHidden/>
              </w:rPr>
              <w:fldChar w:fldCharType="separate"/>
            </w:r>
            <w:r w:rsidR="004F75A3">
              <w:rPr>
                <w:rFonts w:asciiTheme="minorHAnsi" w:hAnsiTheme="minorHAnsi" w:cstheme="minorHAnsi"/>
                <w:noProof/>
                <w:webHidden/>
              </w:rPr>
              <w:t>6</w:t>
            </w:r>
            <w:r w:rsidR="00FE6600" w:rsidRPr="00FE6600">
              <w:rPr>
                <w:rFonts w:asciiTheme="minorHAnsi" w:hAnsiTheme="minorHAnsi" w:cstheme="minorHAnsi"/>
                <w:noProof/>
                <w:webHidden/>
              </w:rPr>
              <w:fldChar w:fldCharType="end"/>
            </w:r>
          </w:hyperlink>
        </w:p>
        <w:p w14:paraId="147CBF61" w14:textId="5382F8BD" w:rsidR="00FE6600" w:rsidRPr="00FE6600" w:rsidRDefault="00460DE7" w:rsidP="00FE6600">
          <w:pPr>
            <w:pStyle w:val="Verzeichnis2"/>
            <w:spacing w:line="240" w:lineRule="auto"/>
            <w:rPr>
              <w:rFonts w:asciiTheme="minorHAnsi" w:eastAsiaTheme="minorEastAsia" w:hAnsiTheme="minorHAnsi" w:cstheme="minorHAnsi"/>
              <w:noProof/>
              <w:szCs w:val="22"/>
              <w:lang w:eastAsia="de-AT"/>
            </w:rPr>
          </w:pPr>
          <w:hyperlink w:anchor="_Toc63667664" w:history="1">
            <w:r w:rsidR="00FE6600" w:rsidRPr="00FE6600">
              <w:rPr>
                <w:rStyle w:val="Hyperlink"/>
                <w:rFonts w:asciiTheme="minorHAnsi" w:hAnsiTheme="minorHAnsi" w:cstheme="minorHAnsi"/>
                <w:noProof/>
              </w:rPr>
              <w:t>2.4</w:t>
            </w:r>
            <w:r w:rsidR="00FE6600" w:rsidRPr="00FE6600">
              <w:rPr>
                <w:rFonts w:asciiTheme="minorHAnsi" w:eastAsiaTheme="minorEastAsia" w:hAnsiTheme="minorHAnsi" w:cstheme="minorHAnsi"/>
                <w:noProof/>
                <w:szCs w:val="22"/>
                <w:lang w:eastAsia="de-AT"/>
              </w:rPr>
              <w:tab/>
            </w:r>
            <w:r w:rsidR="00FE6600" w:rsidRPr="00FE6600">
              <w:rPr>
                <w:rStyle w:val="Hyperlink"/>
                <w:rFonts w:asciiTheme="minorHAnsi" w:hAnsiTheme="minorHAnsi" w:cstheme="minorHAnsi"/>
                <w:noProof/>
              </w:rPr>
              <w:t xml:space="preserve"> Risikoscoring (ELN 2017)</w:t>
            </w:r>
            <w:r w:rsidR="00FE6600" w:rsidRPr="00FE6600">
              <w:rPr>
                <w:rFonts w:asciiTheme="minorHAnsi" w:hAnsiTheme="minorHAnsi" w:cstheme="minorHAnsi"/>
                <w:noProof/>
                <w:webHidden/>
              </w:rPr>
              <w:tab/>
            </w:r>
            <w:r w:rsidR="00FE6600" w:rsidRPr="00FE6600">
              <w:rPr>
                <w:rFonts w:asciiTheme="minorHAnsi" w:hAnsiTheme="minorHAnsi" w:cstheme="minorHAnsi"/>
                <w:noProof/>
                <w:webHidden/>
              </w:rPr>
              <w:fldChar w:fldCharType="begin"/>
            </w:r>
            <w:r w:rsidR="00FE6600" w:rsidRPr="00FE6600">
              <w:rPr>
                <w:rFonts w:asciiTheme="minorHAnsi" w:hAnsiTheme="minorHAnsi" w:cstheme="minorHAnsi"/>
                <w:noProof/>
                <w:webHidden/>
              </w:rPr>
              <w:instrText xml:space="preserve"> PAGEREF _Toc63667664 \h </w:instrText>
            </w:r>
            <w:r w:rsidR="00FE6600" w:rsidRPr="00FE6600">
              <w:rPr>
                <w:rFonts w:asciiTheme="minorHAnsi" w:hAnsiTheme="minorHAnsi" w:cstheme="minorHAnsi"/>
                <w:noProof/>
                <w:webHidden/>
              </w:rPr>
            </w:r>
            <w:r w:rsidR="00FE6600" w:rsidRPr="00FE6600">
              <w:rPr>
                <w:rFonts w:asciiTheme="minorHAnsi" w:hAnsiTheme="minorHAnsi" w:cstheme="minorHAnsi"/>
                <w:noProof/>
                <w:webHidden/>
              </w:rPr>
              <w:fldChar w:fldCharType="separate"/>
            </w:r>
            <w:r w:rsidR="004F75A3">
              <w:rPr>
                <w:rFonts w:asciiTheme="minorHAnsi" w:hAnsiTheme="minorHAnsi" w:cstheme="minorHAnsi"/>
                <w:noProof/>
                <w:webHidden/>
              </w:rPr>
              <w:t>6</w:t>
            </w:r>
            <w:r w:rsidR="00FE6600" w:rsidRPr="00FE6600">
              <w:rPr>
                <w:rFonts w:asciiTheme="minorHAnsi" w:hAnsiTheme="minorHAnsi" w:cstheme="minorHAnsi"/>
                <w:noProof/>
                <w:webHidden/>
              </w:rPr>
              <w:fldChar w:fldCharType="end"/>
            </w:r>
          </w:hyperlink>
        </w:p>
        <w:p w14:paraId="10C6A63C" w14:textId="46BB7392" w:rsidR="00FE6600" w:rsidRPr="00FE6600" w:rsidRDefault="00460DE7" w:rsidP="00FE6600">
          <w:pPr>
            <w:pStyle w:val="Verzeichnis2"/>
            <w:spacing w:line="240" w:lineRule="auto"/>
            <w:rPr>
              <w:rFonts w:asciiTheme="minorHAnsi" w:eastAsiaTheme="minorEastAsia" w:hAnsiTheme="minorHAnsi" w:cstheme="minorHAnsi"/>
              <w:noProof/>
              <w:szCs w:val="22"/>
              <w:lang w:eastAsia="de-AT"/>
            </w:rPr>
          </w:pPr>
          <w:hyperlink w:anchor="_Toc63667665" w:history="1">
            <w:r w:rsidR="00FE6600" w:rsidRPr="00FE6600">
              <w:rPr>
                <w:rStyle w:val="Hyperlink"/>
                <w:rFonts w:asciiTheme="minorHAnsi" w:hAnsiTheme="minorHAnsi" w:cstheme="minorHAnsi"/>
                <w:noProof/>
              </w:rPr>
              <w:t>2.5</w:t>
            </w:r>
            <w:r w:rsidR="00FE6600" w:rsidRPr="00FE6600">
              <w:rPr>
                <w:rFonts w:asciiTheme="minorHAnsi" w:eastAsiaTheme="minorEastAsia" w:hAnsiTheme="minorHAnsi" w:cstheme="minorHAnsi"/>
                <w:noProof/>
                <w:szCs w:val="22"/>
                <w:lang w:eastAsia="de-AT"/>
              </w:rPr>
              <w:tab/>
            </w:r>
            <w:r w:rsidR="00FE6600" w:rsidRPr="00FE6600">
              <w:rPr>
                <w:rStyle w:val="Hyperlink"/>
                <w:rFonts w:asciiTheme="minorHAnsi" w:hAnsiTheme="minorHAnsi" w:cstheme="minorHAnsi"/>
                <w:noProof/>
              </w:rPr>
              <w:t>Für Stammzelltransplantationskandidaten - Comorbidity score (HCT-CI, Sorror)</w:t>
            </w:r>
            <w:r w:rsidR="00FE6600" w:rsidRPr="00FE6600">
              <w:rPr>
                <w:rFonts w:asciiTheme="minorHAnsi" w:hAnsiTheme="minorHAnsi" w:cstheme="minorHAnsi"/>
                <w:noProof/>
                <w:webHidden/>
              </w:rPr>
              <w:tab/>
            </w:r>
            <w:r w:rsidR="00FE6600" w:rsidRPr="00FE6600">
              <w:rPr>
                <w:rFonts w:asciiTheme="minorHAnsi" w:hAnsiTheme="minorHAnsi" w:cstheme="minorHAnsi"/>
                <w:noProof/>
                <w:webHidden/>
              </w:rPr>
              <w:fldChar w:fldCharType="begin"/>
            </w:r>
            <w:r w:rsidR="00FE6600" w:rsidRPr="00FE6600">
              <w:rPr>
                <w:rFonts w:asciiTheme="minorHAnsi" w:hAnsiTheme="minorHAnsi" w:cstheme="minorHAnsi"/>
                <w:noProof/>
                <w:webHidden/>
              </w:rPr>
              <w:instrText xml:space="preserve"> PAGEREF _Toc63667665 \h </w:instrText>
            </w:r>
            <w:r w:rsidR="00FE6600" w:rsidRPr="00FE6600">
              <w:rPr>
                <w:rFonts w:asciiTheme="minorHAnsi" w:hAnsiTheme="minorHAnsi" w:cstheme="minorHAnsi"/>
                <w:noProof/>
                <w:webHidden/>
              </w:rPr>
            </w:r>
            <w:r w:rsidR="00FE6600" w:rsidRPr="00FE6600">
              <w:rPr>
                <w:rFonts w:asciiTheme="minorHAnsi" w:hAnsiTheme="minorHAnsi" w:cstheme="minorHAnsi"/>
                <w:noProof/>
                <w:webHidden/>
              </w:rPr>
              <w:fldChar w:fldCharType="separate"/>
            </w:r>
            <w:r w:rsidR="004F75A3">
              <w:rPr>
                <w:rFonts w:asciiTheme="minorHAnsi" w:hAnsiTheme="minorHAnsi" w:cstheme="minorHAnsi"/>
                <w:noProof/>
                <w:webHidden/>
              </w:rPr>
              <w:t>7</w:t>
            </w:r>
            <w:r w:rsidR="00FE6600" w:rsidRPr="00FE6600">
              <w:rPr>
                <w:rFonts w:asciiTheme="minorHAnsi" w:hAnsiTheme="minorHAnsi" w:cstheme="minorHAnsi"/>
                <w:noProof/>
                <w:webHidden/>
              </w:rPr>
              <w:fldChar w:fldCharType="end"/>
            </w:r>
          </w:hyperlink>
        </w:p>
        <w:p w14:paraId="2FE415E7" w14:textId="25B80D6D" w:rsidR="00FE6600" w:rsidRPr="00FE6600" w:rsidRDefault="00460DE7" w:rsidP="00FE6600">
          <w:pPr>
            <w:pStyle w:val="Verzeichnis1"/>
            <w:rPr>
              <w:rFonts w:eastAsiaTheme="minorEastAsia"/>
              <w:b w:val="0"/>
              <w:szCs w:val="22"/>
              <w:lang w:eastAsia="de-AT"/>
            </w:rPr>
          </w:pPr>
          <w:hyperlink w:anchor="_Toc63667666" w:history="1">
            <w:r w:rsidR="00FE6600" w:rsidRPr="00FE6600">
              <w:rPr>
                <w:rStyle w:val="Hyperlink"/>
              </w:rPr>
              <w:t>3</w:t>
            </w:r>
            <w:r w:rsidR="00FE6600" w:rsidRPr="00FE6600">
              <w:rPr>
                <w:rFonts w:eastAsiaTheme="minorEastAsia"/>
                <w:b w:val="0"/>
                <w:szCs w:val="22"/>
                <w:lang w:eastAsia="de-AT"/>
              </w:rPr>
              <w:tab/>
            </w:r>
            <w:r w:rsidR="00FE6600" w:rsidRPr="00FE6600">
              <w:rPr>
                <w:rStyle w:val="Hyperlink"/>
              </w:rPr>
              <w:t>Behandlungsplan</w:t>
            </w:r>
            <w:r w:rsidR="00FE6600" w:rsidRPr="00FE6600">
              <w:rPr>
                <w:webHidden/>
              </w:rPr>
              <w:tab/>
            </w:r>
            <w:r w:rsidR="00FE6600" w:rsidRPr="00FE6600">
              <w:rPr>
                <w:webHidden/>
              </w:rPr>
              <w:fldChar w:fldCharType="begin"/>
            </w:r>
            <w:r w:rsidR="00FE6600" w:rsidRPr="00FE6600">
              <w:rPr>
                <w:webHidden/>
              </w:rPr>
              <w:instrText xml:space="preserve"> PAGEREF _Toc63667666 \h </w:instrText>
            </w:r>
            <w:r w:rsidR="00FE6600" w:rsidRPr="00FE6600">
              <w:rPr>
                <w:webHidden/>
              </w:rPr>
            </w:r>
            <w:r w:rsidR="00FE6600" w:rsidRPr="00FE6600">
              <w:rPr>
                <w:webHidden/>
              </w:rPr>
              <w:fldChar w:fldCharType="separate"/>
            </w:r>
            <w:r w:rsidR="004F75A3">
              <w:rPr>
                <w:webHidden/>
              </w:rPr>
              <w:t>8</w:t>
            </w:r>
            <w:r w:rsidR="00FE6600" w:rsidRPr="00FE6600">
              <w:rPr>
                <w:webHidden/>
              </w:rPr>
              <w:fldChar w:fldCharType="end"/>
            </w:r>
          </w:hyperlink>
        </w:p>
        <w:p w14:paraId="5C290B0B" w14:textId="60D2B136" w:rsidR="00FE6600" w:rsidRPr="00FE6600" w:rsidRDefault="00460DE7" w:rsidP="00FE6600">
          <w:pPr>
            <w:pStyle w:val="Verzeichnis2"/>
            <w:spacing w:line="240" w:lineRule="auto"/>
            <w:rPr>
              <w:rFonts w:asciiTheme="minorHAnsi" w:eastAsiaTheme="minorEastAsia" w:hAnsiTheme="minorHAnsi" w:cstheme="minorHAnsi"/>
              <w:noProof/>
              <w:szCs w:val="22"/>
              <w:lang w:eastAsia="de-AT"/>
            </w:rPr>
          </w:pPr>
          <w:hyperlink w:anchor="_Toc63667667" w:history="1">
            <w:r w:rsidR="00FE6600" w:rsidRPr="00FE6600">
              <w:rPr>
                <w:rStyle w:val="Hyperlink"/>
                <w:rFonts w:asciiTheme="minorHAnsi" w:hAnsiTheme="minorHAnsi" w:cstheme="minorHAnsi"/>
                <w:noProof/>
                <w:lang w:val="de-DE"/>
              </w:rPr>
              <w:t>3.1</w:t>
            </w:r>
            <w:r w:rsidR="00FE6600" w:rsidRPr="00FE6600">
              <w:rPr>
                <w:rFonts w:asciiTheme="minorHAnsi" w:eastAsiaTheme="minorEastAsia" w:hAnsiTheme="minorHAnsi" w:cstheme="minorHAnsi"/>
                <w:noProof/>
                <w:szCs w:val="22"/>
                <w:lang w:eastAsia="de-AT"/>
              </w:rPr>
              <w:tab/>
            </w:r>
            <w:r w:rsidR="00FE6600" w:rsidRPr="00FE6600">
              <w:rPr>
                <w:rStyle w:val="Hyperlink"/>
                <w:rFonts w:asciiTheme="minorHAnsi" w:hAnsiTheme="minorHAnsi" w:cstheme="minorHAnsi"/>
                <w:noProof/>
                <w:lang w:val="de-DE"/>
              </w:rPr>
              <w:t>Erstlinientherapie (nicht M3), kurative Therapieintention</w:t>
            </w:r>
            <w:r w:rsidR="00FE6600" w:rsidRPr="00FE6600">
              <w:rPr>
                <w:rFonts w:asciiTheme="minorHAnsi" w:hAnsiTheme="minorHAnsi" w:cstheme="minorHAnsi"/>
                <w:noProof/>
                <w:webHidden/>
              </w:rPr>
              <w:tab/>
            </w:r>
            <w:r w:rsidR="00FE6600" w:rsidRPr="00FE6600">
              <w:rPr>
                <w:rFonts w:asciiTheme="minorHAnsi" w:hAnsiTheme="minorHAnsi" w:cstheme="minorHAnsi"/>
                <w:noProof/>
                <w:webHidden/>
              </w:rPr>
              <w:fldChar w:fldCharType="begin"/>
            </w:r>
            <w:r w:rsidR="00FE6600" w:rsidRPr="00FE6600">
              <w:rPr>
                <w:rFonts w:asciiTheme="minorHAnsi" w:hAnsiTheme="minorHAnsi" w:cstheme="minorHAnsi"/>
                <w:noProof/>
                <w:webHidden/>
              </w:rPr>
              <w:instrText xml:space="preserve"> PAGEREF _Toc63667667 \h </w:instrText>
            </w:r>
            <w:r w:rsidR="00FE6600" w:rsidRPr="00FE6600">
              <w:rPr>
                <w:rFonts w:asciiTheme="minorHAnsi" w:hAnsiTheme="minorHAnsi" w:cstheme="minorHAnsi"/>
                <w:noProof/>
                <w:webHidden/>
              </w:rPr>
            </w:r>
            <w:r w:rsidR="00FE6600" w:rsidRPr="00FE6600">
              <w:rPr>
                <w:rFonts w:asciiTheme="minorHAnsi" w:hAnsiTheme="minorHAnsi" w:cstheme="minorHAnsi"/>
                <w:noProof/>
                <w:webHidden/>
              </w:rPr>
              <w:fldChar w:fldCharType="separate"/>
            </w:r>
            <w:r w:rsidR="004F75A3">
              <w:rPr>
                <w:rFonts w:asciiTheme="minorHAnsi" w:hAnsiTheme="minorHAnsi" w:cstheme="minorHAnsi"/>
                <w:noProof/>
                <w:webHidden/>
              </w:rPr>
              <w:t>8</w:t>
            </w:r>
            <w:r w:rsidR="00FE6600" w:rsidRPr="00FE6600">
              <w:rPr>
                <w:rFonts w:asciiTheme="minorHAnsi" w:hAnsiTheme="minorHAnsi" w:cstheme="minorHAnsi"/>
                <w:noProof/>
                <w:webHidden/>
              </w:rPr>
              <w:fldChar w:fldCharType="end"/>
            </w:r>
          </w:hyperlink>
        </w:p>
        <w:p w14:paraId="2D9993D1" w14:textId="113B9A9F" w:rsidR="00FE6600" w:rsidRPr="00FE6600" w:rsidRDefault="00460DE7" w:rsidP="00FE6600">
          <w:pPr>
            <w:pStyle w:val="Verzeichnis2"/>
            <w:spacing w:line="240" w:lineRule="auto"/>
            <w:rPr>
              <w:rFonts w:asciiTheme="minorHAnsi" w:eastAsiaTheme="minorEastAsia" w:hAnsiTheme="minorHAnsi" w:cstheme="minorHAnsi"/>
              <w:noProof/>
              <w:szCs w:val="22"/>
              <w:lang w:eastAsia="de-AT"/>
            </w:rPr>
          </w:pPr>
          <w:hyperlink w:anchor="_Toc63667668" w:history="1">
            <w:r w:rsidR="00FE6600" w:rsidRPr="00FE6600">
              <w:rPr>
                <w:rStyle w:val="Hyperlink"/>
                <w:rFonts w:asciiTheme="minorHAnsi" w:hAnsiTheme="minorHAnsi" w:cstheme="minorHAnsi"/>
                <w:noProof/>
                <w:lang w:val="de-DE"/>
              </w:rPr>
              <w:t>3.2</w:t>
            </w:r>
            <w:r w:rsidR="00FE6600" w:rsidRPr="00FE6600">
              <w:rPr>
                <w:rFonts w:asciiTheme="minorHAnsi" w:eastAsiaTheme="minorEastAsia" w:hAnsiTheme="minorHAnsi" w:cstheme="minorHAnsi"/>
                <w:noProof/>
                <w:szCs w:val="22"/>
                <w:lang w:eastAsia="de-AT"/>
              </w:rPr>
              <w:tab/>
            </w:r>
            <w:r w:rsidR="00FE6600" w:rsidRPr="00FE6600">
              <w:rPr>
                <w:rStyle w:val="Hyperlink"/>
                <w:rFonts w:asciiTheme="minorHAnsi" w:hAnsiTheme="minorHAnsi" w:cstheme="minorHAnsi"/>
                <w:noProof/>
                <w:lang w:val="de-DE"/>
              </w:rPr>
              <w:t>Rezidivtherapie (nicht M3), kurative Therapieintention</w:t>
            </w:r>
            <w:r w:rsidR="00FE6600" w:rsidRPr="00FE6600">
              <w:rPr>
                <w:rFonts w:asciiTheme="minorHAnsi" w:hAnsiTheme="minorHAnsi" w:cstheme="minorHAnsi"/>
                <w:noProof/>
                <w:webHidden/>
              </w:rPr>
              <w:tab/>
            </w:r>
            <w:r w:rsidR="00FE6600" w:rsidRPr="00FE6600">
              <w:rPr>
                <w:rFonts w:asciiTheme="minorHAnsi" w:hAnsiTheme="minorHAnsi" w:cstheme="minorHAnsi"/>
                <w:noProof/>
                <w:webHidden/>
              </w:rPr>
              <w:fldChar w:fldCharType="begin"/>
            </w:r>
            <w:r w:rsidR="00FE6600" w:rsidRPr="00FE6600">
              <w:rPr>
                <w:rFonts w:asciiTheme="minorHAnsi" w:hAnsiTheme="minorHAnsi" w:cstheme="minorHAnsi"/>
                <w:noProof/>
                <w:webHidden/>
              </w:rPr>
              <w:instrText xml:space="preserve"> PAGEREF _Toc63667668 \h </w:instrText>
            </w:r>
            <w:r w:rsidR="00FE6600" w:rsidRPr="00FE6600">
              <w:rPr>
                <w:rFonts w:asciiTheme="minorHAnsi" w:hAnsiTheme="minorHAnsi" w:cstheme="minorHAnsi"/>
                <w:noProof/>
                <w:webHidden/>
              </w:rPr>
            </w:r>
            <w:r w:rsidR="00FE6600" w:rsidRPr="00FE6600">
              <w:rPr>
                <w:rFonts w:asciiTheme="minorHAnsi" w:hAnsiTheme="minorHAnsi" w:cstheme="minorHAnsi"/>
                <w:noProof/>
                <w:webHidden/>
              </w:rPr>
              <w:fldChar w:fldCharType="separate"/>
            </w:r>
            <w:r w:rsidR="004F75A3">
              <w:rPr>
                <w:rFonts w:asciiTheme="minorHAnsi" w:hAnsiTheme="minorHAnsi" w:cstheme="minorHAnsi"/>
                <w:noProof/>
                <w:webHidden/>
              </w:rPr>
              <w:t>9</w:t>
            </w:r>
            <w:r w:rsidR="00FE6600" w:rsidRPr="00FE6600">
              <w:rPr>
                <w:rFonts w:asciiTheme="minorHAnsi" w:hAnsiTheme="minorHAnsi" w:cstheme="minorHAnsi"/>
                <w:noProof/>
                <w:webHidden/>
              </w:rPr>
              <w:fldChar w:fldCharType="end"/>
            </w:r>
          </w:hyperlink>
        </w:p>
        <w:p w14:paraId="77C88533" w14:textId="2CEA1018" w:rsidR="00FE6600" w:rsidRPr="00FE6600" w:rsidRDefault="00460DE7" w:rsidP="00FE6600">
          <w:pPr>
            <w:pStyle w:val="Verzeichnis2"/>
            <w:spacing w:line="240" w:lineRule="auto"/>
            <w:rPr>
              <w:rFonts w:asciiTheme="minorHAnsi" w:eastAsiaTheme="minorEastAsia" w:hAnsiTheme="minorHAnsi" w:cstheme="minorHAnsi"/>
              <w:noProof/>
              <w:szCs w:val="22"/>
              <w:lang w:eastAsia="de-AT"/>
            </w:rPr>
          </w:pPr>
          <w:hyperlink w:anchor="_Toc63667669" w:history="1">
            <w:r w:rsidR="00FE6600" w:rsidRPr="00FE6600">
              <w:rPr>
                <w:rStyle w:val="Hyperlink"/>
                <w:rFonts w:asciiTheme="minorHAnsi" w:hAnsiTheme="minorHAnsi" w:cstheme="minorHAnsi"/>
                <w:noProof/>
                <w:lang w:val="de-DE"/>
              </w:rPr>
              <w:t>3.3</w:t>
            </w:r>
            <w:r w:rsidR="00FE6600" w:rsidRPr="00FE6600">
              <w:rPr>
                <w:rFonts w:asciiTheme="minorHAnsi" w:eastAsiaTheme="minorEastAsia" w:hAnsiTheme="minorHAnsi" w:cstheme="minorHAnsi"/>
                <w:noProof/>
                <w:szCs w:val="22"/>
                <w:lang w:eastAsia="de-AT"/>
              </w:rPr>
              <w:tab/>
            </w:r>
            <w:r w:rsidR="00FE6600" w:rsidRPr="00FE6600">
              <w:rPr>
                <w:rStyle w:val="Hyperlink"/>
                <w:rFonts w:asciiTheme="minorHAnsi" w:hAnsiTheme="minorHAnsi" w:cstheme="minorHAnsi"/>
                <w:noProof/>
                <w:lang w:val="de-DE"/>
              </w:rPr>
              <w:t>Anmerkungen zu den Behandlungsalgorithmen 3.1 und 3.2</w:t>
            </w:r>
            <w:r w:rsidR="00FE6600" w:rsidRPr="00FE6600">
              <w:rPr>
                <w:rFonts w:asciiTheme="minorHAnsi" w:hAnsiTheme="minorHAnsi" w:cstheme="minorHAnsi"/>
                <w:noProof/>
                <w:webHidden/>
              </w:rPr>
              <w:tab/>
            </w:r>
            <w:r w:rsidR="00FE6600" w:rsidRPr="00FE6600">
              <w:rPr>
                <w:rFonts w:asciiTheme="minorHAnsi" w:hAnsiTheme="minorHAnsi" w:cstheme="minorHAnsi"/>
                <w:noProof/>
                <w:webHidden/>
              </w:rPr>
              <w:fldChar w:fldCharType="begin"/>
            </w:r>
            <w:r w:rsidR="00FE6600" w:rsidRPr="00FE6600">
              <w:rPr>
                <w:rFonts w:asciiTheme="minorHAnsi" w:hAnsiTheme="minorHAnsi" w:cstheme="minorHAnsi"/>
                <w:noProof/>
                <w:webHidden/>
              </w:rPr>
              <w:instrText xml:space="preserve"> PAGEREF _Toc63667669 \h </w:instrText>
            </w:r>
            <w:r w:rsidR="00FE6600" w:rsidRPr="00FE6600">
              <w:rPr>
                <w:rFonts w:asciiTheme="minorHAnsi" w:hAnsiTheme="minorHAnsi" w:cstheme="minorHAnsi"/>
                <w:noProof/>
                <w:webHidden/>
              </w:rPr>
            </w:r>
            <w:r w:rsidR="00FE6600" w:rsidRPr="00FE6600">
              <w:rPr>
                <w:rFonts w:asciiTheme="minorHAnsi" w:hAnsiTheme="minorHAnsi" w:cstheme="minorHAnsi"/>
                <w:noProof/>
                <w:webHidden/>
              </w:rPr>
              <w:fldChar w:fldCharType="separate"/>
            </w:r>
            <w:r w:rsidR="004F75A3">
              <w:rPr>
                <w:rFonts w:asciiTheme="minorHAnsi" w:hAnsiTheme="minorHAnsi" w:cstheme="minorHAnsi"/>
                <w:noProof/>
                <w:webHidden/>
              </w:rPr>
              <w:t>10</w:t>
            </w:r>
            <w:r w:rsidR="00FE6600" w:rsidRPr="00FE6600">
              <w:rPr>
                <w:rFonts w:asciiTheme="minorHAnsi" w:hAnsiTheme="minorHAnsi" w:cstheme="minorHAnsi"/>
                <w:noProof/>
                <w:webHidden/>
              </w:rPr>
              <w:fldChar w:fldCharType="end"/>
            </w:r>
          </w:hyperlink>
        </w:p>
        <w:p w14:paraId="62AAF248" w14:textId="65227BBE" w:rsidR="00FE6600" w:rsidRPr="00FE6600" w:rsidRDefault="00460DE7" w:rsidP="00FE6600">
          <w:pPr>
            <w:pStyle w:val="Verzeichnis2"/>
            <w:spacing w:line="240" w:lineRule="auto"/>
            <w:rPr>
              <w:rFonts w:asciiTheme="minorHAnsi" w:eastAsiaTheme="minorEastAsia" w:hAnsiTheme="minorHAnsi" w:cstheme="minorHAnsi"/>
              <w:noProof/>
              <w:szCs w:val="22"/>
              <w:lang w:eastAsia="de-AT"/>
            </w:rPr>
          </w:pPr>
          <w:hyperlink w:anchor="_Toc63667670" w:history="1">
            <w:r w:rsidR="00FE6600" w:rsidRPr="00FE6600">
              <w:rPr>
                <w:rStyle w:val="Hyperlink"/>
                <w:rFonts w:asciiTheme="minorHAnsi" w:hAnsiTheme="minorHAnsi" w:cstheme="minorHAnsi"/>
                <w:noProof/>
                <w:lang w:val="de-DE"/>
              </w:rPr>
              <w:t>3.4</w:t>
            </w:r>
            <w:r w:rsidR="00FE6600" w:rsidRPr="00FE6600">
              <w:rPr>
                <w:rFonts w:asciiTheme="minorHAnsi" w:eastAsiaTheme="minorEastAsia" w:hAnsiTheme="minorHAnsi" w:cstheme="minorHAnsi"/>
                <w:noProof/>
                <w:szCs w:val="22"/>
                <w:lang w:eastAsia="de-AT"/>
              </w:rPr>
              <w:tab/>
            </w:r>
            <w:r w:rsidR="00FE6600" w:rsidRPr="00FE6600">
              <w:rPr>
                <w:rStyle w:val="Hyperlink"/>
                <w:rFonts w:asciiTheme="minorHAnsi" w:hAnsiTheme="minorHAnsi" w:cstheme="minorHAnsi"/>
                <w:noProof/>
                <w:lang w:val="de-DE"/>
              </w:rPr>
              <w:t>Nicht kurative Erstlinien- und Folgetherapie(n) (nicht M3)</w:t>
            </w:r>
            <w:r w:rsidR="00FE6600" w:rsidRPr="00FE6600">
              <w:rPr>
                <w:rFonts w:asciiTheme="minorHAnsi" w:hAnsiTheme="minorHAnsi" w:cstheme="minorHAnsi"/>
                <w:noProof/>
                <w:webHidden/>
              </w:rPr>
              <w:tab/>
            </w:r>
            <w:r w:rsidR="00FE6600" w:rsidRPr="00FE6600">
              <w:rPr>
                <w:rFonts w:asciiTheme="minorHAnsi" w:hAnsiTheme="minorHAnsi" w:cstheme="minorHAnsi"/>
                <w:noProof/>
                <w:webHidden/>
              </w:rPr>
              <w:fldChar w:fldCharType="begin"/>
            </w:r>
            <w:r w:rsidR="00FE6600" w:rsidRPr="00FE6600">
              <w:rPr>
                <w:rFonts w:asciiTheme="minorHAnsi" w:hAnsiTheme="minorHAnsi" w:cstheme="minorHAnsi"/>
                <w:noProof/>
                <w:webHidden/>
              </w:rPr>
              <w:instrText xml:space="preserve"> PAGEREF _Toc63667670 \h </w:instrText>
            </w:r>
            <w:r w:rsidR="00FE6600" w:rsidRPr="00FE6600">
              <w:rPr>
                <w:rFonts w:asciiTheme="minorHAnsi" w:hAnsiTheme="minorHAnsi" w:cstheme="minorHAnsi"/>
                <w:noProof/>
                <w:webHidden/>
              </w:rPr>
            </w:r>
            <w:r w:rsidR="00FE6600" w:rsidRPr="00FE6600">
              <w:rPr>
                <w:rFonts w:asciiTheme="minorHAnsi" w:hAnsiTheme="minorHAnsi" w:cstheme="minorHAnsi"/>
                <w:noProof/>
                <w:webHidden/>
              </w:rPr>
              <w:fldChar w:fldCharType="separate"/>
            </w:r>
            <w:r w:rsidR="004F75A3">
              <w:rPr>
                <w:rFonts w:asciiTheme="minorHAnsi" w:hAnsiTheme="minorHAnsi" w:cstheme="minorHAnsi"/>
                <w:noProof/>
                <w:webHidden/>
              </w:rPr>
              <w:t>11</w:t>
            </w:r>
            <w:r w:rsidR="00FE6600" w:rsidRPr="00FE6600">
              <w:rPr>
                <w:rFonts w:asciiTheme="minorHAnsi" w:hAnsiTheme="minorHAnsi" w:cstheme="minorHAnsi"/>
                <w:noProof/>
                <w:webHidden/>
              </w:rPr>
              <w:fldChar w:fldCharType="end"/>
            </w:r>
          </w:hyperlink>
        </w:p>
        <w:p w14:paraId="531D9EA1" w14:textId="448E5768" w:rsidR="00FE6600" w:rsidRPr="00FE6600" w:rsidRDefault="00460DE7" w:rsidP="00FE6600">
          <w:pPr>
            <w:pStyle w:val="Verzeichnis2"/>
            <w:spacing w:line="240" w:lineRule="auto"/>
            <w:rPr>
              <w:rFonts w:asciiTheme="minorHAnsi" w:eastAsiaTheme="minorEastAsia" w:hAnsiTheme="minorHAnsi" w:cstheme="minorHAnsi"/>
              <w:noProof/>
              <w:szCs w:val="22"/>
              <w:lang w:eastAsia="de-AT"/>
            </w:rPr>
          </w:pPr>
          <w:hyperlink w:anchor="_Toc63667671" w:history="1">
            <w:r w:rsidR="00FE6600" w:rsidRPr="00FE6600">
              <w:rPr>
                <w:rStyle w:val="Hyperlink"/>
                <w:rFonts w:asciiTheme="minorHAnsi" w:hAnsiTheme="minorHAnsi" w:cstheme="minorHAnsi"/>
                <w:noProof/>
                <w:lang w:val="de-DE"/>
              </w:rPr>
              <w:t>3.5</w:t>
            </w:r>
            <w:r w:rsidR="00FE6600" w:rsidRPr="00FE6600">
              <w:rPr>
                <w:rFonts w:asciiTheme="minorHAnsi" w:eastAsiaTheme="minorEastAsia" w:hAnsiTheme="minorHAnsi" w:cstheme="minorHAnsi"/>
                <w:noProof/>
                <w:szCs w:val="22"/>
                <w:lang w:eastAsia="de-AT"/>
              </w:rPr>
              <w:tab/>
            </w:r>
            <w:r w:rsidR="00FE6600" w:rsidRPr="00FE6600">
              <w:rPr>
                <w:rStyle w:val="Hyperlink"/>
                <w:rFonts w:asciiTheme="minorHAnsi" w:hAnsiTheme="minorHAnsi" w:cstheme="minorHAnsi"/>
                <w:noProof/>
                <w:lang w:val="de-DE"/>
              </w:rPr>
              <w:t>Algorithmus zur Therapie für Patienten mit APL</w:t>
            </w:r>
            <w:r w:rsidR="00FE6600" w:rsidRPr="00FE6600">
              <w:rPr>
                <w:rFonts w:asciiTheme="minorHAnsi" w:hAnsiTheme="minorHAnsi" w:cstheme="minorHAnsi"/>
                <w:noProof/>
                <w:webHidden/>
              </w:rPr>
              <w:tab/>
            </w:r>
            <w:r w:rsidR="00FE6600" w:rsidRPr="00FE6600">
              <w:rPr>
                <w:rFonts w:asciiTheme="minorHAnsi" w:hAnsiTheme="minorHAnsi" w:cstheme="minorHAnsi"/>
                <w:noProof/>
                <w:webHidden/>
              </w:rPr>
              <w:fldChar w:fldCharType="begin"/>
            </w:r>
            <w:r w:rsidR="00FE6600" w:rsidRPr="00FE6600">
              <w:rPr>
                <w:rFonts w:asciiTheme="minorHAnsi" w:hAnsiTheme="minorHAnsi" w:cstheme="minorHAnsi"/>
                <w:noProof/>
                <w:webHidden/>
              </w:rPr>
              <w:instrText xml:space="preserve"> PAGEREF _Toc63667671 \h </w:instrText>
            </w:r>
            <w:r w:rsidR="00FE6600" w:rsidRPr="00FE6600">
              <w:rPr>
                <w:rFonts w:asciiTheme="minorHAnsi" w:hAnsiTheme="minorHAnsi" w:cstheme="minorHAnsi"/>
                <w:noProof/>
                <w:webHidden/>
              </w:rPr>
            </w:r>
            <w:r w:rsidR="00FE6600" w:rsidRPr="00FE6600">
              <w:rPr>
                <w:rFonts w:asciiTheme="minorHAnsi" w:hAnsiTheme="minorHAnsi" w:cstheme="minorHAnsi"/>
                <w:noProof/>
                <w:webHidden/>
              </w:rPr>
              <w:fldChar w:fldCharType="separate"/>
            </w:r>
            <w:r w:rsidR="004F75A3">
              <w:rPr>
                <w:rFonts w:asciiTheme="minorHAnsi" w:hAnsiTheme="minorHAnsi" w:cstheme="minorHAnsi"/>
                <w:noProof/>
                <w:webHidden/>
              </w:rPr>
              <w:t>12</w:t>
            </w:r>
            <w:r w:rsidR="00FE6600" w:rsidRPr="00FE6600">
              <w:rPr>
                <w:rFonts w:asciiTheme="minorHAnsi" w:hAnsiTheme="minorHAnsi" w:cstheme="minorHAnsi"/>
                <w:noProof/>
                <w:webHidden/>
              </w:rPr>
              <w:fldChar w:fldCharType="end"/>
            </w:r>
          </w:hyperlink>
        </w:p>
        <w:p w14:paraId="325B6499" w14:textId="2BD4581D" w:rsidR="00FE6600" w:rsidRPr="00FE6600" w:rsidRDefault="00460DE7" w:rsidP="00FE6600">
          <w:pPr>
            <w:pStyle w:val="Verzeichnis3"/>
            <w:spacing w:line="240" w:lineRule="auto"/>
            <w:rPr>
              <w:rFonts w:asciiTheme="minorHAnsi" w:eastAsiaTheme="minorEastAsia" w:hAnsiTheme="minorHAnsi" w:cstheme="minorHAnsi"/>
              <w:noProof/>
              <w:szCs w:val="22"/>
              <w:lang w:eastAsia="de-AT"/>
            </w:rPr>
          </w:pPr>
          <w:hyperlink w:anchor="_Toc63667672" w:history="1">
            <w:r w:rsidR="00FE6600" w:rsidRPr="00FE6600">
              <w:rPr>
                <w:rStyle w:val="Hyperlink"/>
                <w:rFonts w:asciiTheme="minorHAnsi" w:hAnsiTheme="minorHAnsi" w:cstheme="minorHAnsi"/>
                <w:noProof/>
                <w:lang w:eastAsia="de-AT"/>
              </w:rPr>
              <w:t>3.5.1</w:t>
            </w:r>
            <w:r w:rsidR="00FE6600" w:rsidRPr="00FE6600">
              <w:rPr>
                <w:rFonts w:asciiTheme="minorHAnsi" w:eastAsiaTheme="minorEastAsia" w:hAnsiTheme="minorHAnsi" w:cstheme="minorHAnsi"/>
                <w:noProof/>
                <w:szCs w:val="22"/>
                <w:lang w:eastAsia="de-AT"/>
              </w:rPr>
              <w:tab/>
            </w:r>
            <w:r w:rsidR="00FE6600" w:rsidRPr="00FE6600">
              <w:rPr>
                <w:rStyle w:val="Hyperlink"/>
                <w:rFonts w:asciiTheme="minorHAnsi" w:hAnsiTheme="minorHAnsi" w:cstheme="minorHAnsi"/>
                <w:noProof/>
                <w:lang w:eastAsia="de-AT"/>
              </w:rPr>
              <w:t>Überblick über die Behandlungsempfehlungen</w:t>
            </w:r>
            <w:r w:rsidR="00FE6600" w:rsidRPr="00FE6600">
              <w:rPr>
                <w:rFonts w:asciiTheme="minorHAnsi" w:hAnsiTheme="minorHAnsi" w:cstheme="minorHAnsi"/>
                <w:noProof/>
                <w:webHidden/>
              </w:rPr>
              <w:tab/>
            </w:r>
            <w:r w:rsidR="00FE6600" w:rsidRPr="00FE6600">
              <w:rPr>
                <w:rFonts w:asciiTheme="minorHAnsi" w:hAnsiTheme="minorHAnsi" w:cstheme="minorHAnsi"/>
                <w:noProof/>
                <w:webHidden/>
              </w:rPr>
              <w:fldChar w:fldCharType="begin"/>
            </w:r>
            <w:r w:rsidR="00FE6600" w:rsidRPr="00FE6600">
              <w:rPr>
                <w:rFonts w:asciiTheme="minorHAnsi" w:hAnsiTheme="minorHAnsi" w:cstheme="minorHAnsi"/>
                <w:noProof/>
                <w:webHidden/>
              </w:rPr>
              <w:instrText xml:space="preserve"> PAGEREF _Toc63667672 \h </w:instrText>
            </w:r>
            <w:r w:rsidR="00FE6600" w:rsidRPr="00FE6600">
              <w:rPr>
                <w:rFonts w:asciiTheme="minorHAnsi" w:hAnsiTheme="minorHAnsi" w:cstheme="minorHAnsi"/>
                <w:noProof/>
                <w:webHidden/>
              </w:rPr>
            </w:r>
            <w:r w:rsidR="00FE6600" w:rsidRPr="00FE6600">
              <w:rPr>
                <w:rFonts w:asciiTheme="minorHAnsi" w:hAnsiTheme="minorHAnsi" w:cstheme="minorHAnsi"/>
                <w:noProof/>
                <w:webHidden/>
              </w:rPr>
              <w:fldChar w:fldCharType="separate"/>
            </w:r>
            <w:r w:rsidR="004F75A3">
              <w:rPr>
                <w:rFonts w:asciiTheme="minorHAnsi" w:hAnsiTheme="minorHAnsi" w:cstheme="minorHAnsi"/>
                <w:noProof/>
                <w:webHidden/>
              </w:rPr>
              <w:t>12</w:t>
            </w:r>
            <w:r w:rsidR="00FE6600" w:rsidRPr="00FE6600">
              <w:rPr>
                <w:rFonts w:asciiTheme="minorHAnsi" w:hAnsiTheme="minorHAnsi" w:cstheme="minorHAnsi"/>
                <w:noProof/>
                <w:webHidden/>
              </w:rPr>
              <w:fldChar w:fldCharType="end"/>
            </w:r>
          </w:hyperlink>
        </w:p>
        <w:p w14:paraId="772F20D0" w14:textId="46A3D473" w:rsidR="00FE6600" w:rsidRPr="00FE6600" w:rsidRDefault="00460DE7" w:rsidP="00FE6600">
          <w:pPr>
            <w:pStyle w:val="Verzeichnis3"/>
            <w:spacing w:line="240" w:lineRule="auto"/>
            <w:rPr>
              <w:rFonts w:asciiTheme="minorHAnsi" w:eastAsiaTheme="minorEastAsia" w:hAnsiTheme="minorHAnsi" w:cstheme="minorHAnsi"/>
              <w:noProof/>
              <w:szCs w:val="22"/>
              <w:lang w:eastAsia="de-AT"/>
            </w:rPr>
          </w:pPr>
          <w:hyperlink w:anchor="_Toc63667673" w:history="1">
            <w:r w:rsidR="00FE6600" w:rsidRPr="00FE6600">
              <w:rPr>
                <w:rStyle w:val="Hyperlink"/>
                <w:rFonts w:asciiTheme="minorHAnsi" w:hAnsiTheme="minorHAnsi" w:cstheme="minorHAnsi"/>
                <w:noProof/>
              </w:rPr>
              <w:t>3.5.2</w:t>
            </w:r>
            <w:r w:rsidR="00FE6600" w:rsidRPr="00FE6600">
              <w:rPr>
                <w:rFonts w:asciiTheme="minorHAnsi" w:eastAsiaTheme="minorEastAsia" w:hAnsiTheme="minorHAnsi" w:cstheme="minorHAnsi"/>
                <w:noProof/>
                <w:szCs w:val="22"/>
                <w:lang w:eastAsia="de-AT"/>
              </w:rPr>
              <w:tab/>
            </w:r>
            <w:r w:rsidR="00FE6600" w:rsidRPr="00FE6600">
              <w:rPr>
                <w:rStyle w:val="Hyperlink"/>
                <w:rFonts w:asciiTheme="minorHAnsi" w:hAnsiTheme="minorHAnsi" w:cstheme="minorHAnsi"/>
                <w:noProof/>
                <w:lang w:eastAsia="de-AT"/>
              </w:rPr>
              <w:t>Behandlungsempfehlungen für non-high-risk APL</w:t>
            </w:r>
            <w:r w:rsidR="00FE6600" w:rsidRPr="00FE6600">
              <w:rPr>
                <w:rFonts w:asciiTheme="minorHAnsi" w:hAnsiTheme="minorHAnsi" w:cstheme="minorHAnsi"/>
                <w:noProof/>
                <w:webHidden/>
              </w:rPr>
              <w:tab/>
            </w:r>
            <w:r w:rsidR="00FE6600" w:rsidRPr="00FE6600">
              <w:rPr>
                <w:rFonts w:asciiTheme="minorHAnsi" w:hAnsiTheme="minorHAnsi" w:cstheme="minorHAnsi"/>
                <w:noProof/>
                <w:webHidden/>
              </w:rPr>
              <w:fldChar w:fldCharType="begin"/>
            </w:r>
            <w:r w:rsidR="00FE6600" w:rsidRPr="00FE6600">
              <w:rPr>
                <w:rFonts w:asciiTheme="minorHAnsi" w:hAnsiTheme="minorHAnsi" w:cstheme="minorHAnsi"/>
                <w:noProof/>
                <w:webHidden/>
              </w:rPr>
              <w:instrText xml:space="preserve"> PAGEREF _Toc63667673 \h </w:instrText>
            </w:r>
            <w:r w:rsidR="00FE6600" w:rsidRPr="00FE6600">
              <w:rPr>
                <w:rFonts w:asciiTheme="minorHAnsi" w:hAnsiTheme="minorHAnsi" w:cstheme="minorHAnsi"/>
                <w:noProof/>
                <w:webHidden/>
              </w:rPr>
            </w:r>
            <w:r w:rsidR="00FE6600" w:rsidRPr="00FE6600">
              <w:rPr>
                <w:rFonts w:asciiTheme="minorHAnsi" w:hAnsiTheme="minorHAnsi" w:cstheme="minorHAnsi"/>
                <w:noProof/>
                <w:webHidden/>
              </w:rPr>
              <w:fldChar w:fldCharType="separate"/>
            </w:r>
            <w:r w:rsidR="004F75A3">
              <w:rPr>
                <w:rFonts w:asciiTheme="minorHAnsi" w:hAnsiTheme="minorHAnsi" w:cstheme="minorHAnsi"/>
                <w:noProof/>
                <w:webHidden/>
              </w:rPr>
              <w:t>13</w:t>
            </w:r>
            <w:r w:rsidR="00FE6600" w:rsidRPr="00FE6600">
              <w:rPr>
                <w:rFonts w:asciiTheme="minorHAnsi" w:hAnsiTheme="minorHAnsi" w:cstheme="minorHAnsi"/>
                <w:noProof/>
                <w:webHidden/>
              </w:rPr>
              <w:fldChar w:fldCharType="end"/>
            </w:r>
          </w:hyperlink>
        </w:p>
        <w:p w14:paraId="660AC698" w14:textId="5F12D936" w:rsidR="00FE6600" w:rsidRPr="00FE6600" w:rsidRDefault="00460DE7" w:rsidP="00FE6600">
          <w:pPr>
            <w:pStyle w:val="Verzeichnis3"/>
            <w:spacing w:line="240" w:lineRule="auto"/>
            <w:rPr>
              <w:rFonts w:asciiTheme="minorHAnsi" w:eastAsiaTheme="minorEastAsia" w:hAnsiTheme="minorHAnsi" w:cstheme="minorHAnsi"/>
              <w:noProof/>
              <w:szCs w:val="22"/>
              <w:lang w:eastAsia="de-AT"/>
            </w:rPr>
          </w:pPr>
          <w:hyperlink w:anchor="_Toc63667674" w:history="1">
            <w:r w:rsidR="00FE6600" w:rsidRPr="00FE6600">
              <w:rPr>
                <w:rStyle w:val="Hyperlink"/>
                <w:rFonts w:asciiTheme="minorHAnsi" w:hAnsiTheme="minorHAnsi" w:cstheme="minorHAnsi"/>
                <w:noProof/>
                <w:lang w:eastAsia="de-AT"/>
              </w:rPr>
              <w:t>3.5.3</w:t>
            </w:r>
            <w:r w:rsidR="00FE6600" w:rsidRPr="00FE6600">
              <w:rPr>
                <w:rFonts w:asciiTheme="minorHAnsi" w:eastAsiaTheme="minorEastAsia" w:hAnsiTheme="minorHAnsi" w:cstheme="minorHAnsi"/>
                <w:noProof/>
                <w:szCs w:val="22"/>
                <w:lang w:eastAsia="de-AT"/>
              </w:rPr>
              <w:tab/>
            </w:r>
            <w:r w:rsidR="00FE6600" w:rsidRPr="00FE6600">
              <w:rPr>
                <w:rStyle w:val="Hyperlink"/>
                <w:rFonts w:asciiTheme="minorHAnsi" w:hAnsiTheme="minorHAnsi" w:cstheme="minorHAnsi"/>
                <w:noProof/>
                <w:lang w:eastAsia="de-AT"/>
              </w:rPr>
              <w:t>Behandlungsempfehlungen für high-risk APL in Anlehnung an die AIDA-Studie</w:t>
            </w:r>
            <w:r w:rsidR="00FE6600" w:rsidRPr="00FE6600">
              <w:rPr>
                <w:rFonts w:asciiTheme="minorHAnsi" w:hAnsiTheme="minorHAnsi" w:cstheme="minorHAnsi"/>
                <w:noProof/>
                <w:webHidden/>
              </w:rPr>
              <w:tab/>
            </w:r>
            <w:r w:rsidR="00FE6600" w:rsidRPr="00FE6600">
              <w:rPr>
                <w:rFonts w:asciiTheme="minorHAnsi" w:hAnsiTheme="minorHAnsi" w:cstheme="minorHAnsi"/>
                <w:noProof/>
                <w:webHidden/>
              </w:rPr>
              <w:fldChar w:fldCharType="begin"/>
            </w:r>
            <w:r w:rsidR="00FE6600" w:rsidRPr="00FE6600">
              <w:rPr>
                <w:rFonts w:asciiTheme="minorHAnsi" w:hAnsiTheme="minorHAnsi" w:cstheme="minorHAnsi"/>
                <w:noProof/>
                <w:webHidden/>
              </w:rPr>
              <w:instrText xml:space="preserve"> PAGEREF _Toc63667674 \h </w:instrText>
            </w:r>
            <w:r w:rsidR="00FE6600" w:rsidRPr="00FE6600">
              <w:rPr>
                <w:rFonts w:asciiTheme="minorHAnsi" w:hAnsiTheme="minorHAnsi" w:cstheme="minorHAnsi"/>
                <w:noProof/>
                <w:webHidden/>
              </w:rPr>
            </w:r>
            <w:r w:rsidR="00FE6600" w:rsidRPr="00FE6600">
              <w:rPr>
                <w:rFonts w:asciiTheme="minorHAnsi" w:hAnsiTheme="minorHAnsi" w:cstheme="minorHAnsi"/>
                <w:noProof/>
                <w:webHidden/>
              </w:rPr>
              <w:fldChar w:fldCharType="separate"/>
            </w:r>
            <w:r w:rsidR="004F75A3">
              <w:rPr>
                <w:rFonts w:asciiTheme="minorHAnsi" w:hAnsiTheme="minorHAnsi" w:cstheme="minorHAnsi"/>
                <w:noProof/>
                <w:webHidden/>
              </w:rPr>
              <w:t>15</w:t>
            </w:r>
            <w:r w:rsidR="00FE6600" w:rsidRPr="00FE6600">
              <w:rPr>
                <w:rFonts w:asciiTheme="minorHAnsi" w:hAnsiTheme="minorHAnsi" w:cstheme="minorHAnsi"/>
                <w:noProof/>
                <w:webHidden/>
              </w:rPr>
              <w:fldChar w:fldCharType="end"/>
            </w:r>
          </w:hyperlink>
        </w:p>
        <w:p w14:paraId="467198F3" w14:textId="3CDF512F" w:rsidR="00FE6600" w:rsidRPr="00FE6600" w:rsidRDefault="00460DE7" w:rsidP="00FE6600">
          <w:pPr>
            <w:pStyle w:val="Verzeichnis3"/>
            <w:spacing w:line="240" w:lineRule="auto"/>
            <w:rPr>
              <w:rFonts w:asciiTheme="minorHAnsi" w:eastAsiaTheme="minorEastAsia" w:hAnsiTheme="minorHAnsi" w:cstheme="minorHAnsi"/>
              <w:noProof/>
              <w:szCs w:val="22"/>
              <w:lang w:eastAsia="de-AT"/>
            </w:rPr>
          </w:pPr>
          <w:hyperlink w:anchor="_Toc63667675" w:history="1">
            <w:r w:rsidR="00FE6600" w:rsidRPr="00FE6600">
              <w:rPr>
                <w:rStyle w:val="Hyperlink"/>
                <w:rFonts w:asciiTheme="minorHAnsi" w:hAnsiTheme="minorHAnsi" w:cstheme="minorHAnsi"/>
                <w:noProof/>
                <w:lang w:eastAsia="de-AT"/>
              </w:rPr>
              <w:t>3.5.4</w:t>
            </w:r>
            <w:r w:rsidR="00FE6600" w:rsidRPr="00FE6600">
              <w:rPr>
                <w:rFonts w:asciiTheme="minorHAnsi" w:eastAsiaTheme="minorEastAsia" w:hAnsiTheme="minorHAnsi" w:cstheme="minorHAnsi"/>
                <w:noProof/>
                <w:szCs w:val="22"/>
                <w:lang w:eastAsia="de-AT"/>
              </w:rPr>
              <w:tab/>
            </w:r>
            <w:r w:rsidR="00FE6600" w:rsidRPr="00FE6600">
              <w:rPr>
                <w:rStyle w:val="Hyperlink"/>
                <w:rFonts w:asciiTheme="minorHAnsi" w:hAnsiTheme="minorHAnsi" w:cstheme="minorHAnsi"/>
                <w:noProof/>
                <w:lang w:eastAsia="de-AT"/>
              </w:rPr>
              <w:t>Bemerkungen zu Erhaltung und Nachsorge</w:t>
            </w:r>
            <w:r w:rsidR="00FE6600" w:rsidRPr="00FE6600">
              <w:rPr>
                <w:rFonts w:asciiTheme="minorHAnsi" w:hAnsiTheme="minorHAnsi" w:cstheme="minorHAnsi"/>
                <w:noProof/>
                <w:webHidden/>
              </w:rPr>
              <w:tab/>
            </w:r>
            <w:r w:rsidR="00FE6600" w:rsidRPr="00FE6600">
              <w:rPr>
                <w:rFonts w:asciiTheme="minorHAnsi" w:hAnsiTheme="minorHAnsi" w:cstheme="minorHAnsi"/>
                <w:noProof/>
                <w:webHidden/>
              </w:rPr>
              <w:fldChar w:fldCharType="begin"/>
            </w:r>
            <w:r w:rsidR="00FE6600" w:rsidRPr="00FE6600">
              <w:rPr>
                <w:rFonts w:asciiTheme="minorHAnsi" w:hAnsiTheme="minorHAnsi" w:cstheme="minorHAnsi"/>
                <w:noProof/>
                <w:webHidden/>
              </w:rPr>
              <w:instrText xml:space="preserve"> PAGEREF _Toc63667675 \h </w:instrText>
            </w:r>
            <w:r w:rsidR="00FE6600" w:rsidRPr="00FE6600">
              <w:rPr>
                <w:rFonts w:asciiTheme="minorHAnsi" w:hAnsiTheme="minorHAnsi" w:cstheme="minorHAnsi"/>
                <w:noProof/>
                <w:webHidden/>
              </w:rPr>
            </w:r>
            <w:r w:rsidR="00FE6600" w:rsidRPr="00FE6600">
              <w:rPr>
                <w:rFonts w:asciiTheme="minorHAnsi" w:hAnsiTheme="minorHAnsi" w:cstheme="minorHAnsi"/>
                <w:noProof/>
                <w:webHidden/>
              </w:rPr>
              <w:fldChar w:fldCharType="separate"/>
            </w:r>
            <w:r w:rsidR="004F75A3">
              <w:rPr>
                <w:rFonts w:asciiTheme="minorHAnsi" w:hAnsiTheme="minorHAnsi" w:cstheme="minorHAnsi"/>
                <w:noProof/>
                <w:webHidden/>
              </w:rPr>
              <w:t>17</w:t>
            </w:r>
            <w:r w:rsidR="00FE6600" w:rsidRPr="00FE6600">
              <w:rPr>
                <w:rFonts w:asciiTheme="minorHAnsi" w:hAnsiTheme="minorHAnsi" w:cstheme="minorHAnsi"/>
                <w:noProof/>
                <w:webHidden/>
              </w:rPr>
              <w:fldChar w:fldCharType="end"/>
            </w:r>
          </w:hyperlink>
        </w:p>
        <w:p w14:paraId="0F05730E" w14:textId="3ADC792F" w:rsidR="00FE6600" w:rsidRPr="00FE6600" w:rsidRDefault="00460DE7" w:rsidP="00FE6600">
          <w:pPr>
            <w:pStyle w:val="Verzeichnis2"/>
            <w:spacing w:line="240" w:lineRule="auto"/>
            <w:rPr>
              <w:rFonts w:asciiTheme="minorHAnsi" w:eastAsiaTheme="minorEastAsia" w:hAnsiTheme="minorHAnsi" w:cstheme="minorHAnsi"/>
              <w:noProof/>
              <w:szCs w:val="22"/>
              <w:lang w:eastAsia="de-AT"/>
            </w:rPr>
          </w:pPr>
          <w:hyperlink w:anchor="_Toc63667676" w:history="1">
            <w:r w:rsidR="00FE6600" w:rsidRPr="00FE6600">
              <w:rPr>
                <w:rStyle w:val="Hyperlink"/>
                <w:rFonts w:asciiTheme="minorHAnsi" w:hAnsiTheme="minorHAnsi" w:cstheme="minorHAnsi"/>
                <w:noProof/>
                <w:lang w:val="de-DE"/>
              </w:rPr>
              <w:t>3.6</w:t>
            </w:r>
            <w:r w:rsidR="00FE6600" w:rsidRPr="00FE6600">
              <w:rPr>
                <w:rFonts w:asciiTheme="minorHAnsi" w:eastAsiaTheme="minorEastAsia" w:hAnsiTheme="minorHAnsi" w:cstheme="minorHAnsi"/>
                <w:noProof/>
                <w:szCs w:val="22"/>
                <w:lang w:eastAsia="de-AT"/>
              </w:rPr>
              <w:tab/>
            </w:r>
            <w:r w:rsidR="00FE6600" w:rsidRPr="00FE6600">
              <w:rPr>
                <w:rStyle w:val="Hyperlink"/>
                <w:rFonts w:asciiTheme="minorHAnsi" w:hAnsiTheme="minorHAnsi" w:cstheme="minorHAnsi"/>
                <w:noProof/>
                <w:lang w:val="de-DE"/>
              </w:rPr>
              <w:t>Supportive Therapie während intensiver Therapien</w:t>
            </w:r>
            <w:r w:rsidR="00FE6600" w:rsidRPr="00FE6600">
              <w:rPr>
                <w:rFonts w:asciiTheme="minorHAnsi" w:hAnsiTheme="minorHAnsi" w:cstheme="minorHAnsi"/>
                <w:noProof/>
                <w:webHidden/>
              </w:rPr>
              <w:tab/>
            </w:r>
            <w:r w:rsidR="00FE6600" w:rsidRPr="00FE6600">
              <w:rPr>
                <w:rFonts w:asciiTheme="minorHAnsi" w:hAnsiTheme="minorHAnsi" w:cstheme="minorHAnsi"/>
                <w:noProof/>
                <w:webHidden/>
              </w:rPr>
              <w:fldChar w:fldCharType="begin"/>
            </w:r>
            <w:r w:rsidR="00FE6600" w:rsidRPr="00FE6600">
              <w:rPr>
                <w:rFonts w:asciiTheme="minorHAnsi" w:hAnsiTheme="minorHAnsi" w:cstheme="minorHAnsi"/>
                <w:noProof/>
                <w:webHidden/>
              </w:rPr>
              <w:instrText xml:space="preserve"> PAGEREF _Toc63667676 \h </w:instrText>
            </w:r>
            <w:r w:rsidR="00FE6600" w:rsidRPr="00FE6600">
              <w:rPr>
                <w:rFonts w:asciiTheme="minorHAnsi" w:hAnsiTheme="minorHAnsi" w:cstheme="minorHAnsi"/>
                <w:noProof/>
                <w:webHidden/>
              </w:rPr>
            </w:r>
            <w:r w:rsidR="00FE6600" w:rsidRPr="00FE6600">
              <w:rPr>
                <w:rFonts w:asciiTheme="minorHAnsi" w:hAnsiTheme="minorHAnsi" w:cstheme="minorHAnsi"/>
                <w:noProof/>
                <w:webHidden/>
              </w:rPr>
              <w:fldChar w:fldCharType="separate"/>
            </w:r>
            <w:r w:rsidR="004F75A3">
              <w:rPr>
                <w:rFonts w:asciiTheme="minorHAnsi" w:hAnsiTheme="minorHAnsi" w:cstheme="minorHAnsi"/>
                <w:noProof/>
                <w:webHidden/>
              </w:rPr>
              <w:t>18</w:t>
            </w:r>
            <w:r w:rsidR="00FE6600" w:rsidRPr="00FE6600">
              <w:rPr>
                <w:rFonts w:asciiTheme="minorHAnsi" w:hAnsiTheme="minorHAnsi" w:cstheme="minorHAnsi"/>
                <w:noProof/>
                <w:webHidden/>
              </w:rPr>
              <w:fldChar w:fldCharType="end"/>
            </w:r>
          </w:hyperlink>
        </w:p>
        <w:p w14:paraId="5F1B8C38" w14:textId="27DC9637" w:rsidR="00FE6600" w:rsidRPr="00FE6600" w:rsidRDefault="00460DE7" w:rsidP="00FE6600">
          <w:pPr>
            <w:pStyle w:val="Verzeichnis2"/>
            <w:spacing w:line="240" w:lineRule="auto"/>
            <w:rPr>
              <w:rFonts w:asciiTheme="minorHAnsi" w:eastAsiaTheme="minorEastAsia" w:hAnsiTheme="minorHAnsi" w:cstheme="minorHAnsi"/>
              <w:noProof/>
              <w:szCs w:val="22"/>
              <w:lang w:eastAsia="de-AT"/>
            </w:rPr>
          </w:pPr>
          <w:hyperlink w:anchor="_Toc63667677" w:history="1">
            <w:r w:rsidR="00FE6600" w:rsidRPr="00FE6600">
              <w:rPr>
                <w:rStyle w:val="Hyperlink"/>
                <w:rFonts w:asciiTheme="minorHAnsi" w:hAnsiTheme="minorHAnsi" w:cstheme="minorHAnsi"/>
                <w:noProof/>
                <w:lang w:val="de-DE"/>
              </w:rPr>
              <w:t>3.7</w:t>
            </w:r>
            <w:r w:rsidR="00FE6600" w:rsidRPr="00FE6600">
              <w:rPr>
                <w:rFonts w:asciiTheme="minorHAnsi" w:eastAsiaTheme="minorEastAsia" w:hAnsiTheme="minorHAnsi" w:cstheme="minorHAnsi"/>
                <w:noProof/>
                <w:szCs w:val="22"/>
                <w:lang w:eastAsia="de-AT"/>
              </w:rPr>
              <w:tab/>
            </w:r>
            <w:r w:rsidR="00FE6600" w:rsidRPr="00FE6600">
              <w:rPr>
                <w:rStyle w:val="Hyperlink"/>
                <w:rFonts w:asciiTheme="minorHAnsi" w:hAnsiTheme="minorHAnsi" w:cstheme="minorHAnsi"/>
                <w:noProof/>
                <w:lang w:val="de-DE"/>
              </w:rPr>
              <w:t>Infektprophylaxen</w:t>
            </w:r>
            <w:r w:rsidR="00FE6600" w:rsidRPr="00FE6600">
              <w:rPr>
                <w:rFonts w:asciiTheme="minorHAnsi" w:hAnsiTheme="minorHAnsi" w:cstheme="minorHAnsi"/>
                <w:noProof/>
                <w:webHidden/>
              </w:rPr>
              <w:tab/>
            </w:r>
            <w:r w:rsidR="00FE6600" w:rsidRPr="00FE6600">
              <w:rPr>
                <w:rFonts w:asciiTheme="minorHAnsi" w:hAnsiTheme="minorHAnsi" w:cstheme="minorHAnsi"/>
                <w:noProof/>
                <w:webHidden/>
              </w:rPr>
              <w:fldChar w:fldCharType="begin"/>
            </w:r>
            <w:r w:rsidR="00FE6600" w:rsidRPr="00FE6600">
              <w:rPr>
                <w:rFonts w:asciiTheme="minorHAnsi" w:hAnsiTheme="minorHAnsi" w:cstheme="minorHAnsi"/>
                <w:noProof/>
                <w:webHidden/>
              </w:rPr>
              <w:instrText xml:space="preserve"> PAGEREF _Toc63667677 \h </w:instrText>
            </w:r>
            <w:r w:rsidR="00FE6600" w:rsidRPr="00FE6600">
              <w:rPr>
                <w:rFonts w:asciiTheme="minorHAnsi" w:hAnsiTheme="minorHAnsi" w:cstheme="minorHAnsi"/>
                <w:noProof/>
                <w:webHidden/>
              </w:rPr>
            </w:r>
            <w:r w:rsidR="00FE6600" w:rsidRPr="00FE6600">
              <w:rPr>
                <w:rFonts w:asciiTheme="minorHAnsi" w:hAnsiTheme="minorHAnsi" w:cstheme="minorHAnsi"/>
                <w:noProof/>
                <w:webHidden/>
              </w:rPr>
              <w:fldChar w:fldCharType="separate"/>
            </w:r>
            <w:r w:rsidR="004F75A3">
              <w:rPr>
                <w:rFonts w:asciiTheme="minorHAnsi" w:hAnsiTheme="minorHAnsi" w:cstheme="minorHAnsi"/>
                <w:noProof/>
                <w:webHidden/>
              </w:rPr>
              <w:t>19</w:t>
            </w:r>
            <w:r w:rsidR="00FE6600" w:rsidRPr="00FE6600">
              <w:rPr>
                <w:rFonts w:asciiTheme="minorHAnsi" w:hAnsiTheme="minorHAnsi" w:cstheme="minorHAnsi"/>
                <w:noProof/>
                <w:webHidden/>
              </w:rPr>
              <w:fldChar w:fldCharType="end"/>
            </w:r>
          </w:hyperlink>
        </w:p>
        <w:p w14:paraId="3EDF19A9" w14:textId="1AED5CD6" w:rsidR="00FE6600" w:rsidRPr="00FE6600" w:rsidRDefault="00460DE7" w:rsidP="00FE6600">
          <w:pPr>
            <w:pStyle w:val="Verzeichnis2"/>
            <w:spacing w:line="240" w:lineRule="auto"/>
            <w:rPr>
              <w:rFonts w:asciiTheme="minorHAnsi" w:eastAsiaTheme="minorEastAsia" w:hAnsiTheme="minorHAnsi" w:cstheme="minorHAnsi"/>
              <w:noProof/>
              <w:szCs w:val="22"/>
              <w:lang w:eastAsia="de-AT"/>
            </w:rPr>
          </w:pPr>
          <w:hyperlink w:anchor="_Toc63667678" w:history="1">
            <w:r w:rsidR="00FE6600" w:rsidRPr="00FE6600">
              <w:rPr>
                <w:rStyle w:val="Hyperlink"/>
                <w:rFonts w:asciiTheme="minorHAnsi" w:hAnsiTheme="minorHAnsi" w:cstheme="minorHAnsi"/>
                <w:noProof/>
                <w:lang w:val="de-DE"/>
              </w:rPr>
              <w:t>3.8</w:t>
            </w:r>
            <w:r w:rsidR="00FE6600" w:rsidRPr="00FE6600">
              <w:rPr>
                <w:rFonts w:asciiTheme="minorHAnsi" w:eastAsiaTheme="minorEastAsia" w:hAnsiTheme="minorHAnsi" w:cstheme="minorHAnsi"/>
                <w:noProof/>
                <w:szCs w:val="22"/>
                <w:lang w:eastAsia="de-AT"/>
              </w:rPr>
              <w:tab/>
            </w:r>
            <w:r w:rsidR="00FE6600" w:rsidRPr="00FE6600">
              <w:rPr>
                <w:rStyle w:val="Hyperlink"/>
                <w:rFonts w:asciiTheme="minorHAnsi" w:hAnsiTheme="minorHAnsi" w:cstheme="minorHAnsi"/>
                <w:noProof/>
                <w:lang w:val="de-DE"/>
              </w:rPr>
              <w:t>Indikationen für Stammzell-Transplantation</w:t>
            </w:r>
            <w:r w:rsidR="00FE6600" w:rsidRPr="00FE6600">
              <w:rPr>
                <w:rFonts w:asciiTheme="minorHAnsi" w:hAnsiTheme="minorHAnsi" w:cstheme="minorHAnsi"/>
                <w:noProof/>
                <w:webHidden/>
              </w:rPr>
              <w:tab/>
            </w:r>
            <w:r w:rsidR="00FE6600" w:rsidRPr="00FE6600">
              <w:rPr>
                <w:rFonts w:asciiTheme="minorHAnsi" w:hAnsiTheme="minorHAnsi" w:cstheme="minorHAnsi"/>
                <w:noProof/>
                <w:webHidden/>
              </w:rPr>
              <w:fldChar w:fldCharType="begin"/>
            </w:r>
            <w:r w:rsidR="00FE6600" w:rsidRPr="00FE6600">
              <w:rPr>
                <w:rFonts w:asciiTheme="minorHAnsi" w:hAnsiTheme="minorHAnsi" w:cstheme="minorHAnsi"/>
                <w:noProof/>
                <w:webHidden/>
              </w:rPr>
              <w:instrText xml:space="preserve"> PAGEREF _Toc63667678 \h </w:instrText>
            </w:r>
            <w:r w:rsidR="00FE6600" w:rsidRPr="00FE6600">
              <w:rPr>
                <w:rFonts w:asciiTheme="minorHAnsi" w:hAnsiTheme="minorHAnsi" w:cstheme="minorHAnsi"/>
                <w:noProof/>
                <w:webHidden/>
              </w:rPr>
            </w:r>
            <w:r w:rsidR="00FE6600" w:rsidRPr="00FE6600">
              <w:rPr>
                <w:rFonts w:asciiTheme="minorHAnsi" w:hAnsiTheme="minorHAnsi" w:cstheme="minorHAnsi"/>
                <w:noProof/>
                <w:webHidden/>
              </w:rPr>
              <w:fldChar w:fldCharType="separate"/>
            </w:r>
            <w:r w:rsidR="004F75A3">
              <w:rPr>
                <w:rFonts w:asciiTheme="minorHAnsi" w:hAnsiTheme="minorHAnsi" w:cstheme="minorHAnsi"/>
                <w:noProof/>
                <w:webHidden/>
              </w:rPr>
              <w:t>20</w:t>
            </w:r>
            <w:r w:rsidR="00FE6600" w:rsidRPr="00FE6600">
              <w:rPr>
                <w:rFonts w:asciiTheme="minorHAnsi" w:hAnsiTheme="minorHAnsi" w:cstheme="minorHAnsi"/>
                <w:noProof/>
                <w:webHidden/>
              </w:rPr>
              <w:fldChar w:fldCharType="end"/>
            </w:r>
          </w:hyperlink>
        </w:p>
        <w:p w14:paraId="0FE82FA8" w14:textId="1CF0E933" w:rsidR="00FE6600" w:rsidRPr="00FE6600" w:rsidRDefault="00460DE7" w:rsidP="00FE6600">
          <w:pPr>
            <w:pStyle w:val="Verzeichnis1"/>
            <w:rPr>
              <w:rFonts w:eastAsiaTheme="minorEastAsia"/>
              <w:b w:val="0"/>
              <w:szCs w:val="22"/>
              <w:lang w:eastAsia="de-AT"/>
            </w:rPr>
          </w:pPr>
          <w:hyperlink w:anchor="_Toc63667679" w:history="1">
            <w:r w:rsidR="00FE6600" w:rsidRPr="00FE6600">
              <w:rPr>
                <w:rStyle w:val="Hyperlink"/>
              </w:rPr>
              <w:t>4</w:t>
            </w:r>
            <w:r w:rsidR="00FE6600" w:rsidRPr="00FE6600">
              <w:rPr>
                <w:rFonts w:eastAsiaTheme="minorEastAsia"/>
                <w:b w:val="0"/>
                <w:szCs w:val="22"/>
                <w:lang w:eastAsia="de-AT"/>
              </w:rPr>
              <w:tab/>
            </w:r>
            <w:r w:rsidR="00FE6600" w:rsidRPr="00FE6600">
              <w:rPr>
                <w:rStyle w:val="Hyperlink"/>
              </w:rPr>
              <w:t>Besondere klinische Situationen</w:t>
            </w:r>
            <w:r w:rsidR="00FE6600" w:rsidRPr="00FE6600">
              <w:rPr>
                <w:webHidden/>
              </w:rPr>
              <w:tab/>
            </w:r>
            <w:r w:rsidR="00FE6600" w:rsidRPr="00FE6600">
              <w:rPr>
                <w:webHidden/>
              </w:rPr>
              <w:fldChar w:fldCharType="begin"/>
            </w:r>
            <w:r w:rsidR="00FE6600" w:rsidRPr="00FE6600">
              <w:rPr>
                <w:webHidden/>
              </w:rPr>
              <w:instrText xml:space="preserve"> PAGEREF _Toc63667679 \h </w:instrText>
            </w:r>
            <w:r w:rsidR="00FE6600" w:rsidRPr="00FE6600">
              <w:rPr>
                <w:webHidden/>
              </w:rPr>
            </w:r>
            <w:r w:rsidR="00FE6600" w:rsidRPr="00FE6600">
              <w:rPr>
                <w:webHidden/>
              </w:rPr>
              <w:fldChar w:fldCharType="separate"/>
            </w:r>
            <w:r w:rsidR="004F75A3">
              <w:rPr>
                <w:webHidden/>
              </w:rPr>
              <w:t>21</w:t>
            </w:r>
            <w:r w:rsidR="00FE6600" w:rsidRPr="00FE6600">
              <w:rPr>
                <w:webHidden/>
              </w:rPr>
              <w:fldChar w:fldCharType="end"/>
            </w:r>
          </w:hyperlink>
        </w:p>
        <w:p w14:paraId="5978E98A" w14:textId="0B4A1F57" w:rsidR="00FE6600" w:rsidRPr="00FE6600" w:rsidRDefault="00460DE7" w:rsidP="00FE6600">
          <w:pPr>
            <w:pStyle w:val="Verzeichnis2"/>
            <w:spacing w:line="240" w:lineRule="auto"/>
            <w:rPr>
              <w:rFonts w:asciiTheme="minorHAnsi" w:eastAsiaTheme="minorEastAsia" w:hAnsiTheme="minorHAnsi" w:cstheme="minorHAnsi"/>
              <w:noProof/>
              <w:szCs w:val="22"/>
              <w:lang w:eastAsia="de-AT"/>
            </w:rPr>
          </w:pPr>
          <w:hyperlink w:anchor="_Toc63667680" w:history="1">
            <w:r w:rsidR="00FE6600" w:rsidRPr="00FE6600">
              <w:rPr>
                <w:rStyle w:val="Hyperlink"/>
                <w:rFonts w:asciiTheme="minorHAnsi" w:hAnsiTheme="minorHAnsi" w:cstheme="minorHAnsi"/>
                <w:noProof/>
                <w:lang w:val="de-DE"/>
              </w:rPr>
              <w:t>4.1</w:t>
            </w:r>
            <w:r w:rsidR="00FE6600" w:rsidRPr="00FE6600">
              <w:rPr>
                <w:rFonts w:asciiTheme="minorHAnsi" w:eastAsiaTheme="minorEastAsia" w:hAnsiTheme="minorHAnsi" w:cstheme="minorHAnsi"/>
                <w:noProof/>
                <w:szCs w:val="22"/>
                <w:lang w:eastAsia="de-AT"/>
              </w:rPr>
              <w:tab/>
            </w:r>
            <w:r w:rsidR="00FE6600" w:rsidRPr="00FE6600">
              <w:rPr>
                <w:rStyle w:val="Hyperlink"/>
                <w:rFonts w:asciiTheme="minorHAnsi" w:hAnsiTheme="minorHAnsi" w:cstheme="minorHAnsi"/>
                <w:noProof/>
                <w:lang w:val="de-DE"/>
              </w:rPr>
              <w:t>Kontrolle der Leukozytose bei Erst- oder Rezidivdiagnose</w:t>
            </w:r>
            <w:r w:rsidR="00FE6600" w:rsidRPr="00FE6600">
              <w:rPr>
                <w:rFonts w:asciiTheme="minorHAnsi" w:hAnsiTheme="minorHAnsi" w:cstheme="minorHAnsi"/>
                <w:noProof/>
                <w:webHidden/>
              </w:rPr>
              <w:tab/>
            </w:r>
            <w:r w:rsidR="00FE6600" w:rsidRPr="00FE6600">
              <w:rPr>
                <w:rFonts w:asciiTheme="minorHAnsi" w:hAnsiTheme="minorHAnsi" w:cstheme="minorHAnsi"/>
                <w:noProof/>
                <w:webHidden/>
              </w:rPr>
              <w:fldChar w:fldCharType="begin"/>
            </w:r>
            <w:r w:rsidR="00FE6600" w:rsidRPr="00FE6600">
              <w:rPr>
                <w:rFonts w:asciiTheme="minorHAnsi" w:hAnsiTheme="minorHAnsi" w:cstheme="minorHAnsi"/>
                <w:noProof/>
                <w:webHidden/>
              </w:rPr>
              <w:instrText xml:space="preserve"> PAGEREF _Toc63667680 \h </w:instrText>
            </w:r>
            <w:r w:rsidR="00FE6600" w:rsidRPr="00FE6600">
              <w:rPr>
                <w:rFonts w:asciiTheme="minorHAnsi" w:hAnsiTheme="minorHAnsi" w:cstheme="minorHAnsi"/>
                <w:noProof/>
                <w:webHidden/>
              </w:rPr>
            </w:r>
            <w:r w:rsidR="00FE6600" w:rsidRPr="00FE6600">
              <w:rPr>
                <w:rFonts w:asciiTheme="minorHAnsi" w:hAnsiTheme="minorHAnsi" w:cstheme="minorHAnsi"/>
                <w:noProof/>
                <w:webHidden/>
              </w:rPr>
              <w:fldChar w:fldCharType="separate"/>
            </w:r>
            <w:r w:rsidR="004F75A3">
              <w:rPr>
                <w:rFonts w:asciiTheme="minorHAnsi" w:hAnsiTheme="minorHAnsi" w:cstheme="minorHAnsi"/>
                <w:noProof/>
                <w:webHidden/>
              </w:rPr>
              <w:t>21</w:t>
            </w:r>
            <w:r w:rsidR="00FE6600" w:rsidRPr="00FE6600">
              <w:rPr>
                <w:rFonts w:asciiTheme="minorHAnsi" w:hAnsiTheme="minorHAnsi" w:cstheme="minorHAnsi"/>
                <w:noProof/>
                <w:webHidden/>
              </w:rPr>
              <w:fldChar w:fldCharType="end"/>
            </w:r>
          </w:hyperlink>
        </w:p>
        <w:p w14:paraId="0EA4451A" w14:textId="1BAB27AD" w:rsidR="00FE6600" w:rsidRPr="00FE6600" w:rsidRDefault="00460DE7" w:rsidP="00FE6600">
          <w:pPr>
            <w:pStyle w:val="Verzeichnis2"/>
            <w:spacing w:line="240" w:lineRule="auto"/>
            <w:rPr>
              <w:rFonts w:asciiTheme="minorHAnsi" w:eastAsiaTheme="minorEastAsia" w:hAnsiTheme="minorHAnsi" w:cstheme="minorHAnsi"/>
              <w:noProof/>
              <w:szCs w:val="22"/>
              <w:lang w:eastAsia="de-AT"/>
            </w:rPr>
          </w:pPr>
          <w:hyperlink w:anchor="_Toc63667681" w:history="1">
            <w:r w:rsidR="00FE6600" w:rsidRPr="00FE6600">
              <w:rPr>
                <w:rStyle w:val="Hyperlink"/>
                <w:rFonts w:asciiTheme="minorHAnsi" w:hAnsiTheme="minorHAnsi" w:cstheme="minorHAnsi"/>
                <w:noProof/>
                <w:lang w:val="de-DE"/>
              </w:rPr>
              <w:t>4.2</w:t>
            </w:r>
            <w:r w:rsidR="00FE6600" w:rsidRPr="00FE6600">
              <w:rPr>
                <w:rFonts w:asciiTheme="minorHAnsi" w:eastAsiaTheme="minorEastAsia" w:hAnsiTheme="minorHAnsi" w:cstheme="minorHAnsi"/>
                <w:noProof/>
                <w:szCs w:val="22"/>
                <w:lang w:eastAsia="de-AT"/>
              </w:rPr>
              <w:tab/>
            </w:r>
            <w:r w:rsidR="00FE6600" w:rsidRPr="00FE6600">
              <w:rPr>
                <w:rStyle w:val="Hyperlink"/>
                <w:rFonts w:asciiTheme="minorHAnsi" w:hAnsiTheme="minorHAnsi" w:cstheme="minorHAnsi"/>
                <w:noProof/>
                <w:lang w:val="de-DE"/>
              </w:rPr>
              <w:t>Gerinnungsmanagement unter Chemotherapie</w:t>
            </w:r>
            <w:r w:rsidR="00FE6600" w:rsidRPr="00FE6600">
              <w:rPr>
                <w:rFonts w:asciiTheme="minorHAnsi" w:hAnsiTheme="minorHAnsi" w:cstheme="minorHAnsi"/>
                <w:noProof/>
                <w:webHidden/>
              </w:rPr>
              <w:tab/>
            </w:r>
            <w:r w:rsidR="00FE6600" w:rsidRPr="00FE6600">
              <w:rPr>
                <w:rFonts w:asciiTheme="minorHAnsi" w:hAnsiTheme="minorHAnsi" w:cstheme="minorHAnsi"/>
                <w:noProof/>
                <w:webHidden/>
              </w:rPr>
              <w:fldChar w:fldCharType="begin"/>
            </w:r>
            <w:r w:rsidR="00FE6600" w:rsidRPr="00FE6600">
              <w:rPr>
                <w:rFonts w:asciiTheme="minorHAnsi" w:hAnsiTheme="minorHAnsi" w:cstheme="minorHAnsi"/>
                <w:noProof/>
                <w:webHidden/>
              </w:rPr>
              <w:instrText xml:space="preserve"> PAGEREF _Toc63667681 \h </w:instrText>
            </w:r>
            <w:r w:rsidR="00FE6600" w:rsidRPr="00FE6600">
              <w:rPr>
                <w:rFonts w:asciiTheme="minorHAnsi" w:hAnsiTheme="minorHAnsi" w:cstheme="minorHAnsi"/>
                <w:noProof/>
                <w:webHidden/>
              </w:rPr>
            </w:r>
            <w:r w:rsidR="00FE6600" w:rsidRPr="00FE6600">
              <w:rPr>
                <w:rFonts w:asciiTheme="minorHAnsi" w:hAnsiTheme="minorHAnsi" w:cstheme="minorHAnsi"/>
                <w:noProof/>
                <w:webHidden/>
              </w:rPr>
              <w:fldChar w:fldCharType="separate"/>
            </w:r>
            <w:r w:rsidR="004F75A3">
              <w:rPr>
                <w:rFonts w:asciiTheme="minorHAnsi" w:hAnsiTheme="minorHAnsi" w:cstheme="minorHAnsi"/>
                <w:noProof/>
                <w:webHidden/>
              </w:rPr>
              <w:t>21</w:t>
            </w:r>
            <w:r w:rsidR="00FE6600" w:rsidRPr="00FE6600">
              <w:rPr>
                <w:rFonts w:asciiTheme="minorHAnsi" w:hAnsiTheme="minorHAnsi" w:cstheme="minorHAnsi"/>
                <w:noProof/>
                <w:webHidden/>
              </w:rPr>
              <w:fldChar w:fldCharType="end"/>
            </w:r>
          </w:hyperlink>
        </w:p>
        <w:p w14:paraId="4EFBB47C" w14:textId="2C39BB76" w:rsidR="00FE6600" w:rsidRPr="00FE6600" w:rsidRDefault="00460DE7" w:rsidP="00FE6600">
          <w:pPr>
            <w:pStyle w:val="Verzeichnis2"/>
            <w:spacing w:line="240" w:lineRule="auto"/>
            <w:rPr>
              <w:rFonts w:asciiTheme="minorHAnsi" w:eastAsiaTheme="minorEastAsia" w:hAnsiTheme="minorHAnsi" w:cstheme="minorHAnsi"/>
              <w:noProof/>
              <w:szCs w:val="22"/>
              <w:lang w:eastAsia="de-AT"/>
            </w:rPr>
          </w:pPr>
          <w:hyperlink w:anchor="_Toc63667682" w:history="1">
            <w:r w:rsidR="00FE6600" w:rsidRPr="00FE6600">
              <w:rPr>
                <w:rStyle w:val="Hyperlink"/>
                <w:rFonts w:asciiTheme="minorHAnsi" w:hAnsiTheme="minorHAnsi" w:cstheme="minorHAnsi"/>
                <w:noProof/>
                <w:lang w:val="de-DE"/>
              </w:rPr>
              <w:t>4.3</w:t>
            </w:r>
            <w:r w:rsidR="00FE6600" w:rsidRPr="00FE6600">
              <w:rPr>
                <w:rFonts w:asciiTheme="minorHAnsi" w:eastAsiaTheme="minorEastAsia" w:hAnsiTheme="minorHAnsi" w:cstheme="minorHAnsi"/>
                <w:noProof/>
                <w:szCs w:val="22"/>
                <w:lang w:eastAsia="de-AT"/>
              </w:rPr>
              <w:tab/>
            </w:r>
            <w:r w:rsidR="00FE6600" w:rsidRPr="00FE6600">
              <w:rPr>
                <w:rStyle w:val="Hyperlink"/>
                <w:rFonts w:asciiTheme="minorHAnsi" w:hAnsiTheme="minorHAnsi" w:cstheme="minorHAnsi"/>
                <w:noProof/>
                <w:lang w:val="de-DE"/>
              </w:rPr>
              <w:t>Abklärung bei Verdacht auf genetische Prädisposition der AML:</w:t>
            </w:r>
            <w:r w:rsidR="00FE6600" w:rsidRPr="00FE6600">
              <w:rPr>
                <w:rFonts w:asciiTheme="minorHAnsi" w:hAnsiTheme="minorHAnsi" w:cstheme="minorHAnsi"/>
                <w:noProof/>
                <w:webHidden/>
              </w:rPr>
              <w:tab/>
            </w:r>
            <w:r w:rsidR="00FE6600" w:rsidRPr="00FE6600">
              <w:rPr>
                <w:rFonts w:asciiTheme="minorHAnsi" w:hAnsiTheme="minorHAnsi" w:cstheme="minorHAnsi"/>
                <w:noProof/>
                <w:webHidden/>
              </w:rPr>
              <w:fldChar w:fldCharType="begin"/>
            </w:r>
            <w:r w:rsidR="00FE6600" w:rsidRPr="00FE6600">
              <w:rPr>
                <w:rFonts w:asciiTheme="minorHAnsi" w:hAnsiTheme="minorHAnsi" w:cstheme="minorHAnsi"/>
                <w:noProof/>
                <w:webHidden/>
              </w:rPr>
              <w:instrText xml:space="preserve"> PAGEREF _Toc63667682 \h </w:instrText>
            </w:r>
            <w:r w:rsidR="00FE6600" w:rsidRPr="00FE6600">
              <w:rPr>
                <w:rFonts w:asciiTheme="minorHAnsi" w:hAnsiTheme="minorHAnsi" w:cstheme="minorHAnsi"/>
                <w:noProof/>
                <w:webHidden/>
              </w:rPr>
            </w:r>
            <w:r w:rsidR="00FE6600" w:rsidRPr="00FE6600">
              <w:rPr>
                <w:rFonts w:asciiTheme="minorHAnsi" w:hAnsiTheme="minorHAnsi" w:cstheme="minorHAnsi"/>
                <w:noProof/>
                <w:webHidden/>
              </w:rPr>
              <w:fldChar w:fldCharType="separate"/>
            </w:r>
            <w:r w:rsidR="004F75A3">
              <w:rPr>
                <w:rFonts w:asciiTheme="minorHAnsi" w:hAnsiTheme="minorHAnsi" w:cstheme="minorHAnsi"/>
                <w:noProof/>
                <w:webHidden/>
              </w:rPr>
              <w:t>22</w:t>
            </w:r>
            <w:r w:rsidR="00FE6600" w:rsidRPr="00FE6600">
              <w:rPr>
                <w:rFonts w:asciiTheme="minorHAnsi" w:hAnsiTheme="minorHAnsi" w:cstheme="minorHAnsi"/>
                <w:noProof/>
                <w:webHidden/>
              </w:rPr>
              <w:fldChar w:fldCharType="end"/>
            </w:r>
          </w:hyperlink>
        </w:p>
        <w:p w14:paraId="2947E22C" w14:textId="36B606F7" w:rsidR="00FE6600" w:rsidRPr="00FE6600" w:rsidRDefault="00460DE7" w:rsidP="00FE6600">
          <w:pPr>
            <w:pStyle w:val="Verzeichnis1"/>
            <w:rPr>
              <w:rFonts w:eastAsiaTheme="minorEastAsia"/>
              <w:b w:val="0"/>
              <w:szCs w:val="22"/>
              <w:lang w:eastAsia="de-AT"/>
            </w:rPr>
          </w:pPr>
          <w:hyperlink w:anchor="_Toc63667683" w:history="1">
            <w:r w:rsidR="00FE6600" w:rsidRPr="00FE6600">
              <w:rPr>
                <w:rStyle w:val="Hyperlink"/>
              </w:rPr>
              <w:t>5</w:t>
            </w:r>
            <w:r w:rsidR="00FE6600" w:rsidRPr="00FE6600">
              <w:rPr>
                <w:rFonts w:eastAsiaTheme="minorEastAsia"/>
                <w:b w:val="0"/>
                <w:szCs w:val="22"/>
                <w:lang w:eastAsia="de-AT"/>
              </w:rPr>
              <w:tab/>
            </w:r>
            <w:r w:rsidR="00FE6600" w:rsidRPr="00FE6600">
              <w:rPr>
                <w:rStyle w:val="Hyperlink"/>
              </w:rPr>
              <w:t>Verlaufskontrolle und Nachsorge</w:t>
            </w:r>
            <w:r w:rsidR="00FE6600" w:rsidRPr="00FE6600">
              <w:rPr>
                <w:webHidden/>
              </w:rPr>
              <w:tab/>
            </w:r>
            <w:r w:rsidR="00FE6600" w:rsidRPr="00FE6600">
              <w:rPr>
                <w:webHidden/>
              </w:rPr>
              <w:fldChar w:fldCharType="begin"/>
            </w:r>
            <w:r w:rsidR="00FE6600" w:rsidRPr="00FE6600">
              <w:rPr>
                <w:webHidden/>
              </w:rPr>
              <w:instrText xml:space="preserve"> PAGEREF _Toc63667683 \h </w:instrText>
            </w:r>
            <w:r w:rsidR="00FE6600" w:rsidRPr="00FE6600">
              <w:rPr>
                <w:webHidden/>
              </w:rPr>
            </w:r>
            <w:r w:rsidR="00FE6600" w:rsidRPr="00FE6600">
              <w:rPr>
                <w:webHidden/>
              </w:rPr>
              <w:fldChar w:fldCharType="separate"/>
            </w:r>
            <w:r w:rsidR="004F75A3">
              <w:rPr>
                <w:webHidden/>
              </w:rPr>
              <w:t>23</w:t>
            </w:r>
            <w:r w:rsidR="00FE6600" w:rsidRPr="00FE6600">
              <w:rPr>
                <w:webHidden/>
              </w:rPr>
              <w:fldChar w:fldCharType="end"/>
            </w:r>
          </w:hyperlink>
        </w:p>
        <w:p w14:paraId="45BC85C1" w14:textId="4D542B61" w:rsidR="00FE6600" w:rsidRPr="00FE6600" w:rsidRDefault="00460DE7" w:rsidP="00FE6600">
          <w:pPr>
            <w:pStyle w:val="Verzeichnis2"/>
            <w:spacing w:line="240" w:lineRule="auto"/>
            <w:rPr>
              <w:rFonts w:asciiTheme="minorHAnsi" w:eastAsiaTheme="minorEastAsia" w:hAnsiTheme="minorHAnsi" w:cstheme="minorHAnsi"/>
              <w:noProof/>
              <w:szCs w:val="22"/>
              <w:lang w:eastAsia="de-AT"/>
            </w:rPr>
          </w:pPr>
          <w:hyperlink w:anchor="_Toc63667684" w:history="1">
            <w:r w:rsidR="00FE6600" w:rsidRPr="00FE6600">
              <w:rPr>
                <w:rStyle w:val="Hyperlink"/>
                <w:rFonts w:asciiTheme="minorHAnsi" w:hAnsiTheme="minorHAnsi" w:cstheme="minorHAnsi"/>
                <w:noProof/>
                <w:lang w:val="de-DE"/>
              </w:rPr>
              <w:t>5.1</w:t>
            </w:r>
            <w:r w:rsidR="00FE6600" w:rsidRPr="00FE6600">
              <w:rPr>
                <w:rFonts w:asciiTheme="minorHAnsi" w:eastAsiaTheme="minorEastAsia" w:hAnsiTheme="minorHAnsi" w:cstheme="minorHAnsi"/>
                <w:noProof/>
                <w:szCs w:val="22"/>
                <w:lang w:eastAsia="de-AT"/>
              </w:rPr>
              <w:tab/>
            </w:r>
            <w:r w:rsidR="00FE6600" w:rsidRPr="00FE6600">
              <w:rPr>
                <w:rStyle w:val="Hyperlink"/>
                <w:rFonts w:asciiTheme="minorHAnsi" w:hAnsiTheme="minorHAnsi" w:cstheme="minorHAnsi"/>
                <w:noProof/>
                <w:lang w:val="de-DE"/>
              </w:rPr>
              <w:t>Molekulares Monitoring mittels MRD-Analyse</w:t>
            </w:r>
            <w:r w:rsidR="00FE6600" w:rsidRPr="00FE6600">
              <w:rPr>
                <w:rFonts w:asciiTheme="minorHAnsi" w:hAnsiTheme="minorHAnsi" w:cstheme="minorHAnsi"/>
                <w:noProof/>
                <w:webHidden/>
              </w:rPr>
              <w:tab/>
            </w:r>
            <w:r w:rsidR="00FE6600" w:rsidRPr="00FE6600">
              <w:rPr>
                <w:rFonts w:asciiTheme="minorHAnsi" w:hAnsiTheme="minorHAnsi" w:cstheme="minorHAnsi"/>
                <w:noProof/>
                <w:webHidden/>
              </w:rPr>
              <w:fldChar w:fldCharType="begin"/>
            </w:r>
            <w:r w:rsidR="00FE6600" w:rsidRPr="00FE6600">
              <w:rPr>
                <w:rFonts w:asciiTheme="minorHAnsi" w:hAnsiTheme="minorHAnsi" w:cstheme="minorHAnsi"/>
                <w:noProof/>
                <w:webHidden/>
              </w:rPr>
              <w:instrText xml:space="preserve"> PAGEREF _Toc63667684 \h </w:instrText>
            </w:r>
            <w:r w:rsidR="00FE6600" w:rsidRPr="00FE6600">
              <w:rPr>
                <w:rFonts w:asciiTheme="minorHAnsi" w:hAnsiTheme="minorHAnsi" w:cstheme="minorHAnsi"/>
                <w:noProof/>
                <w:webHidden/>
              </w:rPr>
            </w:r>
            <w:r w:rsidR="00FE6600" w:rsidRPr="00FE6600">
              <w:rPr>
                <w:rFonts w:asciiTheme="minorHAnsi" w:hAnsiTheme="minorHAnsi" w:cstheme="minorHAnsi"/>
                <w:noProof/>
                <w:webHidden/>
              </w:rPr>
              <w:fldChar w:fldCharType="separate"/>
            </w:r>
            <w:r w:rsidR="004F75A3">
              <w:rPr>
                <w:rFonts w:asciiTheme="minorHAnsi" w:hAnsiTheme="minorHAnsi" w:cstheme="minorHAnsi"/>
                <w:noProof/>
                <w:webHidden/>
              </w:rPr>
              <w:t>23</w:t>
            </w:r>
            <w:r w:rsidR="00FE6600" w:rsidRPr="00FE6600">
              <w:rPr>
                <w:rFonts w:asciiTheme="minorHAnsi" w:hAnsiTheme="minorHAnsi" w:cstheme="minorHAnsi"/>
                <w:noProof/>
                <w:webHidden/>
              </w:rPr>
              <w:fldChar w:fldCharType="end"/>
            </w:r>
          </w:hyperlink>
        </w:p>
        <w:p w14:paraId="6C6419CC" w14:textId="6D9BC2E6" w:rsidR="00FE6600" w:rsidRPr="00FE6600" w:rsidRDefault="00460DE7" w:rsidP="00FE6600">
          <w:pPr>
            <w:pStyle w:val="Verzeichnis2"/>
            <w:spacing w:line="240" w:lineRule="auto"/>
            <w:rPr>
              <w:rFonts w:asciiTheme="minorHAnsi" w:eastAsiaTheme="minorEastAsia" w:hAnsiTheme="minorHAnsi" w:cstheme="minorHAnsi"/>
              <w:noProof/>
              <w:szCs w:val="22"/>
              <w:lang w:eastAsia="de-AT"/>
            </w:rPr>
          </w:pPr>
          <w:hyperlink w:anchor="_Toc63667685" w:history="1">
            <w:r w:rsidR="00FE6600" w:rsidRPr="00FE6600">
              <w:rPr>
                <w:rStyle w:val="Hyperlink"/>
                <w:rFonts w:asciiTheme="minorHAnsi" w:hAnsiTheme="minorHAnsi" w:cstheme="minorHAnsi"/>
                <w:noProof/>
                <w:lang w:val="de-DE"/>
              </w:rPr>
              <w:t>5.2</w:t>
            </w:r>
            <w:r w:rsidR="00FE6600" w:rsidRPr="00FE6600">
              <w:rPr>
                <w:rFonts w:asciiTheme="minorHAnsi" w:eastAsiaTheme="minorEastAsia" w:hAnsiTheme="minorHAnsi" w:cstheme="minorHAnsi"/>
                <w:noProof/>
                <w:szCs w:val="22"/>
                <w:lang w:eastAsia="de-AT"/>
              </w:rPr>
              <w:tab/>
            </w:r>
            <w:r w:rsidR="00FE6600" w:rsidRPr="00FE6600">
              <w:rPr>
                <w:rStyle w:val="Hyperlink"/>
                <w:rFonts w:asciiTheme="minorHAnsi" w:hAnsiTheme="minorHAnsi" w:cstheme="minorHAnsi"/>
                <w:noProof/>
                <w:lang w:val="de-DE"/>
              </w:rPr>
              <w:t>ELN response criteria</w:t>
            </w:r>
            <w:r w:rsidR="00FE6600" w:rsidRPr="00FE6600">
              <w:rPr>
                <w:rFonts w:asciiTheme="minorHAnsi" w:hAnsiTheme="minorHAnsi" w:cstheme="minorHAnsi"/>
                <w:noProof/>
                <w:webHidden/>
              </w:rPr>
              <w:tab/>
            </w:r>
            <w:r w:rsidR="00FE6600" w:rsidRPr="00FE6600">
              <w:rPr>
                <w:rFonts w:asciiTheme="minorHAnsi" w:hAnsiTheme="minorHAnsi" w:cstheme="minorHAnsi"/>
                <w:noProof/>
                <w:webHidden/>
              </w:rPr>
              <w:fldChar w:fldCharType="begin"/>
            </w:r>
            <w:r w:rsidR="00FE6600" w:rsidRPr="00FE6600">
              <w:rPr>
                <w:rFonts w:asciiTheme="minorHAnsi" w:hAnsiTheme="minorHAnsi" w:cstheme="minorHAnsi"/>
                <w:noProof/>
                <w:webHidden/>
              </w:rPr>
              <w:instrText xml:space="preserve"> PAGEREF _Toc63667685 \h </w:instrText>
            </w:r>
            <w:r w:rsidR="00FE6600" w:rsidRPr="00FE6600">
              <w:rPr>
                <w:rFonts w:asciiTheme="minorHAnsi" w:hAnsiTheme="minorHAnsi" w:cstheme="minorHAnsi"/>
                <w:noProof/>
                <w:webHidden/>
              </w:rPr>
            </w:r>
            <w:r w:rsidR="00FE6600" w:rsidRPr="00FE6600">
              <w:rPr>
                <w:rFonts w:asciiTheme="minorHAnsi" w:hAnsiTheme="minorHAnsi" w:cstheme="minorHAnsi"/>
                <w:noProof/>
                <w:webHidden/>
              </w:rPr>
              <w:fldChar w:fldCharType="separate"/>
            </w:r>
            <w:r w:rsidR="004F75A3">
              <w:rPr>
                <w:rFonts w:asciiTheme="minorHAnsi" w:hAnsiTheme="minorHAnsi" w:cstheme="minorHAnsi"/>
                <w:noProof/>
                <w:webHidden/>
              </w:rPr>
              <w:t>26</w:t>
            </w:r>
            <w:r w:rsidR="00FE6600" w:rsidRPr="00FE6600">
              <w:rPr>
                <w:rFonts w:asciiTheme="minorHAnsi" w:hAnsiTheme="minorHAnsi" w:cstheme="minorHAnsi"/>
                <w:noProof/>
                <w:webHidden/>
              </w:rPr>
              <w:fldChar w:fldCharType="end"/>
            </w:r>
          </w:hyperlink>
        </w:p>
        <w:p w14:paraId="573E9B66" w14:textId="1575086E" w:rsidR="00FE6600" w:rsidRPr="00FE6600" w:rsidRDefault="00460DE7" w:rsidP="00FE6600">
          <w:pPr>
            <w:pStyle w:val="Verzeichnis1"/>
            <w:rPr>
              <w:rFonts w:eastAsiaTheme="minorEastAsia"/>
              <w:b w:val="0"/>
              <w:szCs w:val="22"/>
              <w:lang w:eastAsia="de-AT"/>
            </w:rPr>
          </w:pPr>
          <w:hyperlink w:anchor="_Toc63667686" w:history="1">
            <w:r w:rsidR="00FE6600" w:rsidRPr="00FE6600">
              <w:rPr>
                <w:rStyle w:val="Hyperlink"/>
              </w:rPr>
              <w:t>6</w:t>
            </w:r>
            <w:r w:rsidR="00FE6600" w:rsidRPr="00FE6600">
              <w:rPr>
                <w:rFonts w:eastAsiaTheme="minorEastAsia"/>
                <w:b w:val="0"/>
                <w:szCs w:val="22"/>
                <w:lang w:eastAsia="de-AT"/>
              </w:rPr>
              <w:tab/>
            </w:r>
            <w:r w:rsidR="00FE6600" w:rsidRPr="00FE6600">
              <w:rPr>
                <w:rStyle w:val="Hyperlink"/>
              </w:rPr>
              <w:t>Dokumentation und Qualitätsparameter</w:t>
            </w:r>
            <w:r w:rsidR="00FE6600" w:rsidRPr="00FE6600">
              <w:rPr>
                <w:webHidden/>
              </w:rPr>
              <w:tab/>
            </w:r>
            <w:r w:rsidR="00FE6600" w:rsidRPr="00FE6600">
              <w:rPr>
                <w:webHidden/>
              </w:rPr>
              <w:fldChar w:fldCharType="begin"/>
            </w:r>
            <w:r w:rsidR="00FE6600" w:rsidRPr="00FE6600">
              <w:rPr>
                <w:webHidden/>
              </w:rPr>
              <w:instrText xml:space="preserve"> PAGEREF _Toc63667686 \h </w:instrText>
            </w:r>
            <w:r w:rsidR="00FE6600" w:rsidRPr="00FE6600">
              <w:rPr>
                <w:webHidden/>
              </w:rPr>
            </w:r>
            <w:r w:rsidR="00FE6600" w:rsidRPr="00FE6600">
              <w:rPr>
                <w:webHidden/>
              </w:rPr>
              <w:fldChar w:fldCharType="separate"/>
            </w:r>
            <w:r w:rsidR="004F75A3">
              <w:rPr>
                <w:webHidden/>
              </w:rPr>
              <w:t>27</w:t>
            </w:r>
            <w:r w:rsidR="00FE6600" w:rsidRPr="00FE6600">
              <w:rPr>
                <w:webHidden/>
              </w:rPr>
              <w:fldChar w:fldCharType="end"/>
            </w:r>
          </w:hyperlink>
        </w:p>
        <w:p w14:paraId="17DC6E4D" w14:textId="6855B8AB" w:rsidR="00FE6600" w:rsidRPr="00FE6600" w:rsidRDefault="00460DE7" w:rsidP="00FE6600">
          <w:pPr>
            <w:pStyle w:val="Verzeichnis1"/>
            <w:rPr>
              <w:rFonts w:eastAsiaTheme="minorEastAsia"/>
              <w:b w:val="0"/>
              <w:szCs w:val="22"/>
              <w:lang w:eastAsia="de-AT"/>
            </w:rPr>
          </w:pPr>
          <w:hyperlink w:anchor="_Toc63667687" w:history="1">
            <w:r w:rsidR="00FE6600" w:rsidRPr="00FE6600">
              <w:rPr>
                <w:rStyle w:val="Hyperlink"/>
              </w:rPr>
              <w:t>7</w:t>
            </w:r>
            <w:r w:rsidR="00FE6600" w:rsidRPr="00FE6600">
              <w:rPr>
                <w:rFonts w:eastAsiaTheme="minorEastAsia"/>
                <w:b w:val="0"/>
                <w:szCs w:val="22"/>
                <w:lang w:eastAsia="de-AT"/>
              </w:rPr>
              <w:tab/>
            </w:r>
            <w:r w:rsidR="00FE6600" w:rsidRPr="00FE6600">
              <w:rPr>
                <w:rStyle w:val="Hyperlink"/>
              </w:rPr>
              <w:t>Literatur/Quellenangaben</w:t>
            </w:r>
            <w:r w:rsidR="00FE6600" w:rsidRPr="00FE6600">
              <w:rPr>
                <w:webHidden/>
              </w:rPr>
              <w:tab/>
            </w:r>
            <w:r w:rsidR="00FE6600" w:rsidRPr="00FE6600">
              <w:rPr>
                <w:webHidden/>
              </w:rPr>
              <w:fldChar w:fldCharType="begin"/>
            </w:r>
            <w:r w:rsidR="00FE6600" w:rsidRPr="00FE6600">
              <w:rPr>
                <w:webHidden/>
              </w:rPr>
              <w:instrText xml:space="preserve"> PAGEREF _Toc63667687 \h </w:instrText>
            </w:r>
            <w:r w:rsidR="00FE6600" w:rsidRPr="00FE6600">
              <w:rPr>
                <w:webHidden/>
              </w:rPr>
            </w:r>
            <w:r w:rsidR="00FE6600" w:rsidRPr="00FE6600">
              <w:rPr>
                <w:webHidden/>
              </w:rPr>
              <w:fldChar w:fldCharType="separate"/>
            </w:r>
            <w:r w:rsidR="004F75A3">
              <w:rPr>
                <w:webHidden/>
              </w:rPr>
              <w:t>27</w:t>
            </w:r>
            <w:r w:rsidR="00FE6600" w:rsidRPr="00FE6600">
              <w:rPr>
                <w:webHidden/>
              </w:rPr>
              <w:fldChar w:fldCharType="end"/>
            </w:r>
          </w:hyperlink>
        </w:p>
        <w:p w14:paraId="7E803611" w14:textId="2A467833" w:rsidR="00FE6600" w:rsidRPr="00FE6600" w:rsidRDefault="00460DE7" w:rsidP="00FE6600">
          <w:pPr>
            <w:pStyle w:val="Verzeichnis1"/>
            <w:rPr>
              <w:rFonts w:eastAsiaTheme="minorEastAsia"/>
              <w:b w:val="0"/>
              <w:szCs w:val="22"/>
              <w:lang w:eastAsia="de-AT"/>
            </w:rPr>
          </w:pPr>
          <w:hyperlink w:anchor="_Toc63667688" w:history="1">
            <w:r w:rsidR="00FE6600" w:rsidRPr="00FE6600">
              <w:rPr>
                <w:rStyle w:val="Hyperlink"/>
              </w:rPr>
              <w:t>Anhang: Studienblatt</w:t>
            </w:r>
            <w:r w:rsidR="00FE6600" w:rsidRPr="00FE6600">
              <w:rPr>
                <w:webHidden/>
              </w:rPr>
              <w:tab/>
            </w:r>
            <w:r w:rsidR="00FE6600" w:rsidRPr="00FE6600">
              <w:rPr>
                <w:webHidden/>
              </w:rPr>
              <w:fldChar w:fldCharType="begin"/>
            </w:r>
            <w:r w:rsidR="00FE6600" w:rsidRPr="00FE6600">
              <w:rPr>
                <w:webHidden/>
              </w:rPr>
              <w:instrText xml:space="preserve"> PAGEREF _Toc63667688 \h </w:instrText>
            </w:r>
            <w:r w:rsidR="00FE6600" w:rsidRPr="00FE6600">
              <w:rPr>
                <w:webHidden/>
              </w:rPr>
            </w:r>
            <w:r w:rsidR="00FE6600" w:rsidRPr="00FE6600">
              <w:rPr>
                <w:webHidden/>
              </w:rPr>
              <w:fldChar w:fldCharType="separate"/>
            </w:r>
            <w:r w:rsidR="004F75A3">
              <w:rPr>
                <w:webHidden/>
              </w:rPr>
              <w:t>29</w:t>
            </w:r>
            <w:r w:rsidR="00FE6600" w:rsidRPr="00FE6600">
              <w:rPr>
                <w:webHidden/>
              </w:rPr>
              <w:fldChar w:fldCharType="end"/>
            </w:r>
          </w:hyperlink>
        </w:p>
        <w:p w14:paraId="17A72FED" w14:textId="0A2A5DA3" w:rsidR="00FE6600" w:rsidRPr="00FE6600" w:rsidRDefault="00460DE7" w:rsidP="00FE6600">
          <w:pPr>
            <w:pStyle w:val="Verzeichnis1"/>
            <w:rPr>
              <w:rFonts w:eastAsiaTheme="minorEastAsia"/>
              <w:b w:val="0"/>
              <w:szCs w:val="22"/>
              <w:lang w:eastAsia="de-AT"/>
            </w:rPr>
          </w:pPr>
          <w:hyperlink w:anchor="_Toc63667689" w:history="1">
            <w:r w:rsidR="00FE6600" w:rsidRPr="00FE6600">
              <w:rPr>
                <w:rStyle w:val="Hyperlink"/>
              </w:rPr>
              <w:t>Anhang: Chemotherapieprotokolle</w:t>
            </w:r>
            <w:r w:rsidR="00FE6600" w:rsidRPr="00FE6600">
              <w:rPr>
                <w:webHidden/>
              </w:rPr>
              <w:tab/>
            </w:r>
            <w:r w:rsidR="00FE6600" w:rsidRPr="00FE6600">
              <w:rPr>
                <w:webHidden/>
              </w:rPr>
              <w:fldChar w:fldCharType="begin"/>
            </w:r>
            <w:r w:rsidR="00FE6600" w:rsidRPr="00FE6600">
              <w:rPr>
                <w:webHidden/>
              </w:rPr>
              <w:instrText xml:space="preserve"> PAGEREF _Toc63667689 \h </w:instrText>
            </w:r>
            <w:r w:rsidR="00FE6600" w:rsidRPr="00FE6600">
              <w:rPr>
                <w:webHidden/>
              </w:rPr>
            </w:r>
            <w:r w:rsidR="00FE6600" w:rsidRPr="00FE6600">
              <w:rPr>
                <w:webHidden/>
              </w:rPr>
              <w:fldChar w:fldCharType="separate"/>
            </w:r>
            <w:r w:rsidR="004F75A3">
              <w:rPr>
                <w:webHidden/>
              </w:rPr>
              <w:t>30</w:t>
            </w:r>
            <w:r w:rsidR="00FE6600" w:rsidRPr="00FE6600">
              <w:rPr>
                <w:webHidden/>
              </w:rPr>
              <w:fldChar w:fldCharType="end"/>
            </w:r>
          </w:hyperlink>
        </w:p>
        <w:p w14:paraId="03E6536B" w14:textId="5A4B5E86" w:rsidR="00FE6600" w:rsidRPr="00FE6600" w:rsidRDefault="00460DE7" w:rsidP="00FE6600">
          <w:pPr>
            <w:pStyle w:val="Verzeichnis1"/>
            <w:rPr>
              <w:rFonts w:eastAsiaTheme="minorEastAsia"/>
              <w:b w:val="0"/>
              <w:szCs w:val="22"/>
              <w:lang w:eastAsia="de-AT"/>
            </w:rPr>
          </w:pPr>
          <w:hyperlink w:anchor="_Toc63667690" w:history="1">
            <w:r w:rsidR="00FE6600" w:rsidRPr="00FE6600">
              <w:rPr>
                <w:rStyle w:val="Hyperlink"/>
              </w:rPr>
              <w:t>Anhang: Wirtschaftliche Analyse (optional)</w:t>
            </w:r>
            <w:r w:rsidR="00FE6600" w:rsidRPr="00FE6600">
              <w:rPr>
                <w:webHidden/>
              </w:rPr>
              <w:tab/>
            </w:r>
            <w:r w:rsidR="00FE6600" w:rsidRPr="00FE6600">
              <w:rPr>
                <w:webHidden/>
              </w:rPr>
              <w:fldChar w:fldCharType="begin"/>
            </w:r>
            <w:r w:rsidR="00FE6600" w:rsidRPr="00FE6600">
              <w:rPr>
                <w:webHidden/>
              </w:rPr>
              <w:instrText xml:space="preserve"> PAGEREF _Toc63667690 \h </w:instrText>
            </w:r>
            <w:r w:rsidR="00FE6600" w:rsidRPr="00FE6600">
              <w:rPr>
                <w:webHidden/>
              </w:rPr>
            </w:r>
            <w:r w:rsidR="00FE6600" w:rsidRPr="00FE6600">
              <w:rPr>
                <w:webHidden/>
              </w:rPr>
              <w:fldChar w:fldCharType="separate"/>
            </w:r>
            <w:r w:rsidR="004F75A3">
              <w:rPr>
                <w:webHidden/>
              </w:rPr>
              <w:t>32</w:t>
            </w:r>
            <w:r w:rsidR="00FE6600" w:rsidRPr="00FE6600">
              <w:rPr>
                <w:webHidden/>
              </w:rPr>
              <w:fldChar w:fldCharType="end"/>
            </w:r>
          </w:hyperlink>
        </w:p>
        <w:p w14:paraId="361AEBD1" w14:textId="77777777" w:rsidR="00D37B54" w:rsidRDefault="00822E59" w:rsidP="004306BF">
          <w:pPr>
            <w:spacing w:line="240" w:lineRule="auto"/>
            <w:rPr>
              <w:lang w:val="de-DE"/>
            </w:rPr>
          </w:pPr>
          <w:r w:rsidRPr="000B63B8">
            <w:rPr>
              <w:rFonts w:asciiTheme="minorHAnsi" w:hAnsiTheme="minorHAnsi" w:cstheme="minorHAnsi"/>
              <w:b/>
              <w:bCs/>
              <w:sz w:val="18"/>
              <w:szCs w:val="18"/>
              <w:lang w:val="de-DE"/>
            </w:rPr>
            <w:fldChar w:fldCharType="end"/>
          </w:r>
        </w:p>
      </w:sdtContent>
    </w:sdt>
    <w:p w14:paraId="41D57064" w14:textId="77777777" w:rsidR="004306BF" w:rsidRDefault="004306BF">
      <w:pPr>
        <w:spacing w:line="240" w:lineRule="auto"/>
        <w:jc w:val="left"/>
      </w:pPr>
      <w:r>
        <w:br w:type="page"/>
      </w:r>
    </w:p>
    <w:p w14:paraId="34458066" w14:textId="77777777" w:rsidR="00263837" w:rsidRPr="00A04F27" w:rsidRDefault="00A04F27" w:rsidP="005729ED">
      <w:pPr>
        <w:pStyle w:val="berschrift1"/>
        <w:numPr>
          <w:ilvl w:val="0"/>
          <w:numId w:val="24"/>
        </w:numPr>
      </w:pPr>
      <w:bookmarkStart w:id="0" w:name="_Toc63667656"/>
      <w:r w:rsidRPr="00A04F27">
        <w:lastRenderedPageBreak/>
        <w:t>Allgemeines</w:t>
      </w:r>
      <w:bookmarkEnd w:id="0"/>
    </w:p>
    <w:p w14:paraId="695B9B40" w14:textId="77777777" w:rsidR="006E7EE2" w:rsidRDefault="00A04F27" w:rsidP="006E7EE2">
      <w:pPr>
        <w:pStyle w:val="Textkrper-Einzug2"/>
        <w:spacing w:after="0" w:line="276" w:lineRule="auto"/>
        <w:ind w:left="0"/>
        <w:jc w:val="both"/>
        <w:rPr>
          <w:rFonts w:asciiTheme="minorHAnsi" w:hAnsiTheme="minorHAnsi" w:cstheme="minorHAnsi"/>
          <w:szCs w:val="22"/>
        </w:rPr>
      </w:pPr>
      <w:r>
        <w:rPr>
          <w:rFonts w:asciiTheme="minorHAnsi" w:hAnsiTheme="minorHAnsi" w:cstheme="minorHAnsi"/>
          <w:szCs w:val="22"/>
        </w:rPr>
        <w:t>---</w:t>
      </w:r>
    </w:p>
    <w:p w14:paraId="7A5FCA0D" w14:textId="77777777" w:rsidR="00A04F27" w:rsidRDefault="00A04F27" w:rsidP="006E7EE2">
      <w:pPr>
        <w:pStyle w:val="Textkrper-Einzug2"/>
        <w:spacing w:after="0" w:line="276" w:lineRule="auto"/>
        <w:ind w:left="0"/>
        <w:jc w:val="both"/>
        <w:rPr>
          <w:rFonts w:asciiTheme="minorHAnsi" w:hAnsiTheme="minorHAnsi" w:cstheme="minorHAnsi"/>
          <w:szCs w:val="22"/>
        </w:rPr>
      </w:pPr>
    </w:p>
    <w:p w14:paraId="47D752D4" w14:textId="77777777" w:rsidR="006D4DAC" w:rsidRPr="00E344D4" w:rsidRDefault="0049768A" w:rsidP="005729ED">
      <w:pPr>
        <w:pStyle w:val="berschrift1"/>
        <w:numPr>
          <w:ilvl w:val="0"/>
          <w:numId w:val="24"/>
        </w:numPr>
      </w:pPr>
      <w:bookmarkStart w:id="1" w:name="_Toc63667657"/>
      <w:r>
        <w:t>Diagnostik und Scoring</w:t>
      </w:r>
      <w:bookmarkEnd w:id="1"/>
    </w:p>
    <w:p w14:paraId="2A915D78" w14:textId="77777777" w:rsidR="00A04F27" w:rsidRPr="0065633E" w:rsidRDefault="00D37B54" w:rsidP="00D37B54">
      <w:pPr>
        <w:pStyle w:val="berschrift2"/>
        <w:numPr>
          <w:ilvl w:val="0"/>
          <w:numId w:val="0"/>
        </w:numPr>
      </w:pPr>
      <w:bookmarkStart w:id="2" w:name="_Toc378320324"/>
      <w:bookmarkStart w:id="3" w:name="_Toc346191210"/>
      <w:bookmarkStart w:id="4" w:name="_Toc330548323"/>
      <w:bookmarkStart w:id="5" w:name="_Toc465170188"/>
      <w:bookmarkStart w:id="6" w:name="_Toc63667658"/>
      <w:r>
        <w:t>2.1</w:t>
      </w:r>
      <w:r>
        <w:tab/>
      </w:r>
      <w:r w:rsidR="00A04F27" w:rsidRPr="0065633E">
        <w:t xml:space="preserve">Diagnostik bei Verdacht auf </w:t>
      </w:r>
      <w:bookmarkEnd w:id="2"/>
      <w:bookmarkEnd w:id="3"/>
      <w:bookmarkEnd w:id="4"/>
      <w:bookmarkEnd w:id="5"/>
      <w:r w:rsidR="00A04F27" w:rsidRPr="0065633E">
        <w:t>AML</w:t>
      </w:r>
      <w:bookmarkEnd w:id="6"/>
    </w:p>
    <w:p w14:paraId="25BB7EE4" w14:textId="77777777" w:rsidR="00A04F27" w:rsidRPr="00A04F27" w:rsidRDefault="00A04F27" w:rsidP="00A04F27">
      <w:pPr>
        <w:spacing w:line="276" w:lineRule="auto"/>
        <w:jc w:val="both"/>
        <w:rPr>
          <w:rFonts w:asciiTheme="minorHAnsi" w:hAnsiTheme="minorHAnsi" w:cstheme="minorHAnsi"/>
          <w:szCs w:val="22"/>
        </w:rPr>
      </w:pPr>
    </w:p>
    <w:p w14:paraId="24FFB072" w14:textId="77777777" w:rsidR="00A04F27" w:rsidRPr="00A04F27" w:rsidRDefault="00A04F27" w:rsidP="003C629B">
      <w:pPr>
        <w:pStyle w:val="Default"/>
        <w:numPr>
          <w:ilvl w:val="0"/>
          <w:numId w:val="4"/>
        </w:numPr>
        <w:spacing w:after="255" w:line="276" w:lineRule="auto"/>
        <w:ind w:left="284" w:hanging="284"/>
        <w:jc w:val="both"/>
        <w:rPr>
          <w:rFonts w:asciiTheme="minorHAnsi" w:hAnsiTheme="minorHAnsi"/>
          <w:sz w:val="22"/>
          <w:szCs w:val="22"/>
        </w:rPr>
      </w:pPr>
      <w:r w:rsidRPr="00A04F27">
        <w:rPr>
          <w:rFonts w:asciiTheme="minorHAnsi" w:hAnsiTheme="minorHAnsi"/>
          <w:sz w:val="22"/>
          <w:szCs w:val="22"/>
        </w:rPr>
        <w:t xml:space="preserve">Anamnese inkl. Familien- u. Geschwisteranamnese, klinischer Status, ECOG, Comorbiditäten (HCT-CI) </w:t>
      </w:r>
    </w:p>
    <w:p w14:paraId="0020C110" w14:textId="77777777" w:rsidR="00A04F27" w:rsidRPr="00A04F27" w:rsidRDefault="00A04F27" w:rsidP="003C629B">
      <w:pPr>
        <w:pStyle w:val="Default"/>
        <w:numPr>
          <w:ilvl w:val="0"/>
          <w:numId w:val="4"/>
        </w:numPr>
        <w:spacing w:line="276" w:lineRule="auto"/>
        <w:ind w:left="284" w:hanging="284"/>
        <w:jc w:val="both"/>
        <w:rPr>
          <w:rFonts w:asciiTheme="minorHAnsi" w:hAnsiTheme="minorHAnsi"/>
          <w:sz w:val="22"/>
          <w:szCs w:val="22"/>
        </w:rPr>
      </w:pPr>
      <w:r w:rsidRPr="00A04F27">
        <w:rPr>
          <w:rFonts w:asciiTheme="minorHAnsi" w:hAnsiTheme="minorHAnsi"/>
          <w:sz w:val="22"/>
          <w:szCs w:val="22"/>
        </w:rPr>
        <w:t xml:space="preserve">Na, K, Ca, P, Mg, Harnsäure, Krea, Bun, </w:t>
      </w:r>
      <w:r w:rsidR="00F939C1">
        <w:rPr>
          <w:rFonts w:asciiTheme="minorHAnsi" w:hAnsiTheme="minorHAnsi"/>
          <w:sz w:val="22"/>
          <w:szCs w:val="22"/>
        </w:rPr>
        <w:t xml:space="preserve">Phosphat, </w:t>
      </w:r>
      <w:r w:rsidRPr="00A04F27">
        <w:rPr>
          <w:rFonts w:asciiTheme="minorHAnsi" w:hAnsiTheme="minorHAnsi"/>
          <w:sz w:val="22"/>
          <w:szCs w:val="22"/>
        </w:rPr>
        <w:t>GOT, GPT, LDH, gGT, AP, Bili, Lipase, CRP, BB+Diff+Reti, PTZ, PTT, F</w:t>
      </w:r>
      <w:r w:rsidR="00F939C1">
        <w:rPr>
          <w:rFonts w:asciiTheme="minorHAnsi" w:hAnsiTheme="minorHAnsi"/>
          <w:sz w:val="22"/>
          <w:szCs w:val="22"/>
        </w:rPr>
        <w:t>ibrinogen</w:t>
      </w:r>
      <w:r w:rsidRPr="00A04F27">
        <w:rPr>
          <w:rFonts w:asciiTheme="minorHAnsi" w:hAnsiTheme="minorHAnsi"/>
          <w:sz w:val="22"/>
          <w:szCs w:val="22"/>
        </w:rPr>
        <w:t>, A</w:t>
      </w:r>
      <w:r w:rsidR="00F939C1">
        <w:rPr>
          <w:rFonts w:asciiTheme="minorHAnsi" w:hAnsiTheme="minorHAnsi"/>
          <w:sz w:val="22"/>
          <w:szCs w:val="22"/>
        </w:rPr>
        <w:t>ntithrombin</w:t>
      </w:r>
      <w:r w:rsidRPr="00A04F27">
        <w:rPr>
          <w:rFonts w:asciiTheme="minorHAnsi" w:hAnsiTheme="minorHAnsi"/>
          <w:sz w:val="22"/>
          <w:szCs w:val="22"/>
        </w:rPr>
        <w:t>, D-Dim</w:t>
      </w:r>
      <w:r w:rsidR="00F939C1">
        <w:rPr>
          <w:rFonts w:asciiTheme="minorHAnsi" w:hAnsiTheme="minorHAnsi"/>
          <w:sz w:val="22"/>
          <w:szCs w:val="22"/>
        </w:rPr>
        <w:t>er</w:t>
      </w:r>
      <w:r w:rsidRPr="00A04F27">
        <w:rPr>
          <w:rFonts w:asciiTheme="minorHAnsi" w:hAnsiTheme="minorHAnsi"/>
          <w:sz w:val="22"/>
          <w:szCs w:val="22"/>
        </w:rPr>
        <w:t xml:space="preserve">, BZ, GEW (Albumin), </w:t>
      </w:r>
      <w:r w:rsidRPr="00A04F27">
        <w:rPr>
          <w:rFonts w:asciiTheme="minorHAnsi" w:hAnsiTheme="minorHAnsi" w:cstheme="minorHAnsi"/>
          <w:sz w:val="22"/>
          <w:szCs w:val="22"/>
        </w:rPr>
        <w:t xml:space="preserve">Blutgruppe, AK-Suchtest, Blutausstrich, </w:t>
      </w:r>
      <w:r w:rsidRPr="00A04F27">
        <w:rPr>
          <w:rFonts w:asciiTheme="minorHAnsi" w:hAnsiTheme="minorHAnsi"/>
          <w:sz w:val="22"/>
          <w:szCs w:val="22"/>
        </w:rPr>
        <w:t>bei Frauen ß-HCG im Serum</w:t>
      </w:r>
    </w:p>
    <w:p w14:paraId="039B2668" w14:textId="77777777" w:rsidR="00A04F27" w:rsidRPr="00A04F27" w:rsidRDefault="00A04F27" w:rsidP="00A04F27">
      <w:pPr>
        <w:pStyle w:val="Default"/>
        <w:spacing w:line="276" w:lineRule="auto"/>
        <w:ind w:left="284" w:hanging="284"/>
        <w:jc w:val="both"/>
        <w:rPr>
          <w:rFonts w:asciiTheme="minorHAnsi" w:hAnsiTheme="minorHAnsi"/>
          <w:sz w:val="22"/>
          <w:szCs w:val="22"/>
        </w:rPr>
      </w:pPr>
    </w:p>
    <w:p w14:paraId="721D21F8" w14:textId="77777777" w:rsidR="00A04F27" w:rsidRPr="004139BD" w:rsidRDefault="00A04F27" w:rsidP="003C629B">
      <w:pPr>
        <w:pStyle w:val="Default"/>
        <w:numPr>
          <w:ilvl w:val="0"/>
          <w:numId w:val="4"/>
        </w:numPr>
        <w:spacing w:line="276" w:lineRule="auto"/>
        <w:ind w:left="284" w:hanging="284"/>
        <w:jc w:val="both"/>
        <w:rPr>
          <w:rFonts w:asciiTheme="minorHAnsi" w:hAnsiTheme="minorHAnsi"/>
          <w:sz w:val="22"/>
          <w:szCs w:val="22"/>
        </w:rPr>
      </w:pPr>
      <w:r w:rsidRPr="00A04F27">
        <w:rPr>
          <w:rFonts w:asciiTheme="minorHAnsi" w:hAnsiTheme="minorHAnsi"/>
          <w:sz w:val="22"/>
          <w:szCs w:val="22"/>
        </w:rPr>
        <w:t xml:space="preserve">Zuweisung zur Knochenmarkpunktion ins Ordensklinikum Elisabethinen bei V.a. AML zur Vermeidung von wiederholten Punktionen, </w:t>
      </w:r>
      <w:r w:rsidRPr="00FB49EB">
        <w:rPr>
          <w:rFonts w:asciiTheme="minorHAnsi" w:hAnsiTheme="minorHAnsi"/>
          <w:b/>
          <w:sz w:val="22"/>
          <w:szCs w:val="22"/>
        </w:rPr>
        <w:t>Aufklärung für das AML-SG Bioregister (alle Patienten)</w:t>
      </w:r>
      <w:r w:rsidRPr="00A04F27">
        <w:rPr>
          <w:rFonts w:asciiTheme="minorHAnsi" w:hAnsiTheme="minorHAnsi"/>
          <w:sz w:val="22"/>
          <w:szCs w:val="22"/>
        </w:rPr>
        <w:t xml:space="preserve">, Aufklärung und Screening für allfällige andere Studien (Patienten nicht fit für Induktion), KM-Versand zur zentralen </w:t>
      </w:r>
      <w:r w:rsidRPr="004139BD">
        <w:rPr>
          <w:rFonts w:asciiTheme="minorHAnsi" w:hAnsiTheme="minorHAnsi"/>
          <w:sz w:val="22"/>
          <w:szCs w:val="22"/>
        </w:rPr>
        <w:t xml:space="preserve">Diagnostik! </w:t>
      </w:r>
    </w:p>
    <w:p w14:paraId="62AD2C86" w14:textId="77777777" w:rsidR="00A04F27" w:rsidRPr="004139BD" w:rsidRDefault="00A04F27" w:rsidP="00A04F27">
      <w:pPr>
        <w:pStyle w:val="Default"/>
        <w:spacing w:line="276" w:lineRule="auto"/>
        <w:ind w:left="284" w:hanging="284"/>
        <w:jc w:val="both"/>
        <w:rPr>
          <w:rFonts w:asciiTheme="minorHAnsi" w:hAnsiTheme="minorHAnsi"/>
          <w:sz w:val="22"/>
          <w:szCs w:val="22"/>
        </w:rPr>
      </w:pPr>
    </w:p>
    <w:p w14:paraId="28920D4A" w14:textId="5F9FAFEE" w:rsidR="00A04F27" w:rsidRPr="004139BD" w:rsidRDefault="00A04F27" w:rsidP="003C629B">
      <w:pPr>
        <w:pStyle w:val="Default"/>
        <w:numPr>
          <w:ilvl w:val="0"/>
          <w:numId w:val="4"/>
        </w:numPr>
        <w:spacing w:after="255" w:line="276" w:lineRule="auto"/>
        <w:ind w:left="360"/>
        <w:jc w:val="both"/>
        <w:rPr>
          <w:rFonts w:asciiTheme="minorHAnsi" w:hAnsiTheme="minorHAnsi"/>
          <w:sz w:val="22"/>
          <w:szCs w:val="22"/>
        </w:rPr>
      </w:pPr>
      <w:r w:rsidRPr="004139BD">
        <w:rPr>
          <w:rFonts w:asciiTheme="minorHAnsi" w:hAnsiTheme="minorHAnsi"/>
          <w:sz w:val="22"/>
          <w:szCs w:val="22"/>
        </w:rPr>
        <w:t xml:space="preserve">Knochenmarkzytologie, FACS (Definition eines LAIP), </w:t>
      </w:r>
      <w:r w:rsidR="005D0D5C" w:rsidRPr="004139BD">
        <w:rPr>
          <w:rFonts w:asciiTheme="minorHAnsi" w:hAnsiTheme="minorHAnsi"/>
          <w:sz w:val="22"/>
          <w:szCs w:val="22"/>
        </w:rPr>
        <w:t>Zytogenetik</w:t>
      </w:r>
      <w:r w:rsidR="00976359" w:rsidRPr="004139BD">
        <w:rPr>
          <w:rFonts w:asciiTheme="minorHAnsi" w:hAnsiTheme="minorHAnsi"/>
          <w:sz w:val="22"/>
          <w:szCs w:val="22"/>
        </w:rPr>
        <w:t>/FISH</w:t>
      </w:r>
      <w:r w:rsidR="005D0D5C" w:rsidRPr="004139BD">
        <w:rPr>
          <w:rFonts w:asciiTheme="minorHAnsi" w:hAnsiTheme="minorHAnsi"/>
          <w:sz w:val="22"/>
          <w:szCs w:val="22"/>
        </w:rPr>
        <w:t xml:space="preserve">, </w:t>
      </w:r>
      <w:r w:rsidRPr="004139BD">
        <w:rPr>
          <w:rFonts w:asciiTheme="minorHAnsi" w:hAnsiTheme="minorHAnsi"/>
          <w:sz w:val="22"/>
          <w:szCs w:val="22"/>
        </w:rPr>
        <w:t xml:space="preserve">Molekularbiologie (Multiplex-PCR, </w:t>
      </w:r>
      <w:r w:rsidRPr="00176746">
        <w:rPr>
          <w:rFonts w:asciiTheme="minorHAnsi" w:hAnsiTheme="minorHAnsi"/>
          <w:color w:val="000000" w:themeColor="text1"/>
          <w:sz w:val="22"/>
          <w:szCs w:val="22"/>
        </w:rPr>
        <w:t>WT1</w:t>
      </w:r>
      <w:r w:rsidR="00E834DE" w:rsidRPr="00176746">
        <w:rPr>
          <w:rFonts w:asciiTheme="minorHAnsi" w:hAnsiTheme="minorHAnsi"/>
          <w:color w:val="000000" w:themeColor="text1"/>
          <w:sz w:val="22"/>
          <w:szCs w:val="22"/>
        </w:rPr>
        <w:t>, Flt3-ITD</w:t>
      </w:r>
      <w:r w:rsidR="005D0D5C" w:rsidRPr="00176746">
        <w:rPr>
          <w:rFonts w:asciiTheme="minorHAnsi" w:hAnsiTheme="minorHAnsi"/>
          <w:color w:val="000000" w:themeColor="text1"/>
          <w:sz w:val="22"/>
          <w:szCs w:val="22"/>
        </w:rPr>
        <w:t xml:space="preserve">). </w:t>
      </w:r>
      <w:r w:rsidR="00B9349C" w:rsidRPr="00176746">
        <w:rPr>
          <w:rFonts w:asciiTheme="minorHAnsi" w:hAnsiTheme="minorHAnsi"/>
          <w:color w:val="000000" w:themeColor="text1"/>
          <w:sz w:val="22"/>
          <w:szCs w:val="22"/>
        </w:rPr>
        <w:t>NGS</w:t>
      </w:r>
      <w:r w:rsidR="00B9349C" w:rsidRPr="004139BD">
        <w:rPr>
          <w:rFonts w:asciiTheme="minorHAnsi" w:hAnsiTheme="minorHAnsi"/>
          <w:sz w:val="22"/>
          <w:szCs w:val="22"/>
        </w:rPr>
        <w:t xml:space="preserve">-Panel </w:t>
      </w:r>
      <w:r w:rsidR="005D0D5C" w:rsidRPr="004139BD">
        <w:rPr>
          <w:rFonts w:asciiTheme="minorHAnsi" w:hAnsiTheme="minorHAnsi"/>
          <w:sz w:val="22"/>
          <w:szCs w:val="22"/>
        </w:rPr>
        <w:t>für alle Patienten, bei denen eine  intensive Chemotherapie ODER demethylierende Therapie geplant ist (</w:t>
      </w:r>
      <w:hyperlink r:id="rId16" w:history="1">
        <w:r w:rsidR="005D0D5C" w:rsidRPr="004139BD">
          <w:rPr>
            <w:rStyle w:val="Hyperlink"/>
            <w:rFonts w:asciiTheme="minorHAnsi" w:hAnsiTheme="minorHAnsi"/>
            <w:sz w:val="22"/>
            <w:szCs w:val="22"/>
          </w:rPr>
          <w:t>Zuweisungsformular</w:t>
        </w:r>
      </w:hyperlink>
      <w:r w:rsidR="005D0D5C" w:rsidRPr="004139BD">
        <w:rPr>
          <w:rFonts w:asciiTheme="minorHAnsi" w:hAnsiTheme="minorHAnsi"/>
          <w:sz w:val="22"/>
          <w:szCs w:val="22"/>
        </w:rPr>
        <w:t>)</w:t>
      </w:r>
      <w:r w:rsidR="00B9349C" w:rsidRPr="004139BD">
        <w:rPr>
          <w:rFonts w:asciiTheme="minorHAnsi" w:hAnsiTheme="minorHAnsi"/>
          <w:sz w:val="22"/>
          <w:szCs w:val="22"/>
        </w:rPr>
        <w:t>.</w:t>
      </w:r>
      <w:r w:rsidR="005D0D5C" w:rsidRPr="004139BD">
        <w:rPr>
          <w:rFonts w:asciiTheme="minorHAnsi" w:hAnsiTheme="minorHAnsi"/>
          <w:sz w:val="22"/>
          <w:szCs w:val="22"/>
        </w:rPr>
        <w:t xml:space="preserve"> Das NGS-Panel umfasst alle Mutationen, die für eine exakte Klassifizierung erforderlich (fett markiert) sind bzw. prognostische und/oder therapeutische Konsequenz haben: ASXL1, BCOR, BIRC3, BRAF, CALR, CBL, </w:t>
      </w:r>
      <w:r w:rsidR="005D0D5C" w:rsidRPr="004139BD">
        <w:rPr>
          <w:rFonts w:asciiTheme="minorHAnsi" w:hAnsiTheme="minorHAnsi"/>
          <w:b/>
          <w:sz w:val="22"/>
          <w:szCs w:val="22"/>
        </w:rPr>
        <w:t>CEBPA</w:t>
      </w:r>
      <w:r w:rsidR="005D0D5C" w:rsidRPr="004139BD">
        <w:rPr>
          <w:rFonts w:asciiTheme="minorHAnsi" w:hAnsiTheme="minorHAnsi"/>
          <w:sz w:val="22"/>
          <w:szCs w:val="22"/>
        </w:rPr>
        <w:t xml:space="preserve">, CSF3R, DNMT3A, ETV6, EZH2, </w:t>
      </w:r>
      <w:r w:rsidR="005D0D5C" w:rsidRPr="004139BD">
        <w:rPr>
          <w:rFonts w:asciiTheme="minorHAnsi" w:hAnsiTheme="minorHAnsi"/>
          <w:b/>
          <w:sz w:val="22"/>
          <w:szCs w:val="22"/>
        </w:rPr>
        <w:t>FLT3</w:t>
      </w:r>
      <w:r w:rsidR="005D0D5C" w:rsidRPr="004139BD">
        <w:rPr>
          <w:rFonts w:asciiTheme="minorHAnsi" w:hAnsiTheme="minorHAnsi"/>
          <w:sz w:val="22"/>
          <w:szCs w:val="22"/>
        </w:rPr>
        <w:t xml:space="preserve">, HRAS, IDH1/2, JAK2, KIT, KRAS, MPL, NF1, </w:t>
      </w:r>
      <w:r w:rsidR="005D0D5C" w:rsidRPr="004139BD">
        <w:rPr>
          <w:rFonts w:asciiTheme="minorHAnsi" w:hAnsiTheme="minorHAnsi"/>
          <w:b/>
          <w:sz w:val="22"/>
          <w:szCs w:val="22"/>
        </w:rPr>
        <w:t>NPM1</w:t>
      </w:r>
      <w:r w:rsidR="005D0D5C" w:rsidRPr="004139BD">
        <w:rPr>
          <w:rFonts w:asciiTheme="minorHAnsi" w:hAnsiTheme="minorHAnsi"/>
          <w:sz w:val="22"/>
          <w:szCs w:val="22"/>
        </w:rPr>
        <w:t xml:space="preserve">, NRAS, PTPN11, </w:t>
      </w:r>
      <w:r w:rsidR="005D0D5C" w:rsidRPr="004139BD">
        <w:rPr>
          <w:rFonts w:asciiTheme="minorHAnsi" w:hAnsiTheme="minorHAnsi"/>
          <w:b/>
          <w:sz w:val="22"/>
          <w:szCs w:val="22"/>
        </w:rPr>
        <w:t>RUNX1</w:t>
      </w:r>
      <w:r w:rsidR="005D0D5C" w:rsidRPr="004139BD">
        <w:rPr>
          <w:rFonts w:asciiTheme="minorHAnsi" w:hAnsiTheme="minorHAnsi"/>
          <w:sz w:val="22"/>
          <w:szCs w:val="22"/>
        </w:rPr>
        <w:t xml:space="preserve">, SETBP1, SF3B1, SRSF2, STAG2, TET2, </w:t>
      </w:r>
      <w:r w:rsidR="005D0D5C" w:rsidRPr="004139BD">
        <w:rPr>
          <w:rFonts w:asciiTheme="minorHAnsi" w:hAnsiTheme="minorHAnsi"/>
          <w:b/>
          <w:sz w:val="22"/>
          <w:szCs w:val="22"/>
        </w:rPr>
        <w:t>TP53</w:t>
      </w:r>
      <w:r w:rsidR="005D0D5C" w:rsidRPr="004139BD">
        <w:rPr>
          <w:rFonts w:asciiTheme="minorHAnsi" w:hAnsiTheme="minorHAnsi"/>
          <w:sz w:val="22"/>
          <w:szCs w:val="22"/>
        </w:rPr>
        <w:t>, U2AF1, WT1, ZRSR2</w:t>
      </w:r>
      <w:r w:rsidR="00D215AA" w:rsidRPr="004139BD">
        <w:rPr>
          <w:rFonts w:asciiTheme="minorHAnsi" w:hAnsiTheme="minorHAnsi"/>
          <w:sz w:val="22"/>
          <w:szCs w:val="22"/>
        </w:rPr>
        <w:t>, …</w:t>
      </w:r>
    </w:p>
    <w:p w14:paraId="061485FC" w14:textId="77777777" w:rsidR="00D215AA" w:rsidRDefault="0069569C" w:rsidP="00976359">
      <w:pPr>
        <w:pStyle w:val="Listenabsatz"/>
        <w:jc w:val="left"/>
        <w:rPr>
          <w:rFonts w:asciiTheme="minorHAnsi" w:hAnsiTheme="minorHAnsi"/>
          <w:szCs w:val="22"/>
          <w:highlight w:val="yellow"/>
        </w:rPr>
      </w:pPr>
      <w:r>
        <w:rPr>
          <w:rFonts w:asciiTheme="minorHAnsi" w:hAnsiTheme="minorHAnsi"/>
          <w:noProof/>
          <w:szCs w:val="22"/>
          <w:lang w:eastAsia="de-AT"/>
        </w:rPr>
        <mc:AlternateContent>
          <mc:Choice Requires="wps">
            <w:drawing>
              <wp:anchor distT="0" distB="0" distL="114300" distR="114300" simplePos="0" relativeHeight="251663360" behindDoc="0" locked="0" layoutInCell="1" allowOverlap="1" wp14:anchorId="6E267D28" wp14:editId="559C6B2E">
                <wp:simplePos x="0" y="0"/>
                <wp:positionH relativeFrom="column">
                  <wp:posOffset>500592</wp:posOffset>
                </wp:positionH>
                <wp:positionV relativeFrom="paragraph">
                  <wp:posOffset>2372995</wp:posOffset>
                </wp:positionV>
                <wp:extent cx="853440" cy="108374"/>
                <wp:effectExtent l="0" t="19050" r="41910" b="44450"/>
                <wp:wrapNone/>
                <wp:docPr id="11" name="Pfeil nach rechts 11"/>
                <wp:cNvGraphicFramePr/>
                <a:graphic xmlns:a="http://schemas.openxmlformats.org/drawingml/2006/main">
                  <a:graphicData uri="http://schemas.microsoft.com/office/word/2010/wordprocessingShape">
                    <wps:wsp>
                      <wps:cNvSpPr/>
                      <wps:spPr>
                        <a:xfrm>
                          <a:off x="0" y="0"/>
                          <a:ext cx="853440" cy="108374"/>
                        </a:xfrm>
                        <a:prstGeom prst="rightArrow">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4919C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1" o:spid="_x0000_s1026" type="#_x0000_t13" style="position:absolute;margin-left:39.4pt;margin-top:186.85pt;width:67.2pt;height: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" adj="20229" fillcolor="#4f81bd [3204]" strokecolor="#243f60 [1604]" strokeweight="1pt"/>
            </w:pict>
          </mc:Fallback>
        </mc:AlternateContent>
      </w:r>
      <w:r w:rsidR="00D215AA" w:rsidRPr="00D215AA">
        <w:rPr>
          <w:rFonts w:asciiTheme="minorHAnsi" w:hAnsiTheme="minorHAnsi"/>
          <w:noProof/>
          <w:szCs w:val="22"/>
          <w:lang w:eastAsia="de-AT"/>
        </w:rPr>
        <w:drawing>
          <wp:inline distT="0" distB="0" distL="0" distR="0" wp14:anchorId="6CC8A318" wp14:editId="6825B252">
            <wp:extent cx="2902837" cy="25222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5718" cy="2524723"/>
                    </a:xfrm>
                    <a:prstGeom prst="rect">
                      <a:avLst/>
                    </a:prstGeom>
                    <a:noFill/>
                  </pic:spPr>
                </pic:pic>
              </a:graphicData>
            </a:graphic>
          </wp:inline>
        </w:drawing>
      </w:r>
    </w:p>
    <w:p w14:paraId="5C64CD91" w14:textId="77777777" w:rsidR="00D215AA" w:rsidRPr="00D215AA" w:rsidRDefault="00D215AA" w:rsidP="00D215AA">
      <w:pPr>
        <w:pStyle w:val="Default"/>
        <w:spacing w:after="255" w:line="276" w:lineRule="auto"/>
        <w:ind w:left="360"/>
        <w:jc w:val="both"/>
        <w:rPr>
          <w:rFonts w:asciiTheme="minorHAnsi" w:hAnsiTheme="minorHAnsi"/>
          <w:sz w:val="22"/>
          <w:szCs w:val="22"/>
          <w:highlight w:val="yellow"/>
        </w:rPr>
      </w:pPr>
    </w:p>
    <w:p w14:paraId="222F1649" w14:textId="77777777" w:rsidR="00A04F27" w:rsidRPr="00A04F27" w:rsidRDefault="00A04F27" w:rsidP="003C629B">
      <w:pPr>
        <w:pStyle w:val="Default"/>
        <w:numPr>
          <w:ilvl w:val="0"/>
          <w:numId w:val="4"/>
        </w:numPr>
        <w:spacing w:after="255" w:line="276" w:lineRule="auto"/>
        <w:ind w:left="284" w:hanging="284"/>
        <w:jc w:val="both"/>
        <w:rPr>
          <w:rFonts w:asciiTheme="minorHAnsi" w:hAnsiTheme="minorHAnsi"/>
          <w:sz w:val="22"/>
          <w:szCs w:val="22"/>
        </w:rPr>
      </w:pPr>
      <w:r w:rsidRPr="00A04F27">
        <w:rPr>
          <w:rFonts w:asciiTheme="minorHAnsi" w:hAnsiTheme="minorHAnsi"/>
          <w:sz w:val="22"/>
          <w:szCs w:val="22"/>
        </w:rPr>
        <w:t xml:space="preserve">Bei Verdacht auf AML mit Keimbahn-Prädisposition (Familienanamnese, Kriterien siehe Abschnitt 4.3)  weitere molekulare Diagnostik empfohlen (Genpanel für </w:t>
      </w:r>
      <w:r w:rsidRPr="00A04F27">
        <w:rPr>
          <w:rFonts w:asciiTheme="minorHAnsi" w:hAnsiTheme="minorHAnsi"/>
          <w:color w:val="auto"/>
          <w:sz w:val="22"/>
          <w:szCs w:val="22"/>
        </w:rPr>
        <w:t xml:space="preserve">prädisponierende Allele siehe </w:t>
      </w:r>
      <w:r w:rsidRPr="00A04F27">
        <w:rPr>
          <w:rFonts w:asciiTheme="minorHAnsi" w:hAnsiTheme="minorHAnsi" w:cs="Calibri"/>
          <w:color w:val="auto"/>
          <w:sz w:val="22"/>
          <w:szCs w:val="22"/>
          <w:lang w:eastAsia="de-AT"/>
        </w:rPr>
        <w:t>ELN Empfehlung 2017</w:t>
      </w:r>
      <w:r w:rsidRPr="00A04F27">
        <w:rPr>
          <w:rFonts w:asciiTheme="minorHAnsi" w:hAnsiTheme="minorHAnsi"/>
          <w:color w:val="auto"/>
          <w:sz w:val="22"/>
          <w:szCs w:val="22"/>
        </w:rPr>
        <w:t>)</w:t>
      </w:r>
    </w:p>
    <w:p w14:paraId="0376A37F" w14:textId="77777777" w:rsidR="00A04F27" w:rsidRPr="00A04F27" w:rsidRDefault="00A04F27" w:rsidP="003C629B">
      <w:pPr>
        <w:pStyle w:val="Default"/>
        <w:numPr>
          <w:ilvl w:val="0"/>
          <w:numId w:val="4"/>
        </w:numPr>
        <w:spacing w:after="255" w:line="276" w:lineRule="auto"/>
        <w:ind w:left="284" w:hanging="284"/>
        <w:jc w:val="both"/>
        <w:rPr>
          <w:rFonts w:asciiTheme="minorHAnsi" w:hAnsiTheme="minorHAnsi"/>
          <w:sz w:val="22"/>
          <w:szCs w:val="22"/>
        </w:rPr>
      </w:pPr>
      <w:r w:rsidRPr="00A04F27">
        <w:rPr>
          <w:rFonts w:asciiTheme="minorHAnsi" w:hAnsiTheme="minorHAnsi"/>
          <w:sz w:val="22"/>
          <w:szCs w:val="22"/>
        </w:rPr>
        <w:lastRenderedPageBreak/>
        <w:t>Virusserologie (Hep A,B,C, HIV</w:t>
      </w:r>
      <w:r w:rsidR="00BC1A80">
        <w:rPr>
          <w:rFonts w:asciiTheme="minorHAnsi" w:hAnsiTheme="minorHAnsi"/>
          <w:sz w:val="22"/>
          <w:szCs w:val="22"/>
        </w:rPr>
        <w:t xml:space="preserve">, </w:t>
      </w:r>
      <w:r w:rsidRPr="00A04F27">
        <w:rPr>
          <w:rFonts w:asciiTheme="minorHAnsi" w:hAnsiTheme="minorHAnsi"/>
          <w:sz w:val="22"/>
          <w:szCs w:val="22"/>
        </w:rPr>
        <w:t>CMV</w:t>
      </w:r>
      <w:r w:rsidR="00BC1A80">
        <w:rPr>
          <w:rFonts w:asciiTheme="minorHAnsi" w:hAnsiTheme="minorHAnsi"/>
          <w:sz w:val="22"/>
          <w:szCs w:val="22"/>
        </w:rPr>
        <w:t>)</w:t>
      </w:r>
      <w:r w:rsidRPr="00A04F27">
        <w:rPr>
          <w:rFonts w:asciiTheme="minorHAnsi" w:hAnsiTheme="minorHAnsi"/>
          <w:sz w:val="22"/>
          <w:szCs w:val="22"/>
        </w:rPr>
        <w:t xml:space="preserve">, Blutgruppe (Transfusionskonzept im SAP anlegen), Surveillance-Kulturen (N-Kulturen), mikrobiolog. Primärscreening, Galactomannan im Serum </w:t>
      </w:r>
    </w:p>
    <w:p w14:paraId="796B02B8" w14:textId="77777777" w:rsidR="00A04F27" w:rsidRPr="00A04F27" w:rsidRDefault="00A04F27" w:rsidP="003C629B">
      <w:pPr>
        <w:pStyle w:val="Default"/>
        <w:numPr>
          <w:ilvl w:val="0"/>
          <w:numId w:val="4"/>
        </w:numPr>
        <w:spacing w:after="255" w:line="276" w:lineRule="auto"/>
        <w:ind w:left="284" w:hanging="284"/>
        <w:jc w:val="both"/>
        <w:rPr>
          <w:rFonts w:asciiTheme="minorHAnsi" w:hAnsiTheme="minorHAnsi"/>
          <w:sz w:val="22"/>
          <w:szCs w:val="22"/>
        </w:rPr>
      </w:pPr>
      <w:r w:rsidRPr="00A04F27">
        <w:rPr>
          <w:rFonts w:asciiTheme="minorHAnsi" w:hAnsiTheme="minorHAnsi"/>
          <w:sz w:val="22"/>
          <w:szCs w:val="22"/>
        </w:rPr>
        <w:t>HLA-Typisierung</w:t>
      </w:r>
      <w:r w:rsidR="00F939C1">
        <w:rPr>
          <w:rFonts w:asciiTheme="minorHAnsi" w:hAnsiTheme="minorHAnsi"/>
          <w:sz w:val="22"/>
          <w:szCs w:val="22"/>
        </w:rPr>
        <w:t xml:space="preserve"> </w:t>
      </w:r>
      <w:r w:rsidR="00BC1A80">
        <w:rPr>
          <w:rFonts w:asciiTheme="minorHAnsi" w:hAnsiTheme="minorHAnsi"/>
          <w:sz w:val="22"/>
          <w:szCs w:val="22"/>
        </w:rPr>
        <w:t>und</w:t>
      </w:r>
      <w:r w:rsidR="000D66DD">
        <w:rPr>
          <w:rFonts w:asciiTheme="minorHAnsi" w:hAnsiTheme="minorHAnsi"/>
          <w:sz w:val="22"/>
          <w:szCs w:val="22"/>
        </w:rPr>
        <w:t xml:space="preserve"> </w:t>
      </w:r>
      <w:r w:rsidR="00D03899">
        <w:rPr>
          <w:rFonts w:asciiTheme="minorHAnsi" w:hAnsiTheme="minorHAnsi"/>
          <w:sz w:val="22"/>
          <w:szCs w:val="22"/>
        </w:rPr>
        <w:t xml:space="preserve">HLA-AK Klasse I/II </w:t>
      </w:r>
      <w:r w:rsidRPr="00A04F27">
        <w:rPr>
          <w:rFonts w:asciiTheme="minorHAnsi" w:hAnsiTheme="minorHAnsi"/>
          <w:sz w:val="22"/>
          <w:szCs w:val="22"/>
        </w:rPr>
        <w:t xml:space="preserve">(falls Patient fit für TX / biologisch </w:t>
      </w:r>
      <w:r w:rsidRPr="00A04F27">
        <w:rPr>
          <w:rFonts w:asciiTheme="minorHAnsi" w:hAnsiTheme="minorHAnsi"/>
          <w:sz w:val="22"/>
          <w:szCs w:val="22"/>
          <w:u w:val="single"/>
        </w:rPr>
        <w:t>&lt;</w:t>
      </w:r>
      <w:r w:rsidRPr="00A04F27">
        <w:rPr>
          <w:rFonts w:asciiTheme="minorHAnsi" w:hAnsiTheme="minorHAnsi"/>
          <w:sz w:val="22"/>
          <w:szCs w:val="22"/>
        </w:rPr>
        <w:t xml:space="preserve"> 70 Jahre)</w:t>
      </w:r>
      <w:r w:rsidR="00D03899">
        <w:rPr>
          <w:rFonts w:asciiTheme="minorHAnsi" w:hAnsiTheme="minorHAnsi"/>
          <w:sz w:val="22"/>
          <w:szCs w:val="22"/>
        </w:rPr>
        <w:t>, HLA-</w:t>
      </w:r>
      <w:r w:rsidRPr="00A04F27">
        <w:rPr>
          <w:rFonts w:asciiTheme="minorHAnsi" w:hAnsiTheme="minorHAnsi"/>
          <w:sz w:val="22"/>
          <w:szCs w:val="22"/>
        </w:rPr>
        <w:t xml:space="preserve">Typisierung der Geschwister und Kinder (&gt; 18 Jahre), + Typisierung der Eltern bei jungen Patienten einleiten </w:t>
      </w:r>
    </w:p>
    <w:p w14:paraId="195446E8" w14:textId="77777777" w:rsidR="00A04F27" w:rsidRPr="00176746" w:rsidRDefault="00A04F27" w:rsidP="003C629B">
      <w:pPr>
        <w:pStyle w:val="Default"/>
        <w:numPr>
          <w:ilvl w:val="0"/>
          <w:numId w:val="4"/>
        </w:numPr>
        <w:spacing w:after="255" w:line="276" w:lineRule="auto"/>
        <w:ind w:left="284" w:hanging="284"/>
        <w:jc w:val="both"/>
        <w:rPr>
          <w:rFonts w:asciiTheme="minorHAnsi" w:hAnsiTheme="minorHAnsi"/>
          <w:color w:val="000000" w:themeColor="text1"/>
          <w:sz w:val="22"/>
          <w:szCs w:val="22"/>
        </w:rPr>
      </w:pPr>
      <w:r w:rsidRPr="00A04F27">
        <w:rPr>
          <w:rFonts w:asciiTheme="minorHAnsi" w:hAnsiTheme="minorHAnsi"/>
          <w:sz w:val="22"/>
          <w:szCs w:val="22"/>
        </w:rPr>
        <w:t xml:space="preserve">CT-Thorax, Herzecho mit LVEF quantifiziert, EKG, Abdominal-Sono (ggf. CT bei V.a. extramedulläre Manifestationen), ev. </w:t>
      </w:r>
      <w:r w:rsidRPr="00176746">
        <w:rPr>
          <w:rFonts w:asciiTheme="minorHAnsi" w:hAnsiTheme="minorHAnsi"/>
          <w:color w:val="000000" w:themeColor="text1"/>
          <w:sz w:val="22"/>
          <w:szCs w:val="22"/>
        </w:rPr>
        <w:t>Lungenfunktion für TX-Kandidaten (zumindest im Verlauf nach Regeneration)</w:t>
      </w:r>
    </w:p>
    <w:p w14:paraId="5130E1B6" w14:textId="77777777" w:rsidR="00A04F27" w:rsidRPr="00A04F27" w:rsidRDefault="00A04F27" w:rsidP="003C629B">
      <w:pPr>
        <w:pStyle w:val="Default"/>
        <w:numPr>
          <w:ilvl w:val="0"/>
          <w:numId w:val="4"/>
        </w:numPr>
        <w:spacing w:after="255" w:line="276" w:lineRule="auto"/>
        <w:ind w:left="284" w:hanging="284"/>
        <w:jc w:val="both"/>
        <w:rPr>
          <w:rFonts w:asciiTheme="minorHAnsi" w:hAnsiTheme="minorHAnsi"/>
          <w:sz w:val="22"/>
          <w:szCs w:val="22"/>
        </w:rPr>
      </w:pPr>
      <w:r w:rsidRPr="00176746">
        <w:rPr>
          <w:rFonts w:asciiTheme="minorHAnsi" w:hAnsiTheme="minorHAnsi"/>
          <w:color w:val="000000" w:themeColor="text1"/>
          <w:sz w:val="22"/>
          <w:szCs w:val="22"/>
        </w:rPr>
        <w:t xml:space="preserve">Liquorpunktion bei V.a. ZNS-Befall +  </w:t>
      </w:r>
      <w:r w:rsidR="006B5078" w:rsidRPr="00176746">
        <w:rPr>
          <w:rFonts w:asciiTheme="minorHAnsi" w:hAnsiTheme="minorHAnsi"/>
          <w:color w:val="000000" w:themeColor="text1"/>
          <w:sz w:val="22"/>
          <w:szCs w:val="22"/>
        </w:rPr>
        <w:t>Cytarabin</w:t>
      </w:r>
      <w:r w:rsidRPr="00176746">
        <w:rPr>
          <w:rFonts w:asciiTheme="minorHAnsi" w:hAnsiTheme="minorHAnsi"/>
          <w:color w:val="000000" w:themeColor="text1"/>
          <w:sz w:val="22"/>
          <w:szCs w:val="22"/>
        </w:rPr>
        <w:t xml:space="preserve">gabe </w:t>
      </w:r>
      <w:r w:rsidRPr="00A04F27">
        <w:rPr>
          <w:rFonts w:asciiTheme="minorHAnsi" w:hAnsiTheme="minorHAnsi"/>
          <w:sz w:val="22"/>
          <w:szCs w:val="22"/>
        </w:rPr>
        <w:t>bei Nachweis von Blasten</w:t>
      </w:r>
    </w:p>
    <w:p w14:paraId="5B4FDC21" w14:textId="77777777" w:rsidR="001C725E" w:rsidRDefault="00A04F27" w:rsidP="003C629B">
      <w:pPr>
        <w:pStyle w:val="Default"/>
        <w:numPr>
          <w:ilvl w:val="0"/>
          <w:numId w:val="4"/>
        </w:numPr>
        <w:spacing w:line="276" w:lineRule="auto"/>
        <w:ind w:left="284" w:hanging="284"/>
        <w:jc w:val="both"/>
        <w:rPr>
          <w:rFonts w:asciiTheme="minorHAnsi" w:hAnsiTheme="minorHAnsi"/>
          <w:sz w:val="22"/>
          <w:szCs w:val="22"/>
        </w:rPr>
      </w:pPr>
      <w:r w:rsidRPr="00A04F27">
        <w:rPr>
          <w:rFonts w:asciiTheme="minorHAnsi" w:hAnsiTheme="minorHAnsi"/>
          <w:sz w:val="22"/>
          <w:szCs w:val="22"/>
        </w:rPr>
        <w:t>Bei ausreichendem Zeitfenster Kryokonservierung besprechen, Zuweisung an die Ambulanz der Frauenklinik; als Ovarprotektion bei Frauen ev. Gnrh Analogon</w:t>
      </w:r>
      <w:r w:rsidR="000D66DD">
        <w:rPr>
          <w:rFonts w:asciiTheme="minorHAnsi" w:hAnsiTheme="minorHAnsi"/>
          <w:sz w:val="22"/>
          <w:szCs w:val="22"/>
        </w:rPr>
        <w:t xml:space="preserve"> </w:t>
      </w:r>
      <w:r w:rsidRPr="00A04F27">
        <w:rPr>
          <w:rFonts w:asciiTheme="minorHAnsi" w:hAnsiTheme="minorHAnsi"/>
          <w:sz w:val="22"/>
          <w:szCs w:val="22"/>
        </w:rPr>
        <w:t>+ Gestagen (Orgametril)</w:t>
      </w:r>
    </w:p>
    <w:p w14:paraId="21BCD61A" w14:textId="77777777" w:rsidR="00976359" w:rsidRPr="00976359" w:rsidRDefault="00976359" w:rsidP="00976359">
      <w:pPr>
        <w:pStyle w:val="Default"/>
        <w:spacing w:line="276" w:lineRule="auto"/>
        <w:jc w:val="both"/>
        <w:rPr>
          <w:rFonts w:asciiTheme="minorHAnsi" w:hAnsiTheme="minorHAnsi"/>
          <w:sz w:val="22"/>
          <w:szCs w:val="22"/>
        </w:rPr>
      </w:pPr>
    </w:p>
    <w:p w14:paraId="646E5D70" w14:textId="77777777" w:rsidR="001C725E" w:rsidRPr="00A04F27" w:rsidRDefault="001C725E" w:rsidP="00A04F27">
      <w:pPr>
        <w:pStyle w:val="Default"/>
        <w:spacing w:line="276" w:lineRule="auto"/>
        <w:rPr>
          <w:rFonts w:asciiTheme="minorHAnsi" w:hAnsiTheme="minorHAnsi"/>
          <w:sz w:val="22"/>
          <w:szCs w:val="22"/>
        </w:rPr>
      </w:pPr>
    </w:p>
    <w:p w14:paraId="79038227" w14:textId="77777777" w:rsidR="00A04F27" w:rsidRPr="001C725E" w:rsidRDefault="00D37B54" w:rsidP="00D37B54">
      <w:pPr>
        <w:pStyle w:val="berschrift2"/>
        <w:numPr>
          <w:ilvl w:val="0"/>
          <w:numId w:val="0"/>
        </w:numPr>
      </w:pPr>
      <w:bookmarkStart w:id="7" w:name="_Toc63667659"/>
      <w:r>
        <w:t>2.2</w:t>
      </w:r>
      <w:r>
        <w:tab/>
      </w:r>
      <w:r w:rsidR="00A04F27" w:rsidRPr="001C725E">
        <w:t>Weitere Diagnostik</w:t>
      </w:r>
      <w:r w:rsidR="00BF0C08">
        <w:t xml:space="preserve"> </w:t>
      </w:r>
      <w:r w:rsidR="00A04F27" w:rsidRPr="001C725E">
        <w:t>/ Intervention nach Diagnosestellung der AML</w:t>
      </w:r>
      <w:bookmarkEnd w:id="7"/>
    </w:p>
    <w:p w14:paraId="16A504A9" w14:textId="77777777" w:rsidR="00A04F27" w:rsidRPr="00A04F27" w:rsidRDefault="00A04F27" w:rsidP="00A04F27">
      <w:pPr>
        <w:pStyle w:val="Default"/>
        <w:spacing w:line="276" w:lineRule="auto"/>
        <w:rPr>
          <w:rFonts w:asciiTheme="minorHAnsi" w:hAnsiTheme="minorHAnsi"/>
          <w:b/>
          <w:bCs/>
          <w:sz w:val="22"/>
          <w:szCs w:val="22"/>
        </w:rPr>
      </w:pPr>
    </w:p>
    <w:p w14:paraId="53B08FD9" w14:textId="77777777" w:rsidR="00A04F27" w:rsidRPr="00A04F27" w:rsidRDefault="00A04F27" w:rsidP="001C725E">
      <w:pPr>
        <w:pStyle w:val="Default"/>
        <w:spacing w:line="276" w:lineRule="auto"/>
        <w:jc w:val="both"/>
        <w:rPr>
          <w:rFonts w:asciiTheme="minorHAnsi" w:hAnsiTheme="minorHAnsi"/>
          <w:sz w:val="22"/>
          <w:szCs w:val="22"/>
        </w:rPr>
      </w:pPr>
      <w:r w:rsidRPr="00A04F27">
        <w:rPr>
          <w:rFonts w:asciiTheme="minorHAnsi" w:hAnsiTheme="minorHAnsi"/>
          <w:b/>
          <w:bCs/>
          <w:sz w:val="22"/>
          <w:szCs w:val="22"/>
        </w:rPr>
        <w:t xml:space="preserve">ZVK-Anlage: </w:t>
      </w:r>
      <w:r w:rsidRPr="00A04F27">
        <w:rPr>
          <w:rFonts w:asciiTheme="minorHAnsi" w:hAnsiTheme="minorHAnsi"/>
          <w:sz w:val="22"/>
          <w:szCs w:val="22"/>
        </w:rPr>
        <w:t>für alle Patienten (</w:t>
      </w:r>
      <w:r w:rsidR="000D66DD">
        <w:rPr>
          <w:rFonts w:asciiTheme="minorHAnsi" w:hAnsiTheme="minorHAnsi"/>
          <w:sz w:val="22"/>
          <w:szCs w:val="22"/>
        </w:rPr>
        <w:t xml:space="preserve">evt. </w:t>
      </w:r>
      <w:r w:rsidRPr="00A04F27">
        <w:rPr>
          <w:rFonts w:asciiTheme="minorHAnsi" w:hAnsiTheme="minorHAnsi"/>
          <w:sz w:val="22"/>
          <w:szCs w:val="22"/>
        </w:rPr>
        <w:t>Port-A-Cath-Anlage vor Konsolidierungs-Therapie</w:t>
      </w:r>
      <w:r w:rsidR="000D66DD">
        <w:rPr>
          <w:rFonts w:asciiTheme="minorHAnsi" w:hAnsiTheme="minorHAnsi"/>
          <w:sz w:val="22"/>
          <w:szCs w:val="22"/>
        </w:rPr>
        <w:t>, wenn kein TX-Kandidat</w:t>
      </w:r>
      <w:r w:rsidRPr="00A04F27">
        <w:rPr>
          <w:rFonts w:asciiTheme="minorHAnsi" w:hAnsiTheme="minorHAnsi"/>
          <w:sz w:val="22"/>
          <w:szCs w:val="22"/>
        </w:rPr>
        <w:t>)</w:t>
      </w:r>
    </w:p>
    <w:p w14:paraId="378B6A79" w14:textId="77777777" w:rsidR="00A04F27" w:rsidRPr="00A04F27" w:rsidRDefault="00A04F27" w:rsidP="001C725E">
      <w:pPr>
        <w:pStyle w:val="Default"/>
        <w:spacing w:line="276" w:lineRule="auto"/>
        <w:jc w:val="both"/>
        <w:rPr>
          <w:rFonts w:asciiTheme="minorHAnsi" w:hAnsiTheme="minorHAnsi"/>
          <w:b/>
          <w:bCs/>
          <w:sz w:val="22"/>
          <w:szCs w:val="22"/>
        </w:rPr>
      </w:pPr>
    </w:p>
    <w:p w14:paraId="7A807A59" w14:textId="77777777" w:rsidR="00A04F27" w:rsidRPr="00A04F27" w:rsidRDefault="00A04F27" w:rsidP="001C725E">
      <w:pPr>
        <w:pStyle w:val="Default"/>
        <w:spacing w:line="276" w:lineRule="auto"/>
        <w:jc w:val="both"/>
        <w:rPr>
          <w:rFonts w:asciiTheme="minorHAnsi" w:hAnsiTheme="minorHAnsi"/>
          <w:b/>
          <w:bCs/>
          <w:sz w:val="22"/>
          <w:szCs w:val="22"/>
        </w:rPr>
      </w:pPr>
      <w:r w:rsidRPr="00A04F27">
        <w:rPr>
          <w:rFonts w:asciiTheme="minorHAnsi" w:hAnsiTheme="minorHAnsi"/>
          <w:b/>
          <w:bCs/>
          <w:sz w:val="22"/>
          <w:szCs w:val="22"/>
        </w:rPr>
        <w:t xml:space="preserve">Labor-Algorithmen während der Induktionstherapie bis zur Neutropenie/ Abschluss des Blastenzerfalles </w:t>
      </w:r>
      <w:r w:rsidRPr="00A04F27">
        <w:rPr>
          <w:rFonts w:asciiTheme="minorHAnsi" w:hAnsiTheme="minorHAnsi"/>
          <w:bCs/>
          <w:sz w:val="22"/>
          <w:szCs w:val="22"/>
        </w:rPr>
        <w:t>(Monitoring eines ev.</w:t>
      </w:r>
      <w:r w:rsidR="008345EF">
        <w:rPr>
          <w:rFonts w:asciiTheme="minorHAnsi" w:hAnsiTheme="minorHAnsi"/>
          <w:bCs/>
          <w:sz w:val="22"/>
          <w:szCs w:val="22"/>
        </w:rPr>
        <w:t xml:space="preserve"> </w:t>
      </w:r>
      <w:r w:rsidRPr="00A04F27">
        <w:rPr>
          <w:rFonts w:asciiTheme="minorHAnsi" w:hAnsiTheme="minorHAnsi"/>
          <w:bCs/>
          <w:sz w:val="22"/>
          <w:szCs w:val="22"/>
        </w:rPr>
        <w:t>Tumorlysesyndroms, Gerinnungsstörung)</w:t>
      </w:r>
      <w:r w:rsidRPr="00A04F27">
        <w:rPr>
          <w:rFonts w:asciiTheme="minorHAnsi" w:hAnsiTheme="minorHAnsi"/>
          <w:b/>
          <w:bCs/>
          <w:sz w:val="22"/>
          <w:szCs w:val="22"/>
        </w:rPr>
        <w:t>:</w:t>
      </w:r>
    </w:p>
    <w:p w14:paraId="2DE292BB" w14:textId="77777777" w:rsidR="00A04F27" w:rsidRDefault="00A04F27" w:rsidP="003C629B">
      <w:pPr>
        <w:pStyle w:val="Default"/>
        <w:numPr>
          <w:ilvl w:val="0"/>
          <w:numId w:val="5"/>
        </w:numPr>
        <w:spacing w:line="276" w:lineRule="auto"/>
        <w:ind w:left="284" w:hanging="284"/>
        <w:jc w:val="both"/>
        <w:rPr>
          <w:rFonts w:asciiTheme="minorHAnsi" w:hAnsiTheme="minorHAnsi"/>
          <w:bCs/>
          <w:sz w:val="22"/>
          <w:szCs w:val="22"/>
        </w:rPr>
      </w:pPr>
      <w:r w:rsidRPr="00A04F27">
        <w:rPr>
          <w:rFonts w:asciiTheme="minorHAnsi" w:hAnsiTheme="minorHAnsi"/>
          <w:bCs/>
          <w:sz w:val="22"/>
          <w:szCs w:val="22"/>
        </w:rPr>
        <w:t>Täglich Blutbild, Na, K, Krea, BUN, Ca, Phosphat, Harnsäure, GOT, GPT, gGT, Bili, LDH, Glucose, PTZ, Fibrinogen</w:t>
      </w:r>
    </w:p>
    <w:p w14:paraId="6823E713" w14:textId="77777777" w:rsidR="008345EF" w:rsidRDefault="008345EF" w:rsidP="003C629B">
      <w:pPr>
        <w:pStyle w:val="Default"/>
        <w:numPr>
          <w:ilvl w:val="0"/>
          <w:numId w:val="5"/>
        </w:numPr>
        <w:spacing w:line="276" w:lineRule="auto"/>
        <w:ind w:left="284" w:hanging="284"/>
        <w:jc w:val="both"/>
        <w:rPr>
          <w:rFonts w:asciiTheme="minorHAnsi" w:hAnsiTheme="minorHAnsi"/>
          <w:bCs/>
          <w:sz w:val="22"/>
          <w:szCs w:val="22"/>
        </w:rPr>
      </w:pPr>
      <w:r>
        <w:rPr>
          <w:rFonts w:asciiTheme="minorHAnsi" w:hAnsiTheme="minorHAnsi"/>
          <w:bCs/>
          <w:sz w:val="22"/>
          <w:szCs w:val="22"/>
        </w:rPr>
        <w:t xml:space="preserve">Erweiterte Gerinnungsdiagnostik bei V.a. DIC: D-Dimer (täglich), Antithrombin, Einzelfaktorenanalyse (bei PTZ &lt; 40%) </w:t>
      </w:r>
    </w:p>
    <w:p w14:paraId="4464A742" w14:textId="77777777" w:rsidR="001C725E" w:rsidRPr="00A04F27" w:rsidRDefault="001C725E" w:rsidP="001C725E">
      <w:pPr>
        <w:pStyle w:val="Default"/>
        <w:spacing w:line="276" w:lineRule="auto"/>
        <w:ind w:left="284"/>
        <w:jc w:val="both"/>
        <w:rPr>
          <w:rFonts w:asciiTheme="minorHAnsi" w:hAnsiTheme="minorHAnsi"/>
          <w:bCs/>
          <w:sz w:val="22"/>
          <w:szCs w:val="22"/>
        </w:rPr>
      </w:pPr>
    </w:p>
    <w:p w14:paraId="64716345" w14:textId="77777777" w:rsidR="00A04F27" w:rsidRPr="00A04F27" w:rsidRDefault="00A04F27" w:rsidP="001C725E">
      <w:pPr>
        <w:pStyle w:val="Default"/>
        <w:spacing w:line="276" w:lineRule="auto"/>
        <w:jc w:val="both"/>
        <w:rPr>
          <w:rFonts w:asciiTheme="minorHAnsi" w:hAnsiTheme="minorHAnsi"/>
          <w:b/>
          <w:bCs/>
          <w:sz w:val="22"/>
          <w:szCs w:val="22"/>
        </w:rPr>
      </w:pPr>
      <w:r w:rsidRPr="00A04F27">
        <w:rPr>
          <w:rFonts w:asciiTheme="minorHAnsi" w:hAnsiTheme="minorHAnsi"/>
          <w:b/>
          <w:bCs/>
          <w:sz w:val="22"/>
          <w:szCs w:val="22"/>
        </w:rPr>
        <w:t>Labor-Algorithmen während der Neutropeniephasen/ der Konsolidierungsstherapie:</w:t>
      </w:r>
    </w:p>
    <w:p w14:paraId="6CFA352A" w14:textId="77777777" w:rsidR="00226F29" w:rsidRDefault="00226F29" w:rsidP="003C629B">
      <w:pPr>
        <w:pStyle w:val="Default"/>
        <w:numPr>
          <w:ilvl w:val="0"/>
          <w:numId w:val="5"/>
        </w:numPr>
        <w:spacing w:line="276" w:lineRule="auto"/>
        <w:ind w:left="284" w:hanging="284"/>
        <w:jc w:val="both"/>
        <w:rPr>
          <w:rFonts w:asciiTheme="minorHAnsi" w:hAnsiTheme="minorHAnsi"/>
          <w:bCs/>
          <w:sz w:val="22"/>
          <w:szCs w:val="22"/>
        </w:rPr>
      </w:pPr>
      <w:r w:rsidRPr="005F3CC3">
        <w:rPr>
          <w:rFonts w:asciiTheme="minorHAnsi" w:hAnsiTheme="minorHAnsi"/>
          <w:b/>
          <w:bCs/>
          <w:sz w:val="22"/>
          <w:szCs w:val="22"/>
        </w:rPr>
        <w:t>Bei Aufnahme:</w:t>
      </w:r>
      <w:r>
        <w:rPr>
          <w:rFonts w:asciiTheme="minorHAnsi" w:hAnsiTheme="minorHAnsi"/>
          <w:bCs/>
          <w:sz w:val="22"/>
          <w:szCs w:val="22"/>
        </w:rPr>
        <w:t xml:space="preserve"> </w:t>
      </w:r>
      <w:r w:rsidRPr="00A04F27">
        <w:rPr>
          <w:rFonts w:asciiTheme="minorHAnsi" w:hAnsiTheme="minorHAnsi"/>
          <w:bCs/>
          <w:sz w:val="22"/>
          <w:szCs w:val="22"/>
        </w:rPr>
        <w:t>Surveillance-Kulturen (Rachen, Harn, Stuhl</w:t>
      </w:r>
      <w:r>
        <w:rPr>
          <w:rFonts w:asciiTheme="minorHAnsi" w:hAnsiTheme="minorHAnsi"/>
          <w:bCs/>
          <w:sz w:val="22"/>
          <w:szCs w:val="22"/>
        </w:rPr>
        <w:t>)</w:t>
      </w:r>
    </w:p>
    <w:p w14:paraId="55D68A10" w14:textId="77777777" w:rsidR="00226F29" w:rsidRPr="005F3CC3" w:rsidRDefault="00226F29" w:rsidP="003C629B">
      <w:pPr>
        <w:pStyle w:val="Default"/>
        <w:numPr>
          <w:ilvl w:val="0"/>
          <w:numId w:val="5"/>
        </w:numPr>
        <w:spacing w:line="276" w:lineRule="auto"/>
        <w:ind w:left="284" w:hanging="284"/>
        <w:jc w:val="both"/>
        <w:rPr>
          <w:rFonts w:asciiTheme="minorHAnsi" w:hAnsiTheme="minorHAnsi"/>
          <w:bCs/>
          <w:sz w:val="22"/>
          <w:szCs w:val="22"/>
        </w:rPr>
      </w:pPr>
      <w:r w:rsidRPr="005F3CC3">
        <w:rPr>
          <w:rFonts w:asciiTheme="minorHAnsi" w:hAnsiTheme="minorHAnsi"/>
          <w:b/>
          <w:bCs/>
          <w:sz w:val="22"/>
          <w:szCs w:val="22"/>
        </w:rPr>
        <w:t xml:space="preserve">Kein Infekt: </w:t>
      </w:r>
    </w:p>
    <w:p w14:paraId="227B60C1" w14:textId="77777777" w:rsidR="00226F29" w:rsidRPr="00A04F27" w:rsidRDefault="00226F29" w:rsidP="003C629B">
      <w:pPr>
        <w:pStyle w:val="Default"/>
        <w:numPr>
          <w:ilvl w:val="1"/>
          <w:numId w:val="5"/>
        </w:numPr>
        <w:spacing w:line="276" w:lineRule="auto"/>
        <w:jc w:val="both"/>
        <w:rPr>
          <w:rFonts w:asciiTheme="minorHAnsi" w:hAnsiTheme="minorHAnsi"/>
          <w:bCs/>
          <w:sz w:val="22"/>
          <w:szCs w:val="22"/>
        </w:rPr>
      </w:pPr>
      <w:r w:rsidRPr="00A04F27">
        <w:rPr>
          <w:rFonts w:asciiTheme="minorHAnsi" w:hAnsiTheme="minorHAnsi"/>
          <w:bCs/>
          <w:sz w:val="22"/>
          <w:szCs w:val="22"/>
        </w:rPr>
        <w:t>Täglich: Blutbild; bei Regeneration mit Differentialblutbild</w:t>
      </w:r>
    </w:p>
    <w:p w14:paraId="723B96E4" w14:textId="77777777" w:rsidR="00226F29" w:rsidRDefault="00A04F27" w:rsidP="003C629B">
      <w:pPr>
        <w:pStyle w:val="Default"/>
        <w:numPr>
          <w:ilvl w:val="1"/>
          <w:numId w:val="5"/>
        </w:numPr>
        <w:spacing w:line="276" w:lineRule="auto"/>
        <w:jc w:val="both"/>
        <w:rPr>
          <w:rFonts w:asciiTheme="minorHAnsi" w:hAnsiTheme="minorHAnsi"/>
          <w:bCs/>
          <w:sz w:val="22"/>
          <w:szCs w:val="22"/>
        </w:rPr>
      </w:pPr>
      <w:r w:rsidRPr="00D20105">
        <w:rPr>
          <w:rFonts w:asciiTheme="minorHAnsi" w:hAnsiTheme="minorHAnsi"/>
          <w:bCs/>
          <w:sz w:val="22"/>
          <w:szCs w:val="22"/>
        </w:rPr>
        <w:t>Mo/Mi/Fr: Na, K,</w:t>
      </w:r>
      <w:r w:rsidRPr="00A04F27">
        <w:rPr>
          <w:rFonts w:asciiTheme="minorHAnsi" w:hAnsiTheme="minorHAnsi"/>
          <w:bCs/>
          <w:sz w:val="22"/>
          <w:szCs w:val="22"/>
        </w:rPr>
        <w:t xml:space="preserve"> Krea, BUN, GOT, GPT, Bili, LDH, γGT, </w:t>
      </w:r>
      <w:r w:rsidR="008345EF">
        <w:rPr>
          <w:rFonts w:asciiTheme="minorHAnsi" w:hAnsiTheme="minorHAnsi"/>
          <w:bCs/>
          <w:sz w:val="22"/>
          <w:szCs w:val="22"/>
        </w:rPr>
        <w:t>Glukose</w:t>
      </w:r>
      <w:r w:rsidRPr="00A04F27">
        <w:rPr>
          <w:rFonts w:asciiTheme="minorHAnsi" w:hAnsiTheme="minorHAnsi"/>
          <w:bCs/>
          <w:sz w:val="22"/>
          <w:szCs w:val="22"/>
        </w:rPr>
        <w:t>, CRP, PTZ, Fibrinogen</w:t>
      </w:r>
    </w:p>
    <w:p w14:paraId="73188D4E" w14:textId="77777777" w:rsidR="00226F29" w:rsidRPr="00226F29" w:rsidRDefault="00226F29" w:rsidP="003C629B">
      <w:pPr>
        <w:pStyle w:val="Default"/>
        <w:numPr>
          <w:ilvl w:val="1"/>
          <w:numId w:val="5"/>
        </w:numPr>
        <w:spacing w:line="276" w:lineRule="auto"/>
        <w:jc w:val="both"/>
        <w:rPr>
          <w:rFonts w:asciiTheme="minorHAnsi" w:hAnsiTheme="minorHAnsi"/>
          <w:bCs/>
          <w:sz w:val="22"/>
          <w:szCs w:val="22"/>
        </w:rPr>
      </w:pPr>
      <w:r w:rsidRPr="00D20105">
        <w:rPr>
          <w:rFonts w:asciiTheme="minorHAnsi" w:hAnsiTheme="minorHAnsi"/>
          <w:bCs/>
          <w:sz w:val="22"/>
          <w:szCs w:val="22"/>
        </w:rPr>
        <w:t>Mo:</w:t>
      </w:r>
      <w:r>
        <w:rPr>
          <w:rFonts w:asciiTheme="minorHAnsi" w:hAnsiTheme="minorHAnsi"/>
          <w:bCs/>
          <w:sz w:val="22"/>
          <w:szCs w:val="22"/>
        </w:rPr>
        <w:t xml:space="preserve"> </w:t>
      </w:r>
      <w:r w:rsidRPr="00226F29">
        <w:rPr>
          <w:rFonts w:asciiTheme="minorHAnsi" w:hAnsiTheme="minorHAnsi"/>
          <w:bCs/>
          <w:sz w:val="22"/>
          <w:szCs w:val="22"/>
        </w:rPr>
        <w:t>Eiweiß gesamt, Albumin, Ca, Magnesium, Lipase, Phosphat</w:t>
      </w:r>
    </w:p>
    <w:p w14:paraId="0FF1D982" w14:textId="77777777" w:rsidR="00D20105" w:rsidRDefault="00226F29" w:rsidP="003C629B">
      <w:pPr>
        <w:pStyle w:val="Default"/>
        <w:numPr>
          <w:ilvl w:val="1"/>
          <w:numId w:val="5"/>
        </w:numPr>
        <w:spacing w:line="276" w:lineRule="auto"/>
        <w:jc w:val="both"/>
        <w:rPr>
          <w:rFonts w:asciiTheme="minorHAnsi" w:hAnsiTheme="minorHAnsi"/>
          <w:bCs/>
          <w:sz w:val="22"/>
          <w:szCs w:val="22"/>
        </w:rPr>
      </w:pPr>
      <w:r w:rsidRPr="00A04F27">
        <w:rPr>
          <w:rFonts w:asciiTheme="minorHAnsi" w:hAnsiTheme="minorHAnsi"/>
          <w:bCs/>
          <w:sz w:val="22"/>
          <w:szCs w:val="22"/>
        </w:rPr>
        <w:t>Einmal wöchentlich</w:t>
      </w:r>
      <w:r w:rsidRPr="00226F29">
        <w:rPr>
          <w:rFonts w:asciiTheme="minorHAnsi" w:hAnsiTheme="minorHAnsi"/>
          <w:bCs/>
          <w:sz w:val="22"/>
          <w:szCs w:val="22"/>
        </w:rPr>
        <w:t xml:space="preserve"> </w:t>
      </w:r>
      <w:r w:rsidRPr="00A04F27">
        <w:rPr>
          <w:rFonts w:asciiTheme="minorHAnsi" w:hAnsiTheme="minorHAnsi"/>
          <w:bCs/>
          <w:sz w:val="22"/>
          <w:szCs w:val="22"/>
        </w:rPr>
        <w:t>Galctomannan bei Patienten ohne Voriconazol- oder Posaconazol</w:t>
      </w:r>
      <w:r w:rsidR="008345EF">
        <w:rPr>
          <w:rFonts w:asciiTheme="minorHAnsi" w:hAnsiTheme="minorHAnsi"/>
          <w:bCs/>
          <w:sz w:val="22"/>
          <w:szCs w:val="22"/>
        </w:rPr>
        <w:t>-</w:t>
      </w:r>
      <w:r w:rsidRPr="00A04F27">
        <w:rPr>
          <w:rFonts w:asciiTheme="minorHAnsi" w:hAnsiTheme="minorHAnsi"/>
          <w:bCs/>
          <w:sz w:val="22"/>
          <w:szCs w:val="22"/>
        </w:rPr>
        <w:t>prophylaxe</w:t>
      </w:r>
    </w:p>
    <w:p w14:paraId="4C32008E" w14:textId="77777777" w:rsidR="00D20105" w:rsidRPr="00D20105" w:rsidRDefault="00D20105" w:rsidP="003C629B">
      <w:pPr>
        <w:pStyle w:val="Default"/>
        <w:numPr>
          <w:ilvl w:val="1"/>
          <w:numId w:val="5"/>
        </w:numPr>
        <w:spacing w:line="276" w:lineRule="auto"/>
        <w:jc w:val="both"/>
        <w:rPr>
          <w:rFonts w:asciiTheme="minorHAnsi" w:hAnsiTheme="minorHAnsi"/>
          <w:bCs/>
          <w:sz w:val="22"/>
          <w:szCs w:val="22"/>
        </w:rPr>
      </w:pPr>
      <w:r w:rsidRPr="00D20105">
        <w:rPr>
          <w:rFonts w:asciiTheme="minorHAnsi" w:hAnsiTheme="minorHAnsi"/>
          <w:bCs/>
          <w:sz w:val="22"/>
          <w:szCs w:val="22"/>
        </w:rPr>
        <w:t>Bei Aplasiedauer &gt; 3 Wochen: Wiederholung Surveillance-Kulturen (Rachen, Harn, Stuhl)</w:t>
      </w:r>
    </w:p>
    <w:p w14:paraId="354C277F" w14:textId="77777777" w:rsidR="00D20105" w:rsidRDefault="00D20105" w:rsidP="005F3CC3">
      <w:pPr>
        <w:pStyle w:val="Default"/>
        <w:spacing w:line="276" w:lineRule="auto"/>
        <w:ind w:left="1080"/>
        <w:jc w:val="both"/>
        <w:rPr>
          <w:rFonts w:asciiTheme="minorHAnsi" w:hAnsiTheme="minorHAnsi"/>
          <w:bCs/>
          <w:sz w:val="22"/>
          <w:szCs w:val="22"/>
        </w:rPr>
      </w:pPr>
    </w:p>
    <w:p w14:paraId="4593F9CB" w14:textId="77777777" w:rsidR="00226F29" w:rsidRPr="005F3CC3" w:rsidRDefault="00226F29" w:rsidP="003C629B">
      <w:pPr>
        <w:pStyle w:val="Default"/>
        <w:numPr>
          <w:ilvl w:val="0"/>
          <w:numId w:val="5"/>
        </w:numPr>
        <w:spacing w:line="276" w:lineRule="auto"/>
        <w:ind w:left="284" w:hanging="284"/>
        <w:jc w:val="both"/>
        <w:rPr>
          <w:rFonts w:asciiTheme="minorHAnsi" w:hAnsiTheme="minorHAnsi"/>
          <w:bCs/>
          <w:sz w:val="22"/>
          <w:szCs w:val="22"/>
        </w:rPr>
      </w:pPr>
      <w:r>
        <w:rPr>
          <w:rFonts w:asciiTheme="minorHAnsi" w:hAnsiTheme="minorHAnsi"/>
          <w:b/>
          <w:bCs/>
          <w:sz w:val="22"/>
          <w:szCs w:val="22"/>
        </w:rPr>
        <w:t xml:space="preserve">Bei </w:t>
      </w:r>
      <w:r w:rsidRPr="005F3CC3">
        <w:rPr>
          <w:rFonts w:asciiTheme="minorHAnsi" w:hAnsiTheme="minorHAnsi"/>
          <w:b/>
          <w:bCs/>
          <w:sz w:val="22"/>
          <w:szCs w:val="22"/>
        </w:rPr>
        <w:t>Infekt</w:t>
      </w:r>
      <w:r>
        <w:rPr>
          <w:rFonts w:asciiTheme="minorHAnsi" w:hAnsiTheme="minorHAnsi"/>
          <w:b/>
          <w:bCs/>
          <w:sz w:val="22"/>
          <w:szCs w:val="22"/>
        </w:rPr>
        <w:t xml:space="preserve"> oder komplikativem Verlauf</w:t>
      </w:r>
      <w:r w:rsidRPr="005F3CC3">
        <w:rPr>
          <w:rFonts w:asciiTheme="minorHAnsi" w:hAnsiTheme="minorHAnsi"/>
          <w:b/>
          <w:bCs/>
          <w:sz w:val="22"/>
          <w:szCs w:val="22"/>
        </w:rPr>
        <w:t xml:space="preserve">: </w:t>
      </w:r>
    </w:p>
    <w:p w14:paraId="58E2C599" w14:textId="77777777" w:rsidR="00226F29" w:rsidRDefault="00226F29" w:rsidP="003C629B">
      <w:pPr>
        <w:pStyle w:val="Default"/>
        <w:numPr>
          <w:ilvl w:val="1"/>
          <w:numId w:val="5"/>
        </w:numPr>
        <w:spacing w:line="276" w:lineRule="auto"/>
        <w:jc w:val="both"/>
        <w:rPr>
          <w:rFonts w:asciiTheme="minorHAnsi" w:hAnsiTheme="minorHAnsi"/>
          <w:bCs/>
          <w:sz w:val="22"/>
          <w:szCs w:val="22"/>
        </w:rPr>
      </w:pPr>
      <w:r w:rsidRPr="00A04F27">
        <w:rPr>
          <w:rFonts w:asciiTheme="minorHAnsi" w:hAnsiTheme="minorHAnsi"/>
          <w:bCs/>
          <w:sz w:val="22"/>
          <w:szCs w:val="22"/>
        </w:rPr>
        <w:t>Täglich: Blutbild; bei Regeneration mit Differentialblutbild</w:t>
      </w:r>
    </w:p>
    <w:p w14:paraId="0EC36B28" w14:textId="77777777" w:rsidR="00D20105" w:rsidRDefault="00D20105" w:rsidP="003C629B">
      <w:pPr>
        <w:pStyle w:val="Default"/>
        <w:numPr>
          <w:ilvl w:val="1"/>
          <w:numId w:val="5"/>
        </w:numPr>
        <w:spacing w:line="276" w:lineRule="auto"/>
        <w:jc w:val="both"/>
        <w:rPr>
          <w:rFonts w:asciiTheme="minorHAnsi" w:hAnsiTheme="minorHAnsi"/>
          <w:bCs/>
          <w:sz w:val="22"/>
          <w:szCs w:val="22"/>
        </w:rPr>
      </w:pPr>
      <w:r w:rsidRPr="005F3CC3">
        <w:rPr>
          <w:rFonts w:asciiTheme="minorHAnsi" w:hAnsiTheme="minorHAnsi"/>
          <w:bCs/>
          <w:sz w:val="22"/>
          <w:szCs w:val="22"/>
        </w:rPr>
        <w:t>Täglich:</w:t>
      </w:r>
      <w:r w:rsidRPr="00D20105">
        <w:rPr>
          <w:rFonts w:asciiTheme="minorHAnsi" w:hAnsiTheme="minorHAnsi"/>
          <w:bCs/>
          <w:sz w:val="22"/>
          <w:szCs w:val="22"/>
        </w:rPr>
        <w:t xml:space="preserve"> Na</w:t>
      </w:r>
      <w:r w:rsidRPr="00A04F27">
        <w:rPr>
          <w:rFonts w:asciiTheme="minorHAnsi" w:hAnsiTheme="minorHAnsi"/>
          <w:bCs/>
          <w:sz w:val="22"/>
          <w:szCs w:val="22"/>
        </w:rPr>
        <w:t xml:space="preserve">, K, Krea, BUN, </w:t>
      </w:r>
      <w:r w:rsidRPr="00226F29">
        <w:rPr>
          <w:rFonts w:asciiTheme="minorHAnsi" w:hAnsiTheme="minorHAnsi"/>
          <w:bCs/>
          <w:sz w:val="22"/>
          <w:szCs w:val="22"/>
        </w:rPr>
        <w:t>Phosphat</w:t>
      </w:r>
      <w:r>
        <w:rPr>
          <w:rFonts w:asciiTheme="minorHAnsi" w:hAnsiTheme="minorHAnsi"/>
          <w:bCs/>
          <w:sz w:val="22"/>
          <w:szCs w:val="22"/>
        </w:rPr>
        <w:t>,</w:t>
      </w:r>
      <w:r w:rsidRPr="00A04F27">
        <w:rPr>
          <w:rFonts w:asciiTheme="minorHAnsi" w:hAnsiTheme="minorHAnsi"/>
          <w:bCs/>
          <w:sz w:val="22"/>
          <w:szCs w:val="22"/>
        </w:rPr>
        <w:t xml:space="preserve"> GOT, GPT, Bili, LDH, γGT, </w:t>
      </w:r>
      <w:r w:rsidR="008345EF">
        <w:rPr>
          <w:rFonts w:asciiTheme="minorHAnsi" w:hAnsiTheme="minorHAnsi"/>
          <w:bCs/>
          <w:sz w:val="22"/>
          <w:szCs w:val="22"/>
        </w:rPr>
        <w:t>Glukose</w:t>
      </w:r>
      <w:r w:rsidRPr="00A04F27">
        <w:rPr>
          <w:rFonts w:asciiTheme="minorHAnsi" w:hAnsiTheme="minorHAnsi"/>
          <w:bCs/>
          <w:sz w:val="22"/>
          <w:szCs w:val="22"/>
        </w:rPr>
        <w:t>, CRP, PTZ, Fibrinogen</w:t>
      </w:r>
    </w:p>
    <w:p w14:paraId="79F29892" w14:textId="77777777" w:rsidR="00D20105" w:rsidRPr="00D20105" w:rsidRDefault="00D20105" w:rsidP="003C629B">
      <w:pPr>
        <w:pStyle w:val="Default"/>
        <w:numPr>
          <w:ilvl w:val="1"/>
          <w:numId w:val="5"/>
        </w:numPr>
        <w:spacing w:line="276" w:lineRule="auto"/>
        <w:jc w:val="both"/>
        <w:rPr>
          <w:rFonts w:asciiTheme="minorHAnsi" w:hAnsiTheme="minorHAnsi"/>
          <w:bCs/>
          <w:sz w:val="22"/>
          <w:szCs w:val="22"/>
        </w:rPr>
      </w:pPr>
      <w:r w:rsidRPr="00D20105">
        <w:rPr>
          <w:rFonts w:asciiTheme="minorHAnsi" w:hAnsiTheme="minorHAnsi"/>
          <w:bCs/>
          <w:sz w:val="22"/>
          <w:szCs w:val="22"/>
        </w:rPr>
        <w:t>Mo</w:t>
      </w:r>
      <w:r>
        <w:rPr>
          <w:rFonts w:asciiTheme="minorHAnsi" w:hAnsiTheme="minorHAnsi"/>
          <w:bCs/>
          <w:sz w:val="22"/>
          <w:szCs w:val="22"/>
        </w:rPr>
        <w:t xml:space="preserve"> + Do</w:t>
      </w:r>
      <w:r w:rsidRPr="00D20105">
        <w:rPr>
          <w:rFonts w:asciiTheme="minorHAnsi" w:hAnsiTheme="minorHAnsi"/>
          <w:bCs/>
          <w:sz w:val="22"/>
          <w:szCs w:val="22"/>
        </w:rPr>
        <w:t>:</w:t>
      </w:r>
      <w:r>
        <w:rPr>
          <w:rFonts w:asciiTheme="minorHAnsi" w:hAnsiTheme="minorHAnsi"/>
          <w:bCs/>
          <w:sz w:val="22"/>
          <w:szCs w:val="22"/>
        </w:rPr>
        <w:t xml:space="preserve"> </w:t>
      </w:r>
      <w:r w:rsidRPr="00226F29">
        <w:rPr>
          <w:rFonts w:asciiTheme="minorHAnsi" w:hAnsiTheme="minorHAnsi"/>
          <w:bCs/>
          <w:sz w:val="22"/>
          <w:szCs w:val="22"/>
        </w:rPr>
        <w:t>Eiweiß gesamt, Albumin, Ca, Magnesium, Lipase</w:t>
      </w:r>
    </w:p>
    <w:p w14:paraId="6AD41E56" w14:textId="77777777" w:rsidR="00D20105" w:rsidRPr="00D20105" w:rsidRDefault="00D20105" w:rsidP="003C629B">
      <w:pPr>
        <w:pStyle w:val="Default"/>
        <w:numPr>
          <w:ilvl w:val="1"/>
          <w:numId w:val="5"/>
        </w:numPr>
        <w:spacing w:line="276" w:lineRule="auto"/>
        <w:jc w:val="both"/>
        <w:rPr>
          <w:rFonts w:asciiTheme="minorHAnsi" w:hAnsiTheme="minorHAnsi"/>
          <w:bCs/>
          <w:sz w:val="22"/>
          <w:szCs w:val="22"/>
        </w:rPr>
      </w:pPr>
      <w:r w:rsidRPr="00A921F2">
        <w:rPr>
          <w:rFonts w:asciiTheme="minorHAnsi" w:hAnsiTheme="minorHAnsi"/>
          <w:bCs/>
          <w:sz w:val="22"/>
          <w:szCs w:val="22"/>
        </w:rPr>
        <w:t>Wiederholung Surveillance-Kulturen (Rachen, Harn, Stuhl)</w:t>
      </w:r>
    </w:p>
    <w:p w14:paraId="669CA879" w14:textId="77777777" w:rsidR="00936055" w:rsidRDefault="00D20105" w:rsidP="003C629B">
      <w:pPr>
        <w:pStyle w:val="Default"/>
        <w:numPr>
          <w:ilvl w:val="1"/>
          <w:numId w:val="5"/>
        </w:numPr>
        <w:spacing w:line="276" w:lineRule="auto"/>
        <w:jc w:val="both"/>
        <w:rPr>
          <w:rFonts w:asciiTheme="minorHAnsi" w:hAnsiTheme="minorHAnsi"/>
          <w:bCs/>
          <w:sz w:val="22"/>
          <w:szCs w:val="22"/>
        </w:rPr>
      </w:pPr>
      <w:r w:rsidRPr="00BF0C08">
        <w:rPr>
          <w:rFonts w:asciiTheme="minorHAnsi" w:hAnsiTheme="minorHAnsi"/>
          <w:bCs/>
          <w:sz w:val="22"/>
          <w:szCs w:val="22"/>
        </w:rPr>
        <w:t>Blutkulturen, erweiterte Infektdiagnostik je nach Klinik/Infektfokus</w:t>
      </w:r>
      <w:r w:rsidR="00BF0C08" w:rsidRPr="00BF0C08">
        <w:rPr>
          <w:rFonts w:asciiTheme="minorHAnsi" w:hAnsiTheme="minorHAnsi"/>
          <w:bCs/>
          <w:sz w:val="22"/>
          <w:szCs w:val="22"/>
        </w:rPr>
        <w:t>)</w:t>
      </w:r>
    </w:p>
    <w:p w14:paraId="22F82511" w14:textId="77777777" w:rsidR="00936055" w:rsidRDefault="00936055">
      <w:pPr>
        <w:spacing w:line="240" w:lineRule="auto"/>
        <w:jc w:val="left"/>
        <w:rPr>
          <w:rFonts w:asciiTheme="minorHAnsi" w:eastAsiaTheme="minorHAnsi" w:hAnsiTheme="minorHAnsi" w:cs="Arial"/>
          <w:bCs/>
          <w:color w:val="000000"/>
          <w:szCs w:val="22"/>
          <w:lang w:eastAsia="en-US"/>
        </w:rPr>
      </w:pPr>
      <w:r>
        <w:rPr>
          <w:rFonts w:asciiTheme="minorHAnsi" w:hAnsiTheme="minorHAnsi"/>
          <w:bCs/>
          <w:szCs w:val="22"/>
        </w:rPr>
        <w:br w:type="page"/>
      </w:r>
    </w:p>
    <w:p w14:paraId="24B2C15D" w14:textId="77777777" w:rsidR="00D37B54" w:rsidRDefault="009C0FBD" w:rsidP="00ED757E">
      <w:pPr>
        <w:pStyle w:val="berschrift2"/>
        <w:numPr>
          <w:ilvl w:val="0"/>
          <w:numId w:val="0"/>
        </w:numPr>
      </w:pPr>
      <w:bookmarkStart w:id="8" w:name="_Toc63667660"/>
      <w:bookmarkStart w:id="9" w:name="_Toc378320329"/>
      <w:bookmarkStart w:id="10" w:name="_Toc346191214"/>
      <w:bookmarkStart w:id="11" w:name="_Toc330548327"/>
      <w:bookmarkStart w:id="12" w:name="_Toc465170194"/>
      <w:r>
        <w:lastRenderedPageBreak/>
        <w:t>2.3</w:t>
      </w:r>
      <w:r>
        <w:tab/>
      </w:r>
      <w:r w:rsidR="00D37B54">
        <w:t>Klassifikation</w:t>
      </w:r>
      <w:bookmarkEnd w:id="8"/>
    </w:p>
    <w:p w14:paraId="78B0CB7F" w14:textId="77777777" w:rsidR="00A04F27" w:rsidRPr="00A04F27" w:rsidRDefault="00D37B54" w:rsidP="00D37B54">
      <w:pPr>
        <w:pStyle w:val="berschrift3"/>
        <w:numPr>
          <w:ilvl w:val="0"/>
          <w:numId w:val="0"/>
        </w:numPr>
      </w:pPr>
      <w:bookmarkStart w:id="13" w:name="_Toc63667661"/>
      <w:r>
        <w:t>2.3.1</w:t>
      </w:r>
      <w:r>
        <w:tab/>
      </w:r>
      <w:r w:rsidR="00A04F27">
        <w:t>WHO-</w:t>
      </w:r>
      <w:r w:rsidR="00A04F27" w:rsidRPr="00A04F27">
        <w:t xml:space="preserve">Klassifikation 2016: </w:t>
      </w:r>
      <w:bookmarkEnd w:id="9"/>
      <w:bookmarkEnd w:id="10"/>
      <w:bookmarkEnd w:id="11"/>
      <w:bookmarkEnd w:id="12"/>
      <w:r w:rsidR="00A04F27" w:rsidRPr="00A04F27">
        <w:t>AML</w:t>
      </w:r>
      <w:bookmarkEnd w:id="13"/>
    </w:p>
    <w:p w14:paraId="317BC89D" w14:textId="77777777" w:rsidR="00A04F27" w:rsidRPr="0079311F" w:rsidRDefault="00A04F27" w:rsidP="00A04F27">
      <w:r>
        <w:rPr>
          <w:noProof/>
          <w:lang w:eastAsia="de-AT"/>
        </w:rPr>
        <w:drawing>
          <wp:inline distT="0" distB="0" distL="0" distR="0" wp14:anchorId="0936F57E" wp14:editId="1C74A65C">
            <wp:extent cx="6077740" cy="3451860"/>
            <wp:effectExtent l="19050" t="19050" r="18415" b="1524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6139" t="22962" r="30819" b="13386"/>
                    <a:stretch/>
                  </pic:blipFill>
                  <pic:spPr bwMode="auto">
                    <a:xfrm>
                      <a:off x="0" y="0"/>
                      <a:ext cx="6076444" cy="345112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4CC0413" w14:textId="77777777" w:rsidR="001C725E" w:rsidRDefault="001C725E" w:rsidP="001C725E">
      <w:pPr>
        <w:spacing w:after="200" w:line="276" w:lineRule="auto"/>
        <w:jc w:val="right"/>
        <w:rPr>
          <w:rFonts w:asciiTheme="minorHAnsi" w:hAnsiTheme="minorHAnsi"/>
          <w:sz w:val="18"/>
          <w:szCs w:val="18"/>
          <w:lang w:val="en-US"/>
        </w:rPr>
      </w:pPr>
      <w:r w:rsidRPr="00A04F27">
        <w:rPr>
          <w:rFonts w:asciiTheme="minorHAnsi" w:hAnsiTheme="minorHAnsi"/>
          <w:sz w:val="18"/>
          <w:szCs w:val="18"/>
          <w:lang w:val="en-GB"/>
        </w:rPr>
        <w:t xml:space="preserve">Arber et al. BLOOD, </w:t>
      </w:r>
      <w:r w:rsidRPr="00A04F27">
        <w:rPr>
          <w:rFonts w:asciiTheme="minorHAnsi" w:hAnsiTheme="minorHAnsi"/>
          <w:sz w:val="18"/>
          <w:szCs w:val="18"/>
          <w:lang w:val="en-US"/>
        </w:rPr>
        <w:t>19 May 2016, Volume 127, Number 20</w:t>
      </w:r>
    </w:p>
    <w:p w14:paraId="51C55353" w14:textId="77777777" w:rsidR="00E834DE" w:rsidRDefault="00E834DE" w:rsidP="001C725E">
      <w:pPr>
        <w:spacing w:after="200" w:line="276" w:lineRule="auto"/>
        <w:jc w:val="right"/>
        <w:rPr>
          <w:rFonts w:asciiTheme="minorHAnsi" w:hAnsiTheme="minorHAnsi"/>
          <w:sz w:val="18"/>
          <w:szCs w:val="18"/>
          <w:lang w:val="en-US"/>
        </w:rPr>
      </w:pPr>
    </w:p>
    <w:p w14:paraId="1A1A6BE6" w14:textId="77777777" w:rsidR="00E834DE" w:rsidRPr="00176746" w:rsidRDefault="006B5078" w:rsidP="006B5078">
      <w:pPr>
        <w:pStyle w:val="berschrift3"/>
        <w:numPr>
          <w:ilvl w:val="0"/>
          <w:numId w:val="0"/>
        </w:numPr>
        <w:rPr>
          <w:color w:val="000000" w:themeColor="text1"/>
        </w:rPr>
      </w:pPr>
      <w:bookmarkStart w:id="14" w:name="_Toc63667662"/>
      <w:r w:rsidRPr="00176746">
        <w:rPr>
          <w:color w:val="000000" w:themeColor="text1"/>
        </w:rPr>
        <w:t>2.3.2</w:t>
      </w:r>
      <w:r w:rsidRPr="00176746">
        <w:rPr>
          <w:color w:val="000000" w:themeColor="text1"/>
        </w:rPr>
        <w:tab/>
      </w:r>
      <w:r w:rsidR="00E834DE" w:rsidRPr="00176746">
        <w:rPr>
          <w:color w:val="000000" w:themeColor="text1"/>
        </w:rPr>
        <w:t>Ergänzungen zur WHO Klassifikation (wichtig für die Entscheidung bezüglich CPX 351</w:t>
      </w:r>
      <w:r w:rsidRPr="00176746">
        <w:rPr>
          <w:color w:val="000000" w:themeColor="text1"/>
        </w:rPr>
        <w:t>)</w:t>
      </w:r>
      <w:bookmarkEnd w:id="14"/>
    </w:p>
    <w:p w14:paraId="02AA1ABE" w14:textId="77777777" w:rsidR="00E834DE" w:rsidRPr="00176746" w:rsidRDefault="00E834DE" w:rsidP="006B5078">
      <w:pPr>
        <w:spacing w:line="276" w:lineRule="auto"/>
        <w:jc w:val="left"/>
        <w:rPr>
          <w:rFonts w:asciiTheme="minorHAnsi" w:hAnsiTheme="minorHAnsi"/>
          <w:color w:val="000000" w:themeColor="text1"/>
          <w:szCs w:val="22"/>
        </w:rPr>
      </w:pPr>
      <w:r w:rsidRPr="00176746">
        <w:rPr>
          <w:rFonts w:asciiTheme="minorHAnsi" w:hAnsiTheme="minorHAnsi"/>
          <w:b/>
          <w:bCs/>
          <w:color w:val="000000" w:themeColor="text1"/>
          <w:szCs w:val="22"/>
        </w:rPr>
        <w:t>AML-MRC</w:t>
      </w:r>
      <w:r w:rsidRPr="00176746">
        <w:rPr>
          <w:rFonts w:asciiTheme="minorHAnsi" w:hAnsiTheme="minorHAnsi"/>
          <w:color w:val="000000" w:themeColor="text1"/>
          <w:szCs w:val="22"/>
        </w:rPr>
        <w:t xml:space="preserve"> nach WHO (≥20% Myeloblasten in KM oder PB) und mindestens eines der folgenden Kriterien:</w:t>
      </w:r>
    </w:p>
    <w:p w14:paraId="52D0A9BD" w14:textId="77777777" w:rsidR="00E834DE" w:rsidRPr="00176746" w:rsidRDefault="00E834DE" w:rsidP="006B5078">
      <w:pPr>
        <w:pStyle w:val="Default"/>
        <w:numPr>
          <w:ilvl w:val="0"/>
          <w:numId w:val="5"/>
        </w:numPr>
        <w:spacing w:line="276" w:lineRule="auto"/>
        <w:ind w:left="284" w:hanging="284"/>
        <w:jc w:val="both"/>
        <w:rPr>
          <w:rFonts w:asciiTheme="minorHAnsi" w:hAnsiTheme="minorHAnsi"/>
          <w:bCs/>
          <w:color w:val="000000" w:themeColor="text1"/>
          <w:sz w:val="22"/>
          <w:szCs w:val="22"/>
        </w:rPr>
      </w:pPr>
      <w:r w:rsidRPr="00176746">
        <w:rPr>
          <w:rFonts w:asciiTheme="minorHAnsi" w:hAnsiTheme="minorHAnsi"/>
          <w:bCs/>
          <w:color w:val="000000" w:themeColor="text1"/>
          <w:sz w:val="22"/>
          <w:szCs w:val="22"/>
        </w:rPr>
        <w:t>MDS oder MDS/MPN im Vorverlauf</w:t>
      </w:r>
    </w:p>
    <w:p w14:paraId="2A0C92C7" w14:textId="77777777" w:rsidR="00E834DE" w:rsidRPr="00176746" w:rsidRDefault="00E834DE" w:rsidP="006B5078">
      <w:pPr>
        <w:pStyle w:val="Default"/>
        <w:numPr>
          <w:ilvl w:val="0"/>
          <w:numId w:val="5"/>
        </w:numPr>
        <w:spacing w:line="276" w:lineRule="auto"/>
        <w:ind w:left="284" w:hanging="284"/>
        <w:jc w:val="both"/>
        <w:rPr>
          <w:rFonts w:asciiTheme="minorHAnsi" w:hAnsiTheme="minorHAnsi"/>
          <w:bCs/>
          <w:color w:val="000000" w:themeColor="text1"/>
          <w:sz w:val="22"/>
          <w:szCs w:val="22"/>
        </w:rPr>
      </w:pPr>
      <w:r w:rsidRPr="00176746">
        <w:rPr>
          <w:rFonts w:asciiTheme="minorHAnsi" w:hAnsiTheme="minorHAnsi"/>
          <w:bCs/>
          <w:color w:val="000000" w:themeColor="text1"/>
          <w:sz w:val="22"/>
          <w:szCs w:val="22"/>
        </w:rPr>
        <w:t>Myelodysplasie-assoziierte zytogenetische Veränderungen (s.u.)</w:t>
      </w:r>
    </w:p>
    <w:p w14:paraId="3F67A1FA" w14:textId="77777777" w:rsidR="00E834DE" w:rsidRPr="00176746" w:rsidRDefault="00E834DE" w:rsidP="006B5078">
      <w:pPr>
        <w:pStyle w:val="Default"/>
        <w:numPr>
          <w:ilvl w:val="0"/>
          <w:numId w:val="5"/>
        </w:numPr>
        <w:spacing w:line="276" w:lineRule="auto"/>
        <w:ind w:left="284" w:hanging="284"/>
        <w:jc w:val="both"/>
        <w:rPr>
          <w:rFonts w:asciiTheme="minorHAnsi" w:hAnsiTheme="minorHAnsi"/>
          <w:bCs/>
          <w:color w:val="000000" w:themeColor="text1"/>
          <w:sz w:val="22"/>
          <w:szCs w:val="22"/>
        </w:rPr>
      </w:pPr>
      <w:r w:rsidRPr="00176746">
        <w:rPr>
          <w:rFonts w:asciiTheme="minorHAnsi" w:hAnsiTheme="minorHAnsi"/>
          <w:bCs/>
          <w:color w:val="000000" w:themeColor="text1"/>
          <w:sz w:val="22"/>
          <w:szCs w:val="22"/>
        </w:rPr>
        <w:t>Multilineäre Dysplasie im KM bei AML-Erstdiagnose (≥ 50% Dysplasien in ≥ 2 hämatopoetischen Reihen) in Abwesenheit recurrenter genetischer Aberrationen</w:t>
      </w:r>
    </w:p>
    <w:p w14:paraId="05BDCAD1" w14:textId="77777777" w:rsidR="00E834DE" w:rsidRPr="00176746" w:rsidRDefault="00E834DE" w:rsidP="006B5078">
      <w:pPr>
        <w:spacing w:before="240" w:line="276" w:lineRule="auto"/>
        <w:jc w:val="left"/>
        <w:rPr>
          <w:rFonts w:asciiTheme="minorHAnsi" w:hAnsiTheme="minorHAnsi"/>
          <w:color w:val="000000" w:themeColor="text1"/>
          <w:szCs w:val="22"/>
        </w:rPr>
      </w:pPr>
      <w:r w:rsidRPr="00176746">
        <w:rPr>
          <w:rFonts w:asciiTheme="minorHAnsi" w:hAnsiTheme="minorHAnsi"/>
          <w:b/>
          <w:bCs/>
          <w:color w:val="000000" w:themeColor="text1"/>
          <w:szCs w:val="22"/>
        </w:rPr>
        <w:t>Folgende zytogenetische Veränderungen gelten laut WHO als Myelodysplasie-assoziiert</w:t>
      </w:r>
      <w:r w:rsidRPr="00176746">
        <w:rPr>
          <w:rFonts w:asciiTheme="minorHAnsi" w:hAnsiTheme="minorHAnsi"/>
          <w:color w:val="000000" w:themeColor="text1"/>
          <w:szCs w:val="22"/>
        </w:rPr>
        <w:t>:</w:t>
      </w:r>
    </w:p>
    <w:p w14:paraId="5D1A62FB" w14:textId="77777777" w:rsidR="00E834DE" w:rsidRPr="00176746" w:rsidRDefault="00E834DE" w:rsidP="006B5078">
      <w:pPr>
        <w:pStyle w:val="Default"/>
        <w:numPr>
          <w:ilvl w:val="0"/>
          <w:numId w:val="5"/>
        </w:numPr>
        <w:spacing w:line="276" w:lineRule="auto"/>
        <w:ind w:left="284" w:hanging="284"/>
        <w:jc w:val="both"/>
        <w:rPr>
          <w:rFonts w:asciiTheme="minorHAnsi" w:hAnsiTheme="minorHAnsi"/>
          <w:bCs/>
          <w:color w:val="000000" w:themeColor="text1"/>
          <w:sz w:val="22"/>
          <w:szCs w:val="22"/>
        </w:rPr>
      </w:pPr>
      <w:r w:rsidRPr="00176746">
        <w:rPr>
          <w:rFonts w:asciiTheme="minorHAnsi" w:hAnsiTheme="minorHAnsi"/>
          <w:bCs/>
          <w:color w:val="000000" w:themeColor="text1"/>
          <w:sz w:val="22"/>
          <w:szCs w:val="22"/>
        </w:rPr>
        <w:t>Komplexer Karyotyp (definiert als 3 oder mehr chromosomale Aberrationen ohne gleichzeitiges Vorliegen einer der genetischen Marker aus der WHO-Entität „Acute Myeloid Leukemia with recurrent genetic aberrations“)</w:t>
      </w:r>
    </w:p>
    <w:p w14:paraId="585413B8" w14:textId="77777777" w:rsidR="00E834DE" w:rsidRPr="00176746" w:rsidRDefault="00E834DE" w:rsidP="006B5078">
      <w:pPr>
        <w:pStyle w:val="Default"/>
        <w:numPr>
          <w:ilvl w:val="0"/>
          <w:numId w:val="5"/>
        </w:numPr>
        <w:spacing w:line="276" w:lineRule="auto"/>
        <w:ind w:left="284" w:hanging="284"/>
        <w:jc w:val="both"/>
        <w:rPr>
          <w:rFonts w:asciiTheme="minorHAnsi" w:hAnsiTheme="minorHAnsi"/>
          <w:bCs/>
          <w:color w:val="000000" w:themeColor="text1"/>
          <w:sz w:val="22"/>
          <w:szCs w:val="22"/>
          <w:lang w:val="en-GB"/>
        </w:rPr>
      </w:pPr>
      <w:r w:rsidRPr="00176746">
        <w:rPr>
          <w:rFonts w:asciiTheme="minorHAnsi" w:hAnsiTheme="minorHAnsi"/>
          <w:bCs/>
          <w:color w:val="000000" w:themeColor="text1"/>
          <w:sz w:val="22"/>
          <w:szCs w:val="22"/>
          <w:lang w:val="en-GB"/>
        </w:rPr>
        <w:t>Unbalancierte Aberrationen: -7 or del(7q); -5 or del(5q); i(17q) or t(17p); -13 or del(13q); del(11q); del(12p) or t(12p); idic(X)(q13)</w:t>
      </w:r>
    </w:p>
    <w:p w14:paraId="2C856033" w14:textId="77777777" w:rsidR="00E834DE" w:rsidRPr="00176746" w:rsidRDefault="00E834DE" w:rsidP="006B5078">
      <w:pPr>
        <w:pStyle w:val="Default"/>
        <w:numPr>
          <w:ilvl w:val="0"/>
          <w:numId w:val="5"/>
        </w:numPr>
        <w:spacing w:line="276" w:lineRule="auto"/>
        <w:ind w:left="284" w:hanging="284"/>
        <w:jc w:val="both"/>
        <w:rPr>
          <w:rFonts w:asciiTheme="minorHAnsi" w:hAnsiTheme="minorHAnsi"/>
          <w:bCs/>
          <w:color w:val="000000" w:themeColor="text1"/>
          <w:sz w:val="22"/>
          <w:szCs w:val="22"/>
        </w:rPr>
      </w:pPr>
      <w:r w:rsidRPr="00176746">
        <w:rPr>
          <w:rFonts w:asciiTheme="minorHAnsi" w:hAnsiTheme="minorHAnsi"/>
          <w:bCs/>
          <w:color w:val="000000" w:themeColor="text1"/>
          <w:sz w:val="22"/>
          <w:szCs w:val="22"/>
        </w:rPr>
        <w:t>Balancierte Aberrationen: t(11;16) (q23.3;p13.3); t(3;21)(q26.2;q22.1); t(1;3) (p36.3;q21.2); t(2;11)(p21;q23.3); t(5;12) (q32;p13.2); t(5;7)(q32;q11.2); t(5;17) (q32;p13.2); t(5;10)(q32;q21.2); t(3;5) (q25.3;q35.1)</w:t>
      </w:r>
    </w:p>
    <w:p w14:paraId="13C83CA7" w14:textId="77777777" w:rsidR="00E834DE" w:rsidRPr="00E834DE" w:rsidRDefault="00E834DE" w:rsidP="001C725E">
      <w:pPr>
        <w:spacing w:after="200" w:line="276" w:lineRule="auto"/>
        <w:jc w:val="right"/>
        <w:rPr>
          <w:rFonts w:asciiTheme="minorHAnsi" w:hAnsiTheme="minorHAnsi"/>
          <w:sz w:val="18"/>
          <w:szCs w:val="18"/>
        </w:rPr>
      </w:pPr>
    </w:p>
    <w:p w14:paraId="03CB8805" w14:textId="77777777" w:rsidR="00E834DE" w:rsidRPr="00AE3DFF" w:rsidRDefault="00E834DE" w:rsidP="001C725E">
      <w:pPr>
        <w:spacing w:after="200" w:line="276" w:lineRule="auto"/>
        <w:jc w:val="right"/>
        <w:rPr>
          <w:rFonts w:asciiTheme="minorHAnsi" w:hAnsiTheme="minorHAnsi"/>
          <w:sz w:val="18"/>
          <w:szCs w:val="18"/>
        </w:rPr>
      </w:pPr>
    </w:p>
    <w:p w14:paraId="322DE7E2" w14:textId="77777777" w:rsidR="00A04F27" w:rsidRPr="00AE3DFF" w:rsidRDefault="00A04F27" w:rsidP="00D37B54">
      <w:pPr>
        <w:spacing w:after="120" w:line="276" w:lineRule="auto"/>
        <w:jc w:val="right"/>
        <w:rPr>
          <w:rFonts w:asciiTheme="minorHAnsi" w:hAnsiTheme="minorHAnsi"/>
          <w:sz w:val="16"/>
          <w:szCs w:val="16"/>
        </w:rPr>
      </w:pPr>
    </w:p>
    <w:p w14:paraId="26258831" w14:textId="77777777" w:rsidR="00A04F27" w:rsidRPr="006B5078" w:rsidRDefault="006B5078" w:rsidP="006B5078">
      <w:pPr>
        <w:pStyle w:val="berschrift3"/>
        <w:numPr>
          <w:ilvl w:val="0"/>
          <w:numId w:val="0"/>
        </w:numPr>
        <w:rPr>
          <w:color w:val="000000" w:themeColor="text1"/>
        </w:rPr>
      </w:pPr>
      <w:bookmarkStart w:id="15" w:name="_Toc465170195"/>
      <w:bookmarkStart w:id="16" w:name="_Toc63667663"/>
      <w:r w:rsidRPr="006B5078">
        <w:rPr>
          <w:color w:val="000000" w:themeColor="text1"/>
        </w:rPr>
        <w:lastRenderedPageBreak/>
        <w:t>2.3.3</w:t>
      </w:r>
      <w:r w:rsidRPr="006B5078">
        <w:rPr>
          <w:color w:val="000000" w:themeColor="text1"/>
        </w:rPr>
        <w:tab/>
      </w:r>
      <w:r w:rsidR="00A04F27" w:rsidRPr="006B5078">
        <w:rPr>
          <w:color w:val="000000" w:themeColor="text1"/>
        </w:rPr>
        <w:t>Differentialdiagnose MDS</w:t>
      </w:r>
      <w:r w:rsidR="00750A7E" w:rsidRPr="006B5078">
        <w:rPr>
          <w:color w:val="000000" w:themeColor="text1"/>
        </w:rPr>
        <w:t xml:space="preserve"> -</w:t>
      </w:r>
      <w:r w:rsidR="00A04F27" w:rsidRPr="006B5078">
        <w:rPr>
          <w:color w:val="000000" w:themeColor="text1"/>
        </w:rPr>
        <w:t xml:space="preserve"> AML mit Myelodysplasie</w:t>
      </w:r>
      <w:r w:rsidR="00750A7E" w:rsidRPr="006B5078">
        <w:rPr>
          <w:color w:val="000000" w:themeColor="text1"/>
        </w:rPr>
        <w:t xml:space="preserve"> - </w:t>
      </w:r>
      <w:r w:rsidR="00A04F27" w:rsidRPr="006B5078">
        <w:rPr>
          <w:color w:val="000000" w:themeColor="text1"/>
        </w:rPr>
        <w:t>Akute Erythroleukämie</w:t>
      </w:r>
      <w:bookmarkStart w:id="17" w:name="_Toc378320330"/>
      <w:bookmarkStart w:id="18" w:name="_Toc346191215"/>
      <w:bookmarkStart w:id="19" w:name="_Toc330548328"/>
      <w:bookmarkEnd w:id="15"/>
      <w:bookmarkEnd w:id="16"/>
    </w:p>
    <w:p w14:paraId="08E69765" w14:textId="77777777" w:rsidR="00A04F27" w:rsidRDefault="00A04F27" w:rsidP="00A04F27">
      <w:r>
        <w:rPr>
          <w:noProof/>
          <w:lang w:eastAsia="de-AT"/>
        </w:rPr>
        <w:drawing>
          <wp:inline distT="0" distB="0" distL="0" distR="0" wp14:anchorId="421EEB1E" wp14:editId="372EB39E">
            <wp:extent cx="6080760" cy="2857500"/>
            <wp:effectExtent l="19050" t="19050" r="15240" b="19050"/>
            <wp:docPr id="10" name="Grafik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rotWithShape="1">
                    <a:blip r:embed="rId19" cstate="screen">
                      <a:extLst>
                        <a:ext uri="{28A0092B-C50C-407E-A947-70E740481C1C}">
                          <a14:useLocalDpi xmlns:a14="http://schemas.microsoft.com/office/drawing/2010/main" val="0"/>
                        </a:ext>
                      </a:extLst>
                    </a:blip>
                    <a:srcRect l="5885" t="34853" r="30322" b="11644"/>
                    <a:stretch/>
                  </pic:blipFill>
                  <pic:spPr bwMode="auto">
                    <a:xfrm>
                      <a:off x="0" y="0"/>
                      <a:ext cx="6080760" cy="28575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114ABE22" w14:textId="77777777" w:rsidR="006B5078" w:rsidRDefault="006B5078" w:rsidP="006B5078">
      <w:pPr>
        <w:spacing w:line="240" w:lineRule="auto"/>
        <w:jc w:val="left"/>
      </w:pPr>
      <w:bookmarkStart w:id="20" w:name="_Toc378320331"/>
      <w:bookmarkStart w:id="21" w:name="_Toc465170197"/>
      <w:bookmarkEnd w:id="17"/>
      <w:bookmarkEnd w:id="18"/>
      <w:bookmarkEnd w:id="19"/>
    </w:p>
    <w:p w14:paraId="7B6CD9EB" w14:textId="77777777" w:rsidR="00A04F27" w:rsidRPr="001C725E" w:rsidRDefault="00D37B54" w:rsidP="006B5078">
      <w:pPr>
        <w:pStyle w:val="berschrift2"/>
        <w:numPr>
          <w:ilvl w:val="0"/>
          <w:numId w:val="0"/>
        </w:numPr>
        <w:ind w:left="360" w:hanging="360"/>
      </w:pPr>
      <w:bookmarkStart w:id="22" w:name="_Toc63667664"/>
      <w:r>
        <w:t>2.</w:t>
      </w:r>
      <w:r w:rsidR="00ED757E">
        <w:t>4</w:t>
      </w:r>
      <w:r w:rsidR="006B5078">
        <w:tab/>
      </w:r>
      <w:r w:rsidR="006B5078">
        <w:tab/>
      </w:r>
      <w:r w:rsidR="00A04F27" w:rsidRPr="001C725E">
        <w:t>Risikoscoring</w:t>
      </w:r>
      <w:bookmarkEnd w:id="20"/>
      <w:bookmarkEnd w:id="21"/>
      <w:r w:rsidR="00A04F27" w:rsidRPr="001C725E">
        <w:t xml:space="preserve"> (ELN 2017)</w:t>
      </w:r>
      <w:bookmarkEnd w:id="22"/>
    </w:p>
    <w:p w14:paraId="19F0F5B9" w14:textId="77777777" w:rsidR="00A04F27" w:rsidRDefault="006B5078" w:rsidP="00A04F27">
      <w:pPr>
        <w:spacing w:line="276" w:lineRule="auto"/>
        <w:jc w:val="left"/>
        <w:rPr>
          <w:rFonts w:asciiTheme="minorHAnsi" w:hAnsiTheme="minorHAnsi" w:cstheme="minorHAnsi"/>
          <w:b/>
          <w:lang w:val="en-US"/>
        </w:rPr>
      </w:pPr>
      <w:r>
        <w:rPr>
          <w:noProof/>
          <w:lang w:eastAsia="de-AT"/>
        </w:rPr>
        <mc:AlternateContent>
          <mc:Choice Requires="wps">
            <w:drawing>
              <wp:anchor distT="0" distB="0" distL="114300" distR="114300" simplePos="0" relativeHeight="251660288" behindDoc="0" locked="0" layoutInCell="1" allowOverlap="1" wp14:anchorId="15AD8673" wp14:editId="3D0B9948">
                <wp:simplePos x="0" y="0"/>
                <wp:positionH relativeFrom="margin">
                  <wp:align>right</wp:align>
                </wp:positionH>
                <wp:positionV relativeFrom="paragraph">
                  <wp:posOffset>10812</wp:posOffset>
                </wp:positionV>
                <wp:extent cx="2627871" cy="4250724"/>
                <wp:effectExtent l="0" t="0" r="1270" b="0"/>
                <wp:wrapNone/>
                <wp:docPr id="36" name="Textfeld 36"/>
                <wp:cNvGraphicFramePr/>
                <a:graphic xmlns:a="http://schemas.openxmlformats.org/drawingml/2006/main">
                  <a:graphicData uri="http://schemas.microsoft.com/office/word/2010/wordprocessingShape">
                    <wps:wsp>
                      <wps:cNvSpPr txBox="1"/>
                      <wps:spPr>
                        <a:xfrm>
                          <a:off x="0" y="0"/>
                          <a:ext cx="2627871" cy="42507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06C093" w14:textId="77777777" w:rsidR="008D7252" w:rsidRPr="005C0B2F" w:rsidRDefault="008D7252" w:rsidP="00874AEB">
                            <w:pPr>
                              <w:autoSpaceDE w:val="0"/>
                              <w:autoSpaceDN w:val="0"/>
                              <w:adjustRightInd w:val="0"/>
                              <w:spacing w:line="240" w:lineRule="auto"/>
                              <w:jc w:val="left"/>
                              <w:rPr>
                                <w:rFonts w:asciiTheme="minorHAnsi" w:hAnsiTheme="minorHAnsi" w:cstheme="minorHAnsi"/>
                                <w:sz w:val="18"/>
                                <w:szCs w:val="18"/>
                                <w:lang w:val="en-GB" w:eastAsia="de-AT"/>
                              </w:rPr>
                            </w:pPr>
                            <w:r w:rsidRPr="00874AEB">
                              <w:rPr>
                                <w:rFonts w:asciiTheme="minorHAnsi" w:hAnsiTheme="minorHAnsi" w:cstheme="minorHAnsi"/>
                                <w:b/>
                                <w:sz w:val="18"/>
                                <w:szCs w:val="18"/>
                                <w:lang w:val="en-GB" w:eastAsia="de-AT"/>
                              </w:rPr>
                              <w:t>*</w:t>
                            </w:r>
                            <w:r>
                              <w:rPr>
                                <w:rFonts w:asciiTheme="minorHAnsi" w:hAnsiTheme="minorHAnsi" w:cstheme="minorHAnsi"/>
                                <w:b/>
                                <w:sz w:val="18"/>
                                <w:szCs w:val="18"/>
                                <w:lang w:val="en-GB" w:eastAsia="de-AT"/>
                              </w:rPr>
                              <w:t xml:space="preserve"> </w:t>
                            </w:r>
                            <w:r w:rsidRPr="005C0B2F">
                              <w:rPr>
                                <w:rFonts w:asciiTheme="minorHAnsi" w:hAnsiTheme="minorHAnsi" w:cstheme="minorHAnsi"/>
                                <w:sz w:val="18"/>
                                <w:szCs w:val="18"/>
                                <w:lang w:val="en-GB" w:eastAsia="de-AT"/>
                              </w:rPr>
                              <w:t>Prognostic impact of a marker is treatment-dependent and may change with new therapies.</w:t>
                            </w:r>
                          </w:p>
                          <w:p w14:paraId="1116855F" w14:textId="77777777" w:rsidR="008D7252" w:rsidRPr="005C0B2F" w:rsidRDefault="008D7252" w:rsidP="00874AEB">
                            <w:pPr>
                              <w:autoSpaceDE w:val="0"/>
                              <w:autoSpaceDN w:val="0"/>
                              <w:adjustRightInd w:val="0"/>
                              <w:spacing w:line="240" w:lineRule="auto"/>
                              <w:jc w:val="left"/>
                              <w:rPr>
                                <w:rFonts w:asciiTheme="minorHAnsi" w:hAnsiTheme="minorHAnsi" w:cstheme="minorHAnsi"/>
                                <w:sz w:val="18"/>
                                <w:szCs w:val="18"/>
                                <w:lang w:val="en-GB" w:eastAsia="de-AT"/>
                              </w:rPr>
                            </w:pPr>
                            <w:r w:rsidRPr="00874AEB">
                              <w:rPr>
                                <w:rFonts w:asciiTheme="minorHAnsi" w:hAnsiTheme="minorHAnsi" w:cstheme="minorHAnsi"/>
                                <w:b/>
                                <w:sz w:val="18"/>
                                <w:szCs w:val="18"/>
                                <w:lang w:val="en-GB" w:eastAsia="de-AT"/>
                              </w:rPr>
                              <w:t>†</w:t>
                            </w:r>
                            <w:r>
                              <w:rPr>
                                <w:rFonts w:asciiTheme="minorHAnsi" w:hAnsiTheme="minorHAnsi" w:cstheme="minorHAnsi"/>
                                <w:b/>
                                <w:sz w:val="18"/>
                                <w:szCs w:val="18"/>
                                <w:lang w:val="en-GB" w:eastAsia="de-AT"/>
                              </w:rPr>
                              <w:t xml:space="preserve"> </w:t>
                            </w:r>
                            <w:r w:rsidRPr="005C0B2F">
                              <w:rPr>
                                <w:rFonts w:asciiTheme="minorHAnsi" w:hAnsiTheme="minorHAnsi" w:cstheme="minorHAnsi"/>
                                <w:sz w:val="18"/>
                                <w:szCs w:val="18"/>
                                <w:lang w:val="en-GB" w:eastAsia="de-AT"/>
                              </w:rPr>
                              <w:t>Low, low allelic ratio (,0.5); high, high allelic ratio ($0.5); semiquantitative</w:t>
                            </w:r>
                            <w:r>
                              <w:rPr>
                                <w:rFonts w:asciiTheme="minorHAnsi" w:hAnsiTheme="minorHAnsi" w:cstheme="minorHAnsi"/>
                                <w:sz w:val="18"/>
                                <w:szCs w:val="18"/>
                                <w:lang w:val="en-GB" w:eastAsia="de-AT"/>
                              </w:rPr>
                              <w:t xml:space="preserve"> </w:t>
                            </w:r>
                            <w:r w:rsidRPr="005C0B2F">
                              <w:rPr>
                                <w:rFonts w:asciiTheme="minorHAnsi" w:hAnsiTheme="minorHAnsi" w:cstheme="minorHAnsi"/>
                                <w:sz w:val="18"/>
                                <w:szCs w:val="18"/>
                                <w:lang w:val="en-GB" w:eastAsia="de-AT"/>
                              </w:rPr>
                              <w:t>assessment of FLT3-ITD allelic ratio (using DNA fragment analysis) is determined as</w:t>
                            </w:r>
                            <w:r>
                              <w:rPr>
                                <w:rFonts w:asciiTheme="minorHAnsi" w:hAnsiTheme="minorHAnsi" w:cstheme="minorHAnsi"/>
                                <w:sz w:val="18"/>
                                <w:szCs w:val="18"/>
                                <w:lang w:val="en-GB" w:eastAsia="de-AT"/>
                              </w:rPr>
                              <w:t xml:space="preserve"> </w:t>
                            </w:r>
                            <w:r w:rsidRPr="005C0B2F">
                              <w:rPr>
                                <w:rFonts w:asciiTheme="minorHAnsi" w:hAnsiTheme="minorHAnsi" w:cstheme="minorHAnsi"/>
                                <w:sz w:val="18"/>
                                <w:szCs w:val="18"/>
                                <w:lang w:val="en-GB" w:eastAsia="de-AT"/>
                              </w:rPr>
                              <w:t>ratio of the area under the curve “FLT3-ITD” divided by area under the curve “FLT3-</w:t>
                            </w:r>
                          </w:p>
                          <w:p w14:paraId="2807494E" w14:textId="77777777" w:rsidR="008D7252" w:rsidRPr="005C0B2F" w:rsidRDefault="008D7252" w:rsidP="00874AEB">
                            <w:pPr>
                              <w:autoSpaceDE w:val="0"/>
                              <w:autoSpaceDN w:val="0"/>
                              <w:adjustRightInd w:val="0"/>
                              <w:spacing w:line="240" w:lineRule="auto"/>
                              <w:jc w:val="left"/>
                              <w:rPr>
                                <w:rFonts w:asciiTheme="minorHAnsi" w:hAnsiTheme="minorHAnsi" w:cstheme="minorHAnsi"/>
                                <w:sz w:val="18"/>
                                <w:szCs w:val="18"/>
                                <w:lang w:val="en-GB" w:eastAsia="de-AT"/>
                              </w:rPr>
                            </w:pPr>
                            <w:r w:rsidRPr="005C0B2F">
                              <w:rPr>
                                <w:rFonts w:asciiTheme="minorHAnsi" w:hAnsiTheme="minorHAnsi" w:cstheme="minorHAnsi"/>
                                <w:sz w:val="18"/>
                                <w:szCs w:val="18"/>
                                <w:lang w:val="en-GB" w:eastAsia="de-AT"/>
                              </w:rPr>
                              <w:t>wild type”; recent studies indicate that AML with NPM1 mutation and FLT3-ITD low</w:t>
                            </w:r>
                            <w:r>
                              <w:rPr>
                                <w:rFonts w:asciiTheme="minorHAnsi" w:hAnsiTheme="minorHAnsi" w:cstheme="minorHAnsi"/>
                                <w:sz w:val="18"/>
                                <w:szCs w:val="18"/>
                                <w:lang w:val="en-GB" w:eastAsia="de-AT"/>
                              </w:rPr>
                              <w:t xml:space="preserve"> </w:t>
                            </w:r>
                            <w:r w:rsidRPr="005C0B2F">
                              <w:rPr>
                                <w:rFonts w:asciiTheme="minorHAnsi" w:hAnsiTheme="minorHAnsi" w:cstheme="minorHAnsi"/>
                                <w:sz w:val="18"/>
                                <w:szCs w:val="18"/>
                                <w:lang w:val="en-GB" w:eastAsia="de-AT"/>
                              </w:rPr>
                              <w:t>allelic ratio may also have a more favorable prognosis and patients should not</w:t>
                            </w:r>
                            <w:r>
                              <w:rPr>
                                <w:rFonts w:asciiTheme="minorHAnsi" w:hAnsiTheme="minorHAnsi" w:cstheme="minorHAnsi"/>
                                <w:sz w:val="18"/>
                                <w:szCs w:val="18"/>
                                <w:lang w:val="en-GB" w:eastAsia="de-AT"/>
                              </w:rPr>
                              <w:t xml:space="preserve"> </w:t>
                            </w:r>
                            <w:r w:rsidRPr="005C0B2F">
                              <w:rPr>
                                <w:rFonts w:asciiTheme="minorHAnsi" w:hAnsiTheme="minorHAnsi" w:cstheme="minorHAnsi"/>
                                <w:sz w:val="18"/>
                                <w:szCs w:val="18"/>
                                <w:lang w:val="en-GB" w:eastAsia="de-AT"/>
                              </w:rPr>
                              <w:t>routinely be assigned to allogeneic HCT.</w:t>
                            </w:r>
                          </w:p>
                          <w:p w14:paraId="3A940D3A" w14:textId="77777777" w:rsidR="008D7252" w:rsidRPr="005C0B2F" w:rsidRDefault="008D7252" w:rsidP="00874AEB">
                            <w:pPr>
                              <w:autoSpaceDE w:val="0"/>
                              <w:autoSpaceDN w:val="0"/>
                              <w:adjustRightInd w:val="0"/>
                              <w:spacing w:line="240" w:lineRule="auto"/>
                              <w:jc w:val="left"/>
                              <w:rPr>
                                <w:rFonts w:asciiTheme="minorHAnsi" w:hAnsiTheme="minorHAnsi" w:cstheme="minorHAnsi"/>
                                <w:sz w:val="18"/>
                                <w:szCs w:val="18"/>
                                <w:lang w:val="en-GB" w:eastAsia="de-AT"/>
                              </w:rPr>
                            </w:pPr>
                            <w:r w:rsidRPr="00874AEB">
                              <w:rPr>
                                <w:rFonts w:asciiTheme="minorHAnsi" w:hAnsiTheme="minorHAnsi" w:cstheme="minorHAnsi"/>
                                <w:b/>
                                <w:sz w:val="18"/>
                                <w:szCs w:val="18"/>
                                <w:lang w:val="en-GB" w:eastAsia="de-AT"/>
                              </w:rPr>
                              <w:t>‡</w:t>
                            </w:r>
                            <w:r>
                              <w:rPr>
                                <w:rFonts w:asciiTheme="minorHAnsi" w:hAnsiTheme="minorHAnsi" w:cstheme="minorHAnsi"/>
                                <w:b/>
                                <w:sz w:val="18"/>
                                <w:szCs w:val="18"/>
                                <w:lang w:val="en-GB" w:eastAsia="de-AT"/>
                              </w:rPr>
                              <w:t xml:space="preserve"> </w:t>
                            </w:r>
                            <w:r w:rsidRPr="005C0B2F">
                              <w:rPr>
                                <w:rFonts w:asciiTheme="minorHAnsi" w:hAnsiTheme="minorHAnsi" w:cstheme="minorHAnsi"/>
                                <w:sz w:val="18"/>
                                <w:szCs w:val="18"/>
                                <w:lang w:val="en-GB" w:eastAsia="de-AT"/>
                              </w:rPr>
                              <w:t>The presence of t(9;11)(p21.3;q23.3) takes precedence over rare, concurrent</w:t>
                            </w:r>
                            <w:r>
                              <w:rPr>
                                <w:rFonts w:asciiTheme="minorHAnsi" w:hAnsiTheme="minorHAnsi" w:cstheme="minorHAnsi"/>
                                <w:sz w:val="18"/>
                                <w:szCs w:val="18"/>
                                <w:lang w:val="en-GB" w:eastAsia="de-AT"/>
                              </w:rPr>
                              <w:t xml:space="preserve"> </w:t>
                            </w:r>
                            <w:r w:rsidRPr="005C0B2F">
                              <w:rPr>
                                <w:rFonts w:asciiTheme="minorHAnsi" w:hAnsiTheme="minorHAnsi" w:cstheme="minorHAnsi"/>
                                <w:sz w:val="18"/>
                                <w:szCs w:val="18"/>
                                <w:lang w:val="en-GB" w:eastAsia="de-AT"/>
                              </w:rPr>
                              <w:t>adverse-risk gene mutations.</w:t>
                            </w:r>
                          </w:p>
                          <w:p w14:paraId="5CCC4661" w14:textId="77777777" w:rsidR="008D7252" w:rsidRPr="005C0B2F" w:rsidRDefault="008D7252" w:rsidP="00874AEB">
                            <w:pPr>
                              <w:autoSpaceDE w:val="0"/>
                              <w:autoSpaceDN w:val="0"/>
                              <w:adjustRightInd w:val="0"/>
                              <w:spacing w:line="240" w:lineRule="auto"/>
                              <w:jc w:val="left"/>
                              <w:rPr>
                                <w:rFonts w:asciiTheme="minorHAnsi" w:hAnsiTheme="minorHAnsi" w:cstheme="minorHAnsi"/>
                                <w:sz w:val="18"/>
                                <w:szCs w:val="18"/>
                                <w:lang w:val="en-GB" w:eastAsia="de-AT"/>
                              </w:rPr>
                            </w:pPr>
                            <w:r w:rsidRPr="00874AEB">
                              <w:rPr>
                                <w:rFonts w:asciiTheme="minorHAnsi" w:hAnsiTheme="minorHAnsi" w:cstheme="minorHAnsi"/>
                                <w:b/>
                                <w:sz w:val="18"/>
                                <w:szCs w:val="18"/>
                                <w:lang w:val="en-GB" w:eastAsia="de-AT"/>
                              </w:rPr>
                              <w:t>§</w:t>
                            </w:r>
                            <w:r>
                              <w:rPr>
                                <w:rFonts w:asciiTheme="minorHAnsi" w:hAnsiTheme="minorHAnsi" w:cstheme="minorHAnsi"/>
                                <w:b/>
                                <w:sz w:val="18"/>
                                <w:szCs w:val="18"/>
                                <w:lang w:val="en-GB" w:eastAsia="de-AT"/>
                              </w:rPr>
                              <w:t xml:space="preserve"> </w:t>
                            </w:r>
                            <w:r w:rsidRPr="005C0B2F">
                              <w:rPr>
                                <w:rFonts w:asciiTheme="minorHAnsi" w:hAnsiTheme="minorHAnsi" w:cstheme="minorHAnsi"/>
                                <w:sz w:val="18"/>
                                <w:szCs w:val="18"/>
                                <w:lang w:val="en-GB" w:eastAsia="de-AT"/>
                              </w:rPr>
                              <w:t>Three or more unrelated chromosome abnormalities in the absence of 1 of the</w:t>
                            </w:r>
                            <w:r>
                              <w:rPr>
                                <w:rFonts w:asciiTheme="minorHAnsi" w:hAnsiTheme="minorHAnsi" w:cstheme="minorHAnsi"/>
                                <w:sz w:val="18"/>
                                <w:szCs w:val="18"/>
                                <w:lang w:val="en-GB" w:eastAsia="de-AT"/>
                              </w:rPr>
                              <w:t xml:space="preserve"> </w:t>
                            </w:r>
                            <w:r w:rsidRPr="005C0B2F">
                              <w:rPr>
                                <w:rFonts w:asciiTheme="minorHAnsi" w:hAnsiTheme="minorHAnsi" w:cstheme="minorHAnsi"/>
                                <w:sz w:val="18"/>
                                <w:szCs w:val="18"/>
                                <w:lang w:val="en-GB" w:eastAsia="de-AT"/>
                              </w:rPr>
                              <w:t>WHO-designated recurring translocations or inversions, that is, t(8;21), inv(16) or</w:t>
                            </w:r>
                            <w:r>
                              <w:rPr>
                                <w:rFonts w:asciiTheme="minorHAnsi" w:hAnsiTheme="minorHAnsi" w:cstheme="minorHAnsi"/>
                                <w:sz w:val="18"/>
                                <w:szCs w:val="18"/>
                                <w:lang w:val="en-GB" w:eastAsia="de-AT"/>
                              </w:rPr>
                              <w:t xml:space="preserve"> </w:t>
                            </w:r>
                            <w:r w:rsidRPr="005C0B2F">
                              <w:rPr>
                                <w:rFonts w:asciiTheme="minorHAnsi" w:hAnsiTheme="minorHAnsi" w:cstheme="minorHAnsi"/>
                                <w:sz w:val="18"/>
                                <w:szCs w:val="18"/>
                                <w:lang w:val="en-GB" w:eastAsia="de-AT"/>
                              </w:rPr>
                              <w:t>t(16;16), t(9;11), t(v;11)(v;q23.3), t(6;9), inv(3) or t(3;3); AML with BCR-ABL1.</w:t>
                            </w:r>
                          </w:p>
                          <w:p w14:paraId="23B4EF0D" w14:textId="77777777" w:rsidR="008D7252" w:rsidRDefault="008D7252" w:rsidP="00874AEB">
                            <w:pPr>
                              <w:autoSpaceDE w:val="0"/>
                              <w:autoSpaceDN w:val="0"/>
                              <w:adjustRightInd w:val="0"/>
                              <w:spacing w:line="240" w:lineRule="auto"/>
                              <w:jc w:val="left"/>
                              <w:rPr>
                                <w:rFonts w:asciiTheme="minorHAnsi" w:hAnsiTheme="minorHAnsi" w:cstheme="minorHAnsi"/>
                                <w:sz w:val="18"/>
                                <w:szCs w:val="18"/>
                                <w:lang w:val="en-GB" w:eastAsia="de-AT"/>
                              </w:rPr>
                            </w:pPr>
                            <w:r w:rsidRPr="00874AEB">
                              <w:rPr>
                                <w:rFonts w:asciiTheme="minorHAnsi" w:hAnsiTheme="minorHAnsi" w:cstheme="minorHAnsi"/>
                                <w:b/>
                                <w:sz w:val="18"/>
                                <w:szCs w:val="18"/>
                                <w:lang w:val="en-GB" w:eastAsia="de-AT"/>
                              </w:rPr>
                              <w:t>||</w:t>
                            </w:r>
                            <w:r>
                              <w:rPr>
                                <w:rFonts w:asciiTheme="minorHAnsi" w:hAnsiTheme="minorHAnsi" w:cstheme="minorHAnsi"/>
                                <w:b/>
                                <w:sz w:val="18"/>
                                <w:szCs w:val="18"/>
                                <w:lang w:val="en-GB" w:eastAsia="de-AT"/>
                              </w:rPr>
                              <w:t xml:space="preserve"> </w:t>
                            </w:r>
                            <w:r w:rsidRPr="005C0B2F">
                              <w:rPr>
                                <w:rFonts w:asciiTheme="minorHAnsi" w:hAnsiTheme="minorHAnsi" w:cstheme="minorHAnsi"/>
                                <w:sz w:val="18"/>
                                <w:szCs w:val="18"/>
                                <w:lang w:val="en-GB" w:eastAsia="de-AT"/>
                              </w:rPr>
                              <w:t>Defined by the presence of 1 single monosomy (excluding loss of X or Y) in</w:t>
                            </w:r>
                            <w:r>
                              <w:rPr>
                                <w:rFonts w:asciiTheme="minorHAnsi" w:hAnsiTheme="minorHAnsi" w:cstheme="minorHAnsi"/>
                                <w:sz w:val="18"/>
                                <w:szCs w:val="18"/>
                                <w:lang w:val="en-GB" w:eastAsia="de-AT"/>
                              </w:rPr>
                              <w:t xml:space="preserve"> </w:t>
                            </w:r>
                            <w:r w:rsidRPr="005C0B2F">
                              <w:rPr>
                                <w:rFonts w:asciiTheme="minorHAnsi" w:hAnsiTheme="minorHAnsi" w:cstheme="minorHAnsi"/>
                                <w:sz w:val="18"/>
                                <w:szCs w:val="18"/>
                                <w:lang w:val="en-GB" w:eastAsia="de-AT"/>
                              </w:rPr>
                              <w:t>association with at least 1 additional monosomy or structural chromosome</w:t>
                            </w:r>
                            <w:r>
                              <w:rPr>
                                <w:rFonts w:asciiTheme="minorHAnsi" w:hAnsiTheme="minorHAnsi" w:cstheme="minorHAnsi"/>
                                <w:sz w:val="18"/>
                                <w:szCs w:val="18"/>
                                <w:lang w:val="en-GB" w:eastAsia="de-AT"/>
                              </w:rPr>
                              <w:t xml:space="preserve"> </w:t>
                            </w:r>
                            <w:r w:rsidRPr="005C0B2F">
                              <w:rPr>
                                <w:rFonts w:asciiTheme="minorHAnsi" w:hAnsiTheme="minorHAnsi" w:cstheme="minorHAnsi"/>
                                <w:sz w:val="18"/>
                                <w:szCs w:val="18"/>
                                <w:lang w:val="en-GB" w:eastAsia="de-AT"/>
                              </w:rPr>
                              <w:t>abnormality (excluding core-binding factor AML).</w:t>
                            </w:r>
                            <w:r>
                              <w:rPr>
                                <w:rFonts w:asciiTheme="minorHAnsi" w:hAnsiTheme="minorHAnsi" w:cstheme="minorHAnsi"/>
                                <w:sz w:val="18"/>
                                <w:szCs w:val="18"/>
                                <w:lang w:val="en-GB" w:eastAsia="de-AT"/>
                              </w:rPr>
                              <w:t xml:space="preserve"> </w:t>
                            </w:r>
                            <w:r w:rsidRPr="005C0B2F">
                              <w:rPr>
                                <w:rFonts w:asciiTheme="minorHAnsi" w:hAnsiTheme="minorHAnsi" w:cstheme="minorHAnsi"/>
                                <w:sz w:val="18"/>
                                <w:szCs w:val="18"/>
                                <w:lang w:val="en-GB" w:eastAsia="de-AT"/>
                              </w:rPr>
                              <w:t xml:space="preserve">{These markers should not be used as an adverse prognostic marker if they </w:t>
                            </w:r>
                            <w:r>
                              <w:rPr>
                                <w:rFonts w:asciiTheme="minorHAnsi" w:hAnsiTheme="minorHAnsi" w:cstheme="minorHAnsi"/>
                                <w:sz w:val="18"/>
                                <w:szCs w:val="18"/>
                                <w:lang w:val="en-GB" w:eastAsia="de-AT"/>
                              </w:rPr>
                              <w:t xml:space="preserve">co-occur </w:t>
                            </w:r>
                            <w:r w:rsidRPr="005C0B2F">
                              <w:rPr>
                                <w:rFonts w:asciiTheme="minorHAnsi" w:hAnsiTheme="minorHAnsi" w:cstheme="minorHAnsi"/>
                                <w:sz w:val="18"/>
                                <w:szCs w:val="18"/>
                                <w:lang w:val="en-GB" w:eastAsia="de-AT"/>
                              </w:rPr>
                              <w:t>with favorable-risk AML subtypes.</w:t>
                            </w:r>
                          </w:p>
                          <w:p w14:paraId="6F438A34" w14:textId="77777777" w:rsidR="008D7252" w:rsidRPr="005C0B2F" w:rsidRDefault="008D7252" w:rsidP="00874AEB">
                            <w:pPr>
                              <w:autoSpaceDE w:val="0"/>
                              <w:autoSpaceDN w:val="0"/>
                              <w:adjustRightInd w:val="0"/>
                              <w:spacing w:line="240" w:lineRule="auto"/>
                              <w:jc w:val="left"/>
                              <w:rPr>
                                <w:rFonts w:asciiTheme="minorHAnsi" w:hAnsiTheme="minorHAnsi" w:cstheme="minorHAnsi"/>
                                <w:b/>
                                <w:sz w:val="18"/>
                                <w:szCs w:val="18"/>
                                <w:lang w:val="en-GB"/>
                              </w:rPr>
                            </w:pPr>
                            <w:r w:rsidRPr="00874AEB">
                              <w:rPr>
                                <w:rFonts w:asciiTheme="minorHAnsi" w:hAnsiTheme="minorHAnsi" w:cstheme="minorHAnsi"/>
                                <w:b/>
                                <w:sz w:val="18"/>
                                <w:szCs w:val="18"/>
                                <w:lang w:val="en-GB" w:eastAsia="de-AT"/>
                              </w:rPr>
                              <w:t>#</w:t>
                            </w:r>
                            <w:r>
                              <w:rPr>
                                <w:rFonts w:asciiTheme="minorHAnsi" w:hAnsiTheme="minorHAnsi" w:cstheme="minorHAnsi"/>
                                <w:b/>
                                <w:sz w:val="18"/>
                                <w:szCs w:val="18"/>
                                <w:lang w:val="en-GB" w:eastAsia="de-AT"/>
                              </w:rPr>
                              <w:t xml:space="preserve"> </w:t>
                            </w:r>
                            <w:r w:rsidRPr="005C0B2F">
                              <w:rPr>
                                <w:rFonts w:asciiTheme="minorHAnsi" w:hAnsiTheme="minorHAnsi" w:cstheme="minorHAnsi"/>
                                <w:sz w:val="18"/>
                                <w:szCs w:val="18"/>
                                <w:lang w:val="en-GB" w:eastAsia="de-AT"/>
                              </w:rPr>
                              <w:t>TP53 mutations are significantly associated with AML with complex and</w:t>
                            </w:r>
                            <w:r>
                              <w:rPr>
                                <w:rFonts w:asciiTheme="minorHAnsi" w:hAnsiTheme="minorHAnsi" w:cstheme="minorHAnsi"/>
                                <w:sz w:val="18"/>
                                <w:szCs w:val="18"/>
                                <w:lang w:val="en-GB" w:eastAsia="de-AT"/>
                              </w:rPr>
                              <w:t xml:space="preserve"> </w:t>
                            </w:r>
                            <w:r w:rsidRPr="005C0B2F">
                              <w:rPr>
                                <w:rFonts w:asciiTheme="minorHAnsi" w:hAnsiTheme="minorHAnsi" w:cstheme="minorHAnsi"/>
                                <w:sz w:val="18"/>
                                <w:szCs w:val="18"/>
                                <w:lang w:val="en-GB" w:eastAsia="de-AT"/>
                              </w:rPr>
                              <w:t>monosomal karyotype</w:t>
                            </w:r>
                          </w:p>
                          <w:p w14:paraId="0D19EDD8" w14:textId="77777777" w:rsidR="008D7252" w:rsidRPr="00874AEB" w:rsidRDefault="008D7252">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D8673" id="_x0000_t202" coordsize="21600,21600" o:spt="202" path="m,l,21600r21600,l21600,xe">
                <v:stroke joinstyle="miter"/>
                <v:path gradientshapeok="t" o:connecttype="rect"/>
              </v:shapetype>
              <v:shape id="Textfeld 36" o:spid="_x0000_s1026" type="#_x0000_t202" style="position:absolute;margin-left:155.7pt;margin-top:.85pt;width:206.9pt;height:334.7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" fillcolor="white [3201]" stroked="f" strokeweight=".5pt">
                <v:textbox>
                  <w:txbxContent>
                    <w:p w14:paraId="0F06C093" w14:textId="77777777" w:rsidR="008D7252" w:rsidRPr="005C0B2F" w:rsidRDefault="008D7252" w:rsidP="00874AEB">
                      <w:pPr>
                        <w:autoSpaceDE w:val="0"/>
                        <w:autoSpaceDN w:val="0"/>
                        <w:adjustRightInd w:val="0"/>
                        <w:spacing w:line="240" w:lineRule="auto"/>
                        <w:jc w:val="left"/>
                        <w:rPr>
                          <w:rFonts w:asciiTheme="minorHAnsi" w:hAnsiTheme="minorHAnsi" w:cstheme="minorHAnsi"/>
                          <w:sz w:val="18"/>
                          <w:szCs w:val="18"/>
                          <w:lang w:val="en-GB" w:eastAsia="de-AT"/>
                        </w:rPr>
                      </w:pPr>
                      <w:r w:rsidRPr="00874AEB">
                        <w:rPr>
                          <w:rFonts w:asciiTheme="minorHAnsi" w:hAnsiTheme="minorHAnsi" w:cstheme="minorHAnsi"/>
                          <w:b/>
                          <w:sz w:val="18"/>
                          <w:szCs w:val="18"/>
                          <w:lang w:val="en-GB" w:eastAsia="de-AT"/>
                        </w:rPr>
                        <w:t>*</w:t>
                      </w:r>
                      <w:r>
                        <w:rPr>
                          <w:rFonts w:asciiTheme="minorHAnsi" w:hAnsiTheme="minorHAnsi" w:cstheme="minorHAnsi"/>
                          <w:b/>
                          <w:sz w:val="18"/>
                          <w:szCs w:val="18"/>
                          <w:lang w:val="en-GB" w:eastAsia="de-AT"/>
                        </w:rPr>
                        <w:t xml:space="preserve"> </w:t>
                      </w:r>
                      <w:r w:rsidRPr="005C0B2F">
                        <w:rPr>
                          <w:rFonts w:asciiTheme="minorHAnsi" w:hAnsiTheme="minorHAnsi" w:cstheme="minorHAnsi"/>
                          <w:sz w:val="18"/>
                          <w:szCs w:val="18"/>
                          <w:lang w:val="en-GB" w:eastAsia="de-AT"/>
                        </w:rPr>
                        <w:t>Prognostic impact of a marker is treatment-dependent and may change with new therapies.</w:t>
                      </w:r>
                    </w:p>
                    <w:p w14:paraId="1116855F" w14:textId="77777777" w:rsidR="008D7252" w:rsidRPr="005C0B2F" w:rsidRDefault="008D7252" w:rsidP="00874AEB">
                      <w:pPr>
                        <w:autoSpaceDE w:val="0"/>
                        <w:autoSpaceDN w:val="0"/>
                        <w:adjustRightInd w:val="0"/>
                        <w:spacing w:line="240" w:lineRule="auto"/>
                        <w:jc w:val="left"/>
                        <w:rPr>
                          <w:rFonts w:asciiTheme="minorHAnsi" w:hAnsiTheme="minorHAnsi" w:cstheme="minorHAnsi"/>
                          <w:sz w:val="18"/>
                          <w:szCs w:val="18"/>
                          <w:lang w:val="en-GB" w:eastAsia="de-AT"/>
                        </w:rPr>
                      </w:pPr>
                      <w:r w:rsidRPr="00874AEB">
                        <w:rPr>
                          <w:rFonts w:asciiTheme="minorHAnsi" w:hAnsiTheme="minorHAnsi" w:cstheme="minorHAnsi"/>
                          <w:b/>
                          <w:sz w:val="18"/>
                          <w:szCs w:val="18"/>
                          <w:lang w:val="en-GB" w:eastAsia="de-AT"/>
                        </w:rPr>
                        <w:t>†</w:t>
                      </w:r>
                      <w:r>
                        <w:rPr>
                          <w:rFonts w:asciiTheme="minorHAnsi" w:hAnsiTheme="minorHAnsi" w:cstheme="minorHAnsi"/>
                          <w:b/>
                          <w:sz w:val="18"/>
                          <w:szCs w:val="18"/>
                          <w:lang w:val="en-GB" w:eastAsia="de-AT"/>
                        </w:rPr>
                        <w:t xml:space="preserve"> </w:t>
                      </w:r>
                      <w:r w:rsidRPr="005C0B2F">
                        <w:rPr>
                          <w:rFonts w:asciiTheme="minorHAnsi" w:hAnsiTheme="minorHAnsi" w:cstheme="minorHAnsi"/>
                          <w:sz w:val="18"/>
                          <w:szCs w:val="18"/>
                          <w:lang w:val="en-GB" w:eastAsia="de-AT"/>
                        </w:rPr>
                        <w:t>Low, low allelic ratio (,0.5); high, high allelic ratio ($0.5); semiquantitative</w:t>
                      </w:r>
                      <w:r>
                        <w:rPr>
                          <w:rFonts w:asciiTheme="minorHAnsi" w:hAnsiTheme="minorHAnsi" w:cstheme="minorHAnsi"/>
                          <w:sz w:val="18"/>
                          <w:szCs w:val="18"/>
                          <w:lang w:val="en-GB" w:eastAsia="de-AT"/>
                        </w:rPr>
                        <w:t xml:space="preserve"> </w:t>
                      </w:r>
                      <w:r w:rsidRPr="005C0B2F">
                        <w:rPr>
                          <w:rFonts w:asciiTheme="minorHAnsi" w:hAnsiTheme="minorHAnsi" w:cstheme="minorHAnsi"/>
                          <w:sz w:val="18"/>
                          <w:szCs w:val="18"/>
                          <w:lang w:val="en-GB" w:eastAsia="de-AT"/>
                        </w:rPr>
                        <w:t>assessment of FLT3-ITD allelic ratio (using DNA fragment analysis) is determined as</w:t>
                      </w:r>
                      <w:r>
                        <w:rPr>
                          <w:rFonts w:asciiTheme="minorHAnsi" w:hAnsiTheme="minorHAnsi" w:cstheme="minorHAnsi"/>
                          <w:sz w:val="18"/>
                          <w:szCs w:val="18"/>
                          <w:lang w:val="en-GB" w:eastAsia="de-AT"/>
                        </w:rPr>
                        <w:t xml:space="preserve"> </w:t>
                      </w:r>
                      <w:r w:rsidRPr="005C0B2F">
                        <w:rPr>
                          <w:rFonts w:asciiTheme="minorHAnsi" w:hAnsiTheme="minorHAnsi" w:cstheme="minorHAnsi"/>
                          <w:sz w:val="18"/>
                          <w:szCs w:val="18"/>
                          <w:lang w:val="en-GB" w:eastAsia="de-AT"/>
                        </w:rPr>
                        <w:t>ratio of the area under the curve “FLT3-ITD” divided by area under the curve “FLT3-</w:t>
                      </w:r>
                    </w:p>
                    <w:p w14:paraId="2807494E" w14:textId="77777777" w:rsidR="008D7252" w:rsidRPr="005C0B2F" w:rsidRDefault="008D7252" w:rsidP="00874AEB">
                      <w:pPr>
                        <w:autoSpaceDE w:val="0"/>
                        <w:autoSpaceDN w:val="0"/>
                        <w:adjustRightInd w:val="0"/>
                        <w:spacing w:line="240" w:lineRule="auto"/>
                        <w:jc w:val="left"/>
                        <w:rPr>
                          <w:rFonts w:asciiTheme="minorHAnsi" w:hAnsiTheme="minorHAnsi" w:cstheme="minorHAnsi"/>
                          <w:sz w:val="18"/>
                          <w:szCs w:val="18"/>
                          <w:lang w:val="en-GB" w:eastAsia="de-AT"/>
                        </w:rPr>
                      </w:pPr>
                      <w:r w:rsidRPr="005C0B2F">
                        <w:rPr>
                          <w:rFonts w:asciiTheme="minorHAnsi" w:hAnsiTheme="minorHAnsi" w:cstheme="minorHAnsi"/>
                          <w:sz w:val="18"/>
                          <w:szCs w:val="18"/>
                          <w:lang w:val="en-GB" w:eastAsia="de-AT"/>
                        </w:rPr>
                        <w:t>wild type”; recent studies indicate that AML with NPM1 mutation and FLT3-ITD low</w:t>
                      </w:r>
                      <w:r>
                        <w:rPr>
                          <w:rFonts w:asciiTheme="minorHAnsi" w:hAnsiTheme="minorHAnsi" w:cstheme="minorHAnsi"/>
                          <w:sz w:val="18"/>
                          <w:szCs w:val="18"/>
                          <w:lang w:val="en-GB" w:eastAsia="de-AT"/>
                        </w:rPr>
                        <w:t xml:space="preserve"> </w:t>
                      </w:r>
                      <w:r w:rsidRPr="005C0B2F">
                        <w:rPr>
                          <w:rFonts w:asciiTheme="minorHAnsi" w:hAnsiTheme="minorHAnsi" w:cstheme="minorHAnsi"/>
                          <w:sz w:val="18"/>
                          <w:szCs w:val="18"/>
                          <w:lang w:val="en-GB" w:eastAsia="de-AT"/>
                        </w:rPr>
                        <w:t>allelic ratio may also have a more favorable prognosis and patients should not</w:t>
                      </w:r>
                      <w:r>
                        <w:rPr>
                          <w:rFonts w:asciiTheme="minorHAnsi" w:hAnsiTheme="minorHAnsi" w:cstheme="minorHAnsi"/>
                          <w:sz w:val="18"/>
                          <w:szCs w:val="18"/>
                          <w:lang w:val="en-GB" w:eastAsia="de-AT"/>
                        </w:rPr>
                        <w:t xml:space="preserve"> </w:t>
                      </w:r>
                      <w:r w:rsidRPr="005C0B2F">
                        <w:rPr>
                          <w:rFonts w:asciiTheme="minorHAnsi" w:hAnsiTheme="minorHAnsi" w:cstheme="minorHAnsi"/>
                          <w:sz w:val="18"/>
                          <w:szCs w:val="18"/>
                          <w:lang w:val="en-GB" w:eastAsia="de-AT"/>
                        </w:rPr>
                        <w:t>routinely be assigned to allogeneic HCT.</w:t>
                      </w:r>
                    </w:p>
                    <w:p w14:paraId="3A940D3A" w14:textId="77777777" w:rsidR="008D7252" w:rsidRPr="005C0B2F" w:rsidRDefault="008D7252" w:rsidP="00874AEB">
                      <w:pPr>
                        <w:autoSpaceDE w:val="0"/>
                        <w:autoSpaceDN w:val="0"/>
                        <w:adjustRightInd w:val="0"/>
                        <w:spacing w:line="240" w:lineRule="auto"/>
                        <w:jc w:val="left"/>
                        <w:rPr>
                          <w:rFonts w:asciiTheme="minorHAnsi" w:hAnsiTheme="minorHAnsi" w:cstheme="minorHAnsi"/>
                          <w:sz w:val="18"/>
                          <w:szCs w:val="18"/>
                          <w:lang w:val="en-GB" w:eastAsia="de-AT"/>
                        </w:rPr>
                      </w:pPr>
                      <w:r w:rsidRPr="00874AEB">
                        <w:rPr>
                          <w:rFonts w:asciiTheme="minorHAnsi" w:hAnsiTheme="minorHAnsi" w:cstheme="minorHAnsi"/>
                          <w:b/>
                          <w:sz w:val="18"/>
                          <w:szCs w:val="18"/>
                          <w:lang w:val="en-GB" w:eastAsia="de-AT"/>
                        </w:rPr>
                        <w:t>‡</w:t>
                      </w:r>
                      <w:r>
                        <w:rPr>
                          <w:rFonts w:asciiTheme="minorHAnsi" w:hAnsiTheme="minorHAnsi" w:cstheme="minorHAnsi"/>
                          <w:b/>
                          <w:sz w:val="18"/>
                          <w:szCs w:val="18"/>
                          <w:lang w:val="en-GB" w:eastAsia="de-AT"/>
                        </w:rPr>
                        <w:t xml:space="preserve"> </w:t>
                      </w:r>
                      <w:r w:rsidRPr="005C0B2F">
                        <w:rPr>
                          <w:rFonts w:asciiTheme="minorHAnsi" w:hAnsiTheme="minorHAnsi" w:cstheme="minorHAnsi"/>
                          <w:sz w:val="18"/>
                          <w:szCs w:val="18"/>
                          <w:lang w:val="en-GB" w:eastAsia="de-AT"/>
                        </w:rPr>
                        <w:t>The presence of t(9;11)(p21.3;q23.3) takes precedence over rare, concurrent</w:t>
                      </w:r>
                      <w:r>
                        <w:rPr>
                          <w:rFonts w:asciiTheme="minorHAnsi" w:hAnsiTheme="minorHAnsi" w:cstheme="minorHAnsi"/>
                          <w:sz w:val="18"/>
                          <w:szCs w:val="18"/>
                          <w:lang w:val="en-GB" w:eastAsia="de-AT"/>
                        </w:rPr>
                        <w:t xml:space="preserve"> </w:t>
                      </w:r>
                      <w:r w:rsidRPr="005C0B2F">
                        <w:rPr>
                          <w:rFonts w:asciiTheme="minorHAnsi" w:hAnsiTheme="minorHAnsi" w:cstheme="minorHAnsi"/>
                          <w:sz w:val="18"/>
                          <w:szCs w:val="18"/>
                          <w:lang w:val="en-GB" w:eastAsia="de-AT"/>
                        </w:rPr>
                        <w:t>adverse-risk gene mutations.</w:t>
                      </w:r>
                    </w:p>
                    <w:p w14:paraId="5CCC4661" w14:textId="77777777" w:rsidR="008D7252" w:rsidRPr="005C0B2F" w:rsidRDefault="008D7252" w:rsidP="00874AEB">
                      <w:pPr>
                        <w:autoSpaceDE w:val="0"/>
                        <w:autoSpaceDN w:val="0"/>
                        <w:adjustRightInd w:val="0"/>
                        <w:spacing w:line="240" w:lineRule="auto"/>
                        <w:jc w:val="left"/>
                        <w:rPr>
                          <w:rFonts w:asciiTheme="minorHAnsi" w:hAnsiTheme="minorHAnsi" w:cstheme="minorHAnsi"/>
                          <w:sz w:val="18"/>
                          <w:szCs w:val="18"/>
                          <w:lang w:val="en-GB" w:eastAsia="de-AT"/>
                        </w:rPr>
                      </w:pPr>
                      <w:r w:rsidRPr="00874AEB">
                        <w:rPr>
                          <w:rFonts w:asciiTheme="minorHAnsi" w:hAnsiTheme="minorHAnsi" w:cstheme="minorHAnsi"/>
                          <w:b/>
                          <w:sz w:val="18"/>
                          <w:szCs w:val="18"/>
                          <w:lang w:val="en-GB" w:eastAsia="de-AT"/>
                        </w:rPr>
                        <w:t>§</w:t>
                      </w:r>
                      <w:r>
                        <w:rPr>
                          <w:rFonts w:asciiTheme="minorHAnsi" w:hAnsiTheme="minorHAnsi" w:cstheme="minorHAnsi"/>
                          <w:b/>
                          <w:sz w:val="18"/>
                          <w:szCs w:val="18"/>
                          <w:lang w:val="en-GB" w:eastAsia="de-AT"/>
                        </w:rPr>
                        <w:t xml:space="preserve"> </w:t>
                      </w:r>
                      <w:r w:rsidRPr="005C0B2F">
                        <w:rPr>
                          <w:rFonts w:asciiTheme="minorHAnsi" w:hAnsiTheme="minorHAnsi" w:cstheme="minorHAnsi"/>
                          <w:sz w:val="18"/>
                          <w:szCs w:val="18"/>
                          <w:lang w:val="en-GB" w:eastAsia="de-AT"/>
                        </w:rPr>
                        <w:t>Three or more unrelated chromosome abnormalities in the absence of 1 of the</w:t>
                      </w:r>
                      <w:r>
                        <w:rPr>
                          <w:rFonts w:asciiTheme="minorHAnsi" w:hAnsiTheme="minorHAnsi" w:cstheme="minorHAnsi"/>
                          <w:sz w:val="18"/>
                          <w:szCs w:val="18"/>
                          <w:lang w:val="en-GB" w:eastAsia="de-AT"/>
                        </w:rPr>
                        <w:t xml:space="preserve"> </w:t>
                      </w:r>
                      <w:r w:rsidRPr="005C0B2F">
                        <w:rPr>
                          <w:rFonts w:asciiTheme="minorHAnsi" w:hAnsiTheme="minorHAnsi" w:cstheme="minorHAnsi"/>
                          <w:sz w:val="18"/>
                          <w:szCs w:val="18"/>
                          <w:lang w:val="en-GB" w:eastAsia="de-AT"/>
                        </w:rPr>
                        <w:t>WHO-designated recurring translocations or inversions, that is, t(8;21), inv(16) or</w:t>
                      </w:r>
                      <w:r>
                        <w:rPr>
                          <w:rFonts w:asciiTheme="minorHAnsi" w:hAnsiTheme="minorHAnsi" w:cstheme="minorHAnsi"/>
                          <w:sz w:val="18"/>
                          <w:szCs w:val="18"/>
                          <w:lang w:val="en-GB" w:eastAsia="de-AT"/>
                        </w:rPr>
                        <w:t xml:space="preserve"> </w:t>
                      </w:r>
                      <w:r w:rsidRPr="005C0B2F">
                        <w:rPr>
                          <w:rFonts w:asciiTheme="minorHAnsi" w:hAnsiTheme="minorHAnsi" w:cstheme="minorHAnsi"/>
                          <w:sz w:val="18"/>
                          <w:szCs w:val="18"/>
                          <w:lang w:val="en-GB" w:eastAsia="de-AT"/>
                        </w:rPr>
                        <w:t>t(16;16), t(9;11), t(v;11)(v;q23.3), t(6;9), inv(3) or t(3;3); AML with BCR-ABL1.</w:t>
                      </w:r>
                    </w:p>
                    <w:p w14:paraId="23B4EF0D" w14:textId="77777777" w:rsidR="008D7252" w:rsidRDefault="008D7252" w:rsidP="00874AEB">
                      <w:pPr>
                        <w:autoSpaceDE w:val="0"/>
                        <w:autoSpaceDN w:val="0"/>
                        <w:adjustRightInd w:val="0"/>
                        <w:spacing w:line="240" w:lineRule="auto"/>
                        <w:jc w:val="left"/>
                        <w:rPr>
                          <w:rFonts w:asciiTheme="minorHAnsi" w:hAnsiTheme="minorHAnsi" w:cstheme="minorHAnsi"/>
                          <w:sz w:val="18"/>
                          <w:szCs w:val="18"/>
                          <w:lang w:val="en-GB" w:eastAsia="de-AT"/>
                        </w:rPr>
                      </w:pPr>
                      <w:r w:rsidRPr="00874AEB">
                        <w:rPr>
                          <w:rFonts w:asciiTheme="minorHAnsi" w:hAnsiTheme="minorHAnsi" w:cstheme="minorHAnsi"/>
                          <w:b/>
                          <w:sz w:val="18"/>
                          <w:szCs w:val="18"/>
                          <w:lang w:val="en-GB" w:eastAsia="de-AT"/>
                        </w:rPr>
                        <w:t>||</w:t>
                      </w:r>
                      <w:r>
                        <w:rPr>
                          <w:rFonts w:asciiTheme="minorHAnsi" w:hAnsiTheme="minorHAnsi" w:cstheme="minorHAnsi"/>
                          <w:b/>
                          <w:sz w:val="18"/>
                          <w:szCs w:val="18"/>
                          <w:lang w:val="en-GB" w:eastAsia="de-AT"/>
                        </w:rPr>
                        <w:t xml:space="preserve"> </w:t>
                      </w:r>
                      <w:r w:rsidRPr="005C0B2F">
                        <w:rPr>
                          <w:rFonts w:asciiTheme="minorHAnsi" w:hAnsiTheme="minorHAnsi" w:cstheme="minorHAnsi"/>
                          <w:sz w:val="18"/>
                          <w:szCs w:val="18"/>
                          <w:lang w:val="en-GB" w:eastAsia="de-AT"/>
                        </w:rPr>
                        <w:t>Defined by the presence of 1 single monosomy (excluding loss of X or Y) in</w:t>
                      </w:r>
                      <w:r>
                        <w:rPr>
                          <w:rFonts w:asciiTheme="minorHAnsi" w:hAnsiTheme="minorHAnsi" w:cstheme="minorHAnsi"/>
                          <w:sz w:val="18"/>
                          <w:szCs w:val="18"/>
                          <w:lang w:val="en-GB" w:eastAsia="de-AT"/>
                        </w:rPr>
                        <w:t xml:space="preserve"> </w:t>
                      </w:r>
                      <w:r w:rsidRPr="005C0B2F">
                        <w:rPr>
                          <w:rFonts w:asciiTheme="minorHAnsi" w:hAnsiTheme="minorHAnsi" w:cstheme="minorHAnsi"/>
                          <w:sz w:val="18"/>
                          <w:szCs w:val="18"/>
                          <w:lang w:val="en-GB" w:eastAsia="de-AT"/>
                        </w:rPr>
                        <w:t>association with at least 1 additional monosomy or structural chromosome</w:t>
                      </w:r>
                      <w:r>
                        <w:rPr>
                          <w:rFonts w:asciiTheme="minorHAnsi" w:hAnsiTheme="minorHAnsi" w:cstheme="minorHAnsi"/>
                          <w:sz w:val="18"/>
                          <w:szCs w:val="18"/>
                          <w:lang w:val="en-GB" w:eastAsia="de-AT"/>
                        </w:rPr>
                        <w:t xml:space="preserve"> </w:t>
                      </w:r>
                      <w:r w:rsidRPr="005C0B2F">
                        <w:rPr>
                          <w:rFonts w:asciiTheme="minorHAnsi" w:hAnsiTheme="minorHAnsi" w:cstheme="minorHAnsi"/>
                          <w:sz w:val="18"/>
                          <w:szCs w:val="18"/>
                          <w:lang w:val="en-GB" w:eastAsia="de-AT"/>
                        </w:rPr>
                        <w:t>abnormality (excluding core-binding factor AML).</w:t>
                      </w:r>
                      <w:r>
                        <w:rPr>
                          <w:rFonts w:asciiTheme="minorHAnsi" w:hAnsiTheme="minorHAnsi" w:cstheme="minorHAnsi"/>
                          <w:sz w:val="18"/>
                          <w:szCs w:val="18"/>
                          <w:lang w:val="en-GB" w:eastAsia="de-AT"/>
                        </w:rPr>
                        <w:t xml:space="preserve"> </w:t>
                      </w:r>
                      <w:r w:rsidRPr="005C0B2F">
                        <w:rPr>
                          <w:rFonts w:asciiTheme="minorHAnsi" w:hAnsiTheme="minorHAnsi" w:cstheme="minorHAnsi"/>
                          <w:sz w:val="18"/>
                          <w:szCs w:val="18"/>
                          <w:lang w:val="en-GB" w:eastAsia="de-AT"/>
                        </w:rPr>
                        <w:t xml:space="preserve">{These markers should not be used as an adverse prognostic marker if they </w:t>
                      </w:r>
                      <w:r>
                        <w:rPr>
                          <w:rFonts w:asciiTheme="minorHAnsi" w:hAnsiTheme="minorHAnsi" w:cstheme="minorHAnsi"/>
                          <w:sz w:val="18"/>
                          <w:szCs w:val="18"/>
                          <w:lang w:val="en-GB" w:eastAsia="de-AT"/>
                        </w:rPr>
                        <w:t xml:space="preserve">co-occur </w:t>
                      </w:r>
                      <w:r w:rsidRPr="005C0B2F">
                        <w:rPr>
                          <w:rFonts w:asciiTheme="minorHAnsi" w:hAnsiTheme="minorHAnsi" w:cstheme="minorHAnsi"/>
                          <w:sz w:val="18"/>
                          <w:szCs w:val="18"/>
                          <w:lang w:val="en-GB" w:eastAsia="de-AT"/>
                        </w:rPr>
                        <w:t>with favorable-risk AML subtypes.</w:t>
                      </w:r>
                    </w:p>
                    <w:p w14:paraId="6F438A34" w14:textId="77777777" w:rsidR="008D7252" w:rsidRPr="005C0B2F" w:rsidRDefault="008D7252" w:rsidP="00874AEB">
                      <w:pPr>
                        <w:autoSpaceDE w:val="0"/>
                        <w:autoSpaceDN w:val="0"/>
                        <w:adjustRightInd w:val="0"/>
                        <w:spacing w:line="240" w:lineRule="auto"/>
                        <w:jc w:val="left"/>
                        <w:rPr>
                          <w:rFonts w:asciiTheme="minorHAnsi" w:hAnsiTheme="minorHAnsi" w:cstheme="minorHAnsi"/>
                          <w:b/>
                          <w:sz w:val="18"/>
                          <w:szCs w:val="18"/>
                          <w:lang w:val="en-GB"/>
                        </w:rPr>
                      </w:pPr>
                      <w:r w:rsidRPr="00874AEB">
                        <w:rPr>
                          <w:rFonts w:asciiTheme="minorHAnsi" w:hAnsiTheme="minorHAnsi" w:cstheme="minorHAnsi"/>
                          <w:b/>
                          <w:sz w:val="18"/>
                          <w:szCs w:val="18"/>
                          <w:lang w:val="en-GB" w:eastAsia="de-AT"/>
                        </w:rPr>
                        <w:t>#</w:t>
                      </w:r>
                      <w:r>
                        <w:rPr>
                          <w:rFonts w:asciiTheme="minorHAnsi" w:hAnsiTheme="minorHAnsi" w:cstheme="minorHAnsi"/>
                          <w:b/>
                          <w:sz w:val="18"/>
                          <w:szCs w:val="18"/>
                          <w:lang w:val="en-GB" w:eastAsia="de-AT"/>
                        </w:rPr>
                        <w:t xml:space="preserve"> </w:t>
                      </w:r>
                      <w:r w:rsidRPr="005C0B2F">
                        <w:rPr>
                          <w:rFonts w:asciiTheme="minorHAnsi" w:hAnsiTheme="minorHAnsi" w:cstheme="minorHAnsi"/>
                          <w:sz w:val="18"/>
                          <w:szCs w:val="18"/>
                          <w:lang w:val="en-GB" w:eastAsia="de-AT"/>
                        </w:rPr>
                        <w:t>TP53 mutations are significantly associated with AML with complex and</w:t>
                      </w:r>
                      <w:r>
                        <w:rPr>
                          <w:rFonts w:asciiTheme="minorHAnsi" w:hAnsiTheme="minorHAnsi" w:cstheme="minorHAnsi"/>
                          <w:sz w:val="18"/>
                          <w:szCs w:val="18"/>
                          <w:lang w:val="en-GB" w:eastAsia="de-AT"/>
                        </w:rPr>
                        <w:t xml:space="preserve"> </w:t>
                      </w:r>
                      <w:r w:rsidRPr="005C0B2F">
                        <w:rPr>
                          <w:rFonts w:asciiTheme="minorHAnsi" w:hAnsiTheme="minorHAnsi" w:cstheme="minorHAnsi"/>
                          <w:sz w:val="18"/>
                          <w:szCs w:val="18"/>
                          <w:lang w:val="en-GB" w:eastAsia="de-AT"/>
                        </w:rPr>
                        <w:t>monosomal karyotype</w:t>
                      </w:r>
                    </w:p>
                    <w:p w14:paraId="0D19EDD8" w14:textId="77777777" w:rsidR="008D7252" w:rsidRPr="00874AEB" w:rsidRDefault="008D7252">
                      <w:pPr>
                        <w:rPr>
                          <w:lang w:val="en-GB"/>
                        </w:rPr>
                      </w:pPr>
                    </w:p>
                  </w:txbxContent>
                </v:textbox>
                <w10:wrap anchorx="margin"/>
              </v:shape>
            </w:pict>
          </mc:Fallback>
        </mc:AlternateContent>
      </w:r>
      <w:r w:rsidR="00A04F27">
        <w:rPr>
          <w:noProof/>
          <w:lang w:eastAsia="de-AT"/>
        </w:rPr>
        <w:drawing>
          <wp:inline distT="0" distB="0" distL="0" distR="0" wp14:anchorId="01043F25" wp14:editId="1AF715B5">
            <wp:extent cx="3224715" cy="3097427"/>
            <wp:effectExtent l="19050" t="19050" r="13970" b="2730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2355" t="30443" r="51022" b="7021"/>
                    <a:stretch/>
                  </pic:blipFill>
                  <pic:spPr bwMode="auto">
                    <a:xfrm>
                      <a:off x="0" y="0"/>
                      <a:ext cx="3235189" cy="3107488"/>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6C6422C" w14:textId="77777777" w:rsidR="00874AEB" w:rsidRDefault="00874AEB" w:rsidP="00A04F27">
      <w:pPr>
        <w:jc w:val="both"/>
        <w:rPr>
          <w:rFonts w:asciiTheme="minorHAnsi" w:hAnsiTheme="minorHAnsi" w:cstheme="minorHAnsi"/>
          <w:sz w:val="18"/>
          <w:szCs w:val="18"/>
          <w:lang w:val="en-US"/>
        </w:rPr>
      </w:pPr>
      <w:bookmarkStart w:id="23" w:name="_Toc330548331"/>
    </w:p>
    <w:p w14:paraId="6EE56F7E" w14:textId="77777777" w:rsidR="00874AEB" w:rsidRPr="006B5078" w:rsidRDefault="00874AEB" w:rsidP="00874AEB">
      <w:pPr>
        <w:spacing w:line="240" w:lineRule="auto"/>
        <w:jc w:val="both"/>
        <w:rPr>
          <w:rFonts w:asciiTheme="minorHAnsi" w:hAnsiTheme="minorHAnsi" w:cstheme="minorHAnsi"/>
          <w:i/>
          <w:sz w:val="18"/>
          <w:szCs w:val="18"/>
          <w:lang w:val="en-GB" w:eastAsia="de-AT"/>
        </w:rPr>
      </w:pPr>
      <w:r w:rsidRPr="006B5078">
        <w:rPr>
          <w:rFonts w:asciiTheme="minorHAnsi" w:hAnsiTheme="minorHAnsi" w:cstheme="minorHAnsi"/>
          <w:i/>
          <w:sz w:val="18"/>
          <w:szCs w:val="18"/>
          <w:lang w:val="en-US"/>
        </w:rPr>
        <w:t>Doehner et al,</w:t>
      </w:r>
      <w:r w:rsidRPr="006B5078">
        <w:rPr>
          <w:rFonts w:asciiTheme="minorHAnsi" w:hAnsiTheme="minorHAnsi" w:cstheme="minorHAnsi"/>
          <w:b/>
          <w:i/>
          <w:sz w:val="18"/>
          <w:szCs w:val="18"/>
          <w:lang w:val="en-US"/>
        </w:rPr>
        <w:t xml:space="preserve"> </w:t>
      </w:r>
      <w:r w:rsidRPr="006B5078">
        <w:rPr>
          <w:rFonts w:asciiTheme="minorHAnsi" w:hAnsiTheme="minorHAnsi" w:cstheme="minorHAnsi"/>
          <w:i/>
          <w:sz w:val="18"/>
          <w:szCs w:val="18"/>
          <w:lang w:val="en-GB" w:eastAsia="de-AT"/>
        </w:rPr>
        <w:t xml:space="preserve">BLOOD, </w:t>
      </w:r>
    </w:p>
    <w:p w14:paraId="72F328FC" w14:textId="77777777" w:rsidR="00A04F27" w:rsidRDefault="00874AEB" w:rsidP="00874AEB">
      <w:pPr>
        <w:spacing w:line="240" w:lineRule="auto"/>
        <w:jc w:val="both"/>
        <w:rPr>
          <w:rFonts w:asciiTheme="minorHAnsi" w:hAnsiTheme="minorHAnsi" w:cstheme="minorHAnsi"/>
          <w:sz w:val="18"/>
          <w:szCs w:val="18"/>
          <w:lang w:val="en-GB" w:eastAsia="de-AT"/>
        </w:rPr>
      </w:pPr>
      <w:r w:rsidRPr="006B5078">
        <w:rPr>
          <w:rFonts w:asciiTheme="minorHAnsi" w:hAnsiTheme="minorHAnsi" w:cstheme="minorHAnsi"/>
          <w:i/>
          <w:sz w:val="18"/>
          <w:szCs w:val="18"/>
          <w:lang w:val="en-GB" w:eastAsia="de-AT"/>
        </w:rPr>
        <w:t>26 JANUARY 2017 x VOLUME 129, NUMBER</w:t>
      </w:r>
      <w:r w:rsidRPr="00874AEB">
        <w:rPr>
          <w:rFonts w:asciiTheme="minorHAnsi" w:hAnsiTheme="minorHAnsi" w:cstheme="minorHAnsi"/>
          <w:sz w:val="18"/>
          <w:szCs w:val="18"/>
          <w:lang w:val="en-GB" w:eastAsia="de-AT"/>
        </w:rPr>
        <w:t xml:space="preserve"> 4</w:t>
      </w:r>
    </w:p>
    <w:p w14:paraId="75784142" w14:textId="77777777" w:rsidR="00874AEB" w:rsidRDefault="00874AEB" w:rsidP="00A04F27">
      <w:pPr>
        <w:jc w:val="both"/>
        <w:rPr>
          <w:sz w:val="18"/>
          <w:szCs w:val="18"/>
          <w:lang w:val="en-GB"/>
        </w:rPr>
      </w:pPr>
    </w:p>
    <w:p w14:paraId="216C689B" w14:textId="77777777" w:rsidR="00874AEB" w:rsidRPr="00874AEB" w:rsidRDefault="00874AEB" w:rsidP="00A04F27">
      <w:pPr>
        <w:jc w:val="both"/>
        <w:rPr>
          <w:sz w:val="18"/>
          <w:szCs w:val="18"/>
          <w:lang w:val="en-GB"/>
        </w:rPr>
      </w:pPr>
    </w:p>
    <w:p w14:paraId="56F5BDE0" w14:textId="77777777" w:rsidR="00A04F27" w:rsidRPr="0065633E" w:rsidRDefault="009C0FBD" w:rsidP="009C0FBD">
      <w:pPr>
        <w:pStyle w:val="berschrift2"/>
        <w:numPr>
          <w:ilvl w:val="0"/>
          <w:numId w:val="0"/>
        </w:numPr>
      </w:pPr>
      <w:bookmarkStart w:id="24" w:name="_Toc378320335"/>
      <w:bookmarkStart w:id="25" w:name="_Toc346191219"/>
      <w:bookmarkStart w:id="26" w:name="_Toc465170201"/>
      <w:bookmarkStart w:id="27" w:name="_Toc63667665"/>
      <w:r>
        <w:lastRenderedPageBreak/>
        <w:t>2.5</w:t>
      </w:r>
      <w:r>
        <w:tab/>
      </w:r>
      <w:r w:rsidR="00A04F27" w:rsidRPr="0065633E">
        <w:t>Für Stammzelltransplantation</w:t>
      </w:r>
      <w:r w:rsidR="00D37B54">
        <w:t>skandidaten - Comorbidity score</w:t>
      </w:r>
      <w:r w:rsidR="00F73B24" w:rsidRPr="0065633E">
        <w:t xml:space="preserve"> </w:t>
      </w:r>
      <w:r w:rsidR="00A04F27" w:rsidRPr="0065633E">
        <w:t>(HCT-CI, Sorror)</w:t>
      </w:r>
      <w:bookmarkEnd w:id="23"/>
      <w:bookmarkEnd w:id="24"/>
      <w:bookmarkEnd w:id="25"/>
      <w:bookmarkEnd w:id="26"/>
      <w:bookmarkEnd w:id="27"/>
    </w:p>
    <w:p w14:paraId="2C8223BA" w14:textId="77777777" w:rsidR="00A04F27" w:rsidRDefault="00A04F27" w:rsidP="00A04F27">
      <w:pPr>
        <w:jc w:val="left"/>
        <w:rPr>
          <w:b/>
        </w:rPr>
      </w:pPr>
      <w:r>
        <w:rPr>
          <w:b/>
          <w:noProof/>
          <w:lang w:eastAsia="de-AT"/>
        </w:rPr>
        <w:drawing>
          <wp:inline distT="0" distB="0" distL="0" distR="0" wp14:anchorId="14087B21" wp14:editId="24684CB6">
            <wp:extent cx="5975350" cy="3617467"/>
            <wp:effectExtent l="19050" t="19050" r="25400" b="215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l="11974" t="23586" r="8614" b="12128"/>
                    <a:stretch>
                      <a:fillRect/>
                    </a:stretch>
                  </pic:blipFill>
                  <pic:spPr bwMode="auto">
                    <a:xfrm>
                      <a:off x="0" y="0"/>
                      <a:ext cx="5978777" cy="3619542"/>
                    </a:xfrm>
                    <a:prstGeom prst="rect">
                      <a:avLst/>
                    </a:prstGeom>
                    <a:noFill/>
                    <a:ln w="3175">
                      <a:solidFill>
                        <a:schemeClr val="tx1"/>
                      </a:solidFill>
                    </a:ln>
                  </pic:spPr>
                </pic:pic>
              </a:graphicData>
            </a:graphic>
          </wp:inline>
        </w:drawing>
      </w:r>
    </w:p>
    <w:p w14:paraId="17A158E2" w14:textId="77777777" w:rsidR="00D37B54" w:rsidRDefault="001C725E" w:rsidP="00D37B54">
      <w:pPr>
        <w:jc w:val="right"/>
        <w:rPr>
          <w:rFonts w:asciiTheme="minorHAnsi" w:hAnsiTheme="minorHAnsi" w:cstheme="minorHAnsi"/>
          <w:sz w:val="18"/>
          <w:szCs w:val="18"/>
          <w:lang w:val="en-US"/>
        </w:rPr>
      </w:pPr>
      <w:r w:rsidRPr="008A4B8D">
        <w:rPr>
          <w:rFonts w:asciiTheme="minorHAnsi" w:hAnsiTheme="minorHAnsi" w:cstheme="minorHAnsi"/>
          <w:sz w:val="18"/>
          <w:szCs w:val="18"/>
          <w:lang w:val="en-US"/>
        </w:rPr>
        <w:t>Sorror et al Blood 2005</w:t>
      </w:r>
    </w:p>
    <w:p w14:paraId="23DBA66D" w14:textId="77777777" w:rsidR="00D37B54" w:rsidRDefault="00D37B54">
      <w:pPr>
        <w:spacing w:line="240" w:lineRule="auto"/>
        <w:jc w:val="left"/>
        <w:rPr>
          <w:rFonts w:asciiTheme="minorHAnsi" w:hAnsiTheme="minorHAnsi" w:cstheme="minorHAnsi"/>
          <w:sz w:val="18"/>
          <w:szCs w:val="18"/>
          <w:lang w:val="en-US"/>
        </w:rPr>
      </w:pPr>
      <w:r>
        <w:rPr>
          <w:rFonts w:asciiTheme="minorHAnsi" w:hAnsiTheme="minorHAnsi" w:cstheme="minorHAnsi"/>
          <w:sz w:val="18"/>
          <w:szCs w:val="18"/>
          <w:lang w:val="en-US"/>
        </w:rPr>
        <w:br w:type="page"/>
      </w:r>
    </w:p>
    <w:p w14:paraId="3C8C72A6" w14:textId="77777777" w:rsidR="006D4DAC" w:rsidRPr="0065633E" w:rsidRDefault="006D4DAC" w:rsidP="0065633E">
      <w:pPr>
        <w:pStyle w:val="berschrift1"/>
        <w:numPr>
          <w:ilvl w:val="0"/>
          <w:numId w:val="3"/>
        </w:numPr>
      </w:pPr>
      <w:bookmarkStart w:id="28" w:name="_Toc63667666"/>
      <w:bookmarkStart w:id="29" w:name="_Toc367183617"/>
      <w:bookmarkStart w:id="30" w:name="_Toc367183855"/>
      <w:r w:rsidRPr="0065633E">
        <w:lastRenderedPageBreak/>
        <w:t>Behandlungsplan</w:t>
      </w:r>
      <w:bookmarkEnd w:id="28"/>
      <w:r w:rsidRPr="0065633E">
        <w:t xml:space="preserve"> </w:t>
      </w:r>
      <w:bookmarkEnd w:id="29"/>
      <w:bookmarkEnd w:id="30"/>
    </w:p>
    <w:p w14:paraId="731715FB" w14:textId="77777777" w:rsidR="00047D73" w:rsidRPr="005D0011" w:rsidRDefault="00936055" w:rsidP="005D0011">
      <w:pPr>
        <w:pStyle w:val="berschrift2"/>
        <w:numPr>
          <w:ilvl w:val="0"/>
          <w:numId w:val="0"/>
        </w:numPr>
        <w:rPr>
          <w:lang w:val="de-DE"/>
        </w:rPr>
      </w:pPr>
      <w:bookmarkStart w:id="31" w:name="_Toc28643028"/>
      <w:bookmarkStart w:id="32" w:name="_Toc465170203"/>
      <w:bookmarkStart w:id="33" w:name="_Toc63667667"/>
      <w:bookmarkEnd w:id="31"/>
      <w:r w:rsidRPr="005D0011">
        <w:rPr>
          <w:lang w:val="de-DE"/>
        </w:rPr>
        <w:t>3.1</w:t>
      </w:r>
      <w:r w:rsidRPr="005D0011">
        <w:rPr>
          <w:lang w:val="de-DE"/>
        </w:rPr>
        <w:tab/>
      </w:r>
      <w:r w:rsidR="00D561CB" w:rsidRPr="005D0011">
        <w:rPr>
          <w:lang w:val="de-DE"/>
        </w:rPr>
        <w:t>Erstlinientherapie</w:t>
      </w:r>
      <w:bookmarkEnd w:id="32"/>
      <w:r w:rsidR="005D0011" w:rsidRPr="005D0011">
        <w:rPr>
          <w:lang w:val="de-DE"/>
        </w:rPr>
        <w:t xml:space="preserve"> (nicht M3)</w:t>
      </w:r>
      <w:r w:rsidR="00D561CB" w:rsidRPr="005D0011">
        <w:rPr>
          <w:lang w:val="de-DE"/>
        </w:rPr>
        <w:t>, kurative Therapieintention</w:t>
      </w:r>
      <w:bookmarkEnd w:id="33"/>
    </w:p>
    <w:p w14:paraId="57B3298E" w14:textId="29BD48D0" w:rsidR="00936055" w:rsidRDefault="00A171BD">
      <w:pPr>
        <w:spacing w:line="240" w:lineRule="auto"/>
        <w:jc w:val="left"/>
      </w:pPr>
      <w:r>
        <w:rPr>
          <w:noProof/>
          <w:lang w:eastAsia="de-AT"/>
        </w:rPr>
        <w:drawing>
          <wp:inline distT="0" distB="0" distL="0" distR="0" wp14:anchorId="5D9F0BAF" wp14:editId="7F046169">
            <wp:extent cx="6030595" cy="5173450"/>
            <wp:effectExtent l="0" t="0" r="8255"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L Visio.gif"/>
                    <pic:cNvPicPr/>
                  </pic:nvPicPr>
                  <pic:blipFill rotWithShape="1">
                    <a:blip r:embed="rId22" cstate="print">
                      <a:extLst>
                        <a:ext uri="{28A0092B-C50C-407E-A947-70E740481C1C}">
                          <a14:useLocalDpi xmlns:a14="http://schemas.microsoft.com/office/drawing/2010/main" val="0"/>
                        </a:ext>
                      </a:extLst>
                    </a:blip>
                    <a:srcRect b="30271"/>
                    <a:stretch/>
                  </pic:blipFill>
                  <pic:spPr bwMode="auto">
                    <a:xfrm>
                      <a:off x="0" y="0"/>
                      <a:ext cx="6030595" cy="5173450"/>
                    </a:xfrm>
                    <a:prstGeom prst="rect">
                      <a:avLst/>
                    </a:prstGeom>
                    <a:ln>
                      <a:noFill/>
                    </a:ln>
                    <a:extLst>
                      <a:ext uri="{53640926-AAD7-44D8-BBD7-CCE9431645EC}">
                        <a14:shadowObscured xmlns:a14="http://schemas.microsoft.com/office/drawing/2010/main"/>
                      </a:ext>
                    </a:extLst>
                  </pic:spPr>
                </pic:pic>
              </a:graphicData>
            </a:graphic>
          </wp:inline>
        </w:drawing>
      </w:r>
    </w:p>
    <w:p w14:paraId="0F4E11AB" w14:textId="40DDB41C" w:rsidR="000B63B8" w:rsidRDefault="000B63B8" w:rsidP="00833260">
      <w:pPr>
        <w:spacing w:line="240" w:lineRule="auto"/>
        <w:jc w:val="left"/>
      </w:pPr>
    </w:p>
    <w:p w14:paraId="410881DF" w14:textId="77777777" w:rsidR="00936055" w:rsidRPr="000621AE" w:rsidRDefault="00936055">
      <w:pPr>
        <w:spacing w:line="240" w:lineRule="auto"/>
        <w:jc w:val="left"/>
        <w:rPr>
          <w:sz w:val="8"/>
          <w:szCs w:val="8"/>
        </w:rPr>
      </w:pPr>
    </w:p>
    <w:p w14:paraId="7E6B1D0D" w14:textId="77777777" w:rsidR="000621AE" w:rsidRDefault="000621AE">
      <w:pPr>
        <w:spacing w:line="240" w:lineRule="auto"/>
        <w:jc w:val="left"/>
      </w:pPr>
      <w:r>
        <w:rPr>
          <w:noProof/>
          <w:lang w:eastAsia="de-AT"/>
        </w:rPr>
        <w:drawing>
          <wp:inline distT="0" distB="0" distL="0" distR="0" wp14:anchorId="745FFF0C" wp14:editId="040973A4">
            <wp:extent cx="6227972" cy="2859482"/>
            <wp:effectExtent l="0" t="0" r="190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ML Visio.gif"/>
                    <pic:cNvPicPr/>
                  </pic:nvPicPr>
                  <pic:blipFill rotWithShape="1">
                    <a:blip r:embed="rId23" cstate="print">
                      <a:extLst>
                        <a:ext uri="{28A0092B-C50C-407E-A947-70E740481C1C}">
                          <a14:useLocalDpi xmlns:a14="http://schemas.microsoft.com/office/drawing/2010/main" val="0"/>
                        </a:ext>
                      </a:extLst>
                    </a:blip>
                    <a:srcRect t="70459" r="20845"/>
                    <a:stretch/>
                  </pic:blipFill>
                  <pic:spPr bwMode="auto">
                    <a:xfrm>
                      <a:off x="0" y="0"/>
                      <a:ext cx="6241659" cy="2865766"/>
                    </a:xfrm>
                    <a:prstGeom prst="rect">
                      <a:avLst/>
                    </a:prstGeom>
                    <a:ln>
                      <a:noFill/>
                    </a:ln>
                    <a:extLst>
                      <a:ext uri="{53640926-AAD7-44D8-BBD7-CCE9431645EC}">
                        <a14:shadowObscured xmlns:a14="http://schemas.microsoft.com/office/drawing/2010/main"/>
                      </a:ext>
                    </a:extLst>
                  </pic:spPr>
                </pic:pic>
              </a:graphicData>
            </a:graphic>
          </wp:inline>
        </w:drawing>
      </w:r>
    </w:p>
    <w:p w14:paraId="6E468224" w14:textId="77777777" w:rsidR="00D561CB" w:rsidRPr="005D0011" w:rsidRDefault="00D561CB" w:rsidP="005D0011">
      <w:pPr>
        <w:pStyle w:val="berschrift2"/>
        <w:numPr>
          <w:ilvl w:val="0"/>
          <w:numId w:val="0"/>
        </w:numPr>
        <w:rPr>
          <w:lang w:val="de-DE"/>
        </w:rPr>
      </w:pPr>
      <w:bookmarkStart w:id="34" w:name="_Toc63667668"/>
      <w:bookmarkStart w:id="35" w:name="_Toc465170205"/>
      <w:r w:rsidRPr="005D0011">
        <w:rPr>
          <w:lang w:val="de-DE"/>
        </w:rPr>
        <w:lastRenderedPageBreak/>
        <w:t>3.2</w:t>
      </w:r>
      <w:r w:rsidRPr="005D0011">
        <w:rPr>
          <w:lang w:val="de-DE"/>
        </w:rPr>
        <w:tab/>
        <w:t>Rezidivtherapie</w:t>
      </w:r>
      <w:r w:rsidR="005D0011" w:rsidRPr="005D0011">
        <w:rPr>
          <w:lang w:val="de-DE"/>
        </w:rPr>
        <w:t xml:space="preserve"> (nicht M3)</w:t>
      </w:r>
      <w:r w:rsidRPr="005D0011">
        <w:rPr>
          <w:lang w:val="de-DE"/>
        </w:rPr>
        <w:t>, kurative Therapieintention</w:t>
      </w:r>
      <w:bookmarkEnd w:id="34"/>
    </w:p>
    <w:p w14:paraId="21FB9A30" w14:textId="77777777" w:rsidR="00D561CB" w:rsidRDefault="00D561CB" w:rsidP="00D561CB">
      <w:pPr>
        <w:jc w:val="both"/>
      </w:pPr>
    </w:p>
    <w:p w14:paraId="4C56E7B2" w14:textId="1A913598" w:rsidR="000B63B8" w:rsidRDefault="00460DE7" w:rsidP="00D561CB">
      <w:pPr>
        <w:jc w:val="both"/>
        <w:rPr>
          <w:lang w:val="de-DE"/>
        </w:rPr>
      </w:pPr>
      <w:r>
        <w:rPr>
          <w:noProof/>
          <w:lang w:eastAsia="de-AT"/>
        </w:rPr>
        <w:drawing>
          <wp:inline distT="0" distB="0" distL="0" distR="0" wp14:anchorId="4FC1C31D" wp14:editId="42A83D56">
            <wp:extent cx="5601291" cy="8073125"/>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L Visio.g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02539" cy="8074924"/>
                    </a:xfrm>
                    <a:prstGeom prst="rect">
                      <a:avLst/>
                    </a:prstGeom>
                  </pic:spPr>
                </pic:pic>
              </a:graphicData>
            </a:graphic>
          </wp:inline>
        </w:drawing>
      </w:r>
    </w:p>
    <w:p w14:paraId="3D0383B6" w14:textId="77777777" w:rsidR="00D561CB" w:rsidRPr="005D0011" w:rsidRDefault="00D561CB" w:rsidP="005D0011">
      <w:pPr>
        <w:pStyle w:val="berschrift2"/>
        <w:numPr>
          <w:ilvl w:val="0"/>
          <w:numId w:val="0"/>
        </w:numPr>
        <w:rPr>
          <w:lang w:val="de-DE"/>
        </w:rPr>
      </w:pPr>
      <w:bookmarkStart w:id="36" w:name="_Toc63667669"/>
      <w:r w:rsidRPr="005D0011">
        <w:rPr>
          <w:lang w:val="de-DE"/>
        </w:rPr>
        <w:lastRenderedPageBreak/>
        <w:t>3.3</w:t>
      </w:r>
      <w:r w:rsidRPr="005D0011">
        <w:rPr>
          <w:lang w:val="de-DE"/>
        </w:rPr>
        <w:tab/>
        <w:t>Anmerkungen zu den Behandlungsalgorithmen</w:t>
      </w:r>
      <w:r w:rsidR="00CE42A2">
        <w:rPr>
          <w:lang w:val="de-DE"/>
        </w:rPr>
        <w:t xml:space="preserve"> 3.1 und 3.2</w:t>
      </w:r>
      <w:bookmarkEnd w:id="36"/>
    </w:p>
    <w:p w14:paraId="4AE0B41C" w14:textId="77777777" w:rsidR="00D561CB" w:rsidRPr="004B38E8" w:rsidRDefault="00D561CB" w:rsidP="00D561CB">
      <w:pPr>
        <w:pStyle w:val="Listenabsatz"/>
        <w:numPr>
          <w:ilvl w:val="0"/>
          <w:numId w:val="20"/>
        </w:numPr>
        <w:autoSpaceDE w:val="0"/>
        <w:autoSpaceDN w:val="0"/>
        <w:adjustRightInd w:val="0"/>
        <w:spacing w:line="288" w:lineRule="auto"/>
        <w:jc w:val="both"/>
        <w:rPr>
          <w:rFonts w:ascii="Calibri" w:hAnsi="Calibri" w:cs="Calibri"/>
          <w:color w:val="000000"/>
          <w:sz w:val="18"/>
          <w:szCs w:val="18"/>
          <w:lang w:val="de-DE" w:eastAsia="de-AT"/>
        </w:rPr>
      </w:pPr>
      <w:r w:rsidRPr="004B38E8">
        <w:rPr>
          <w:rFonts w:ascii="Calibri" w:hAnsi="Calibri" w:cs="Calibri"/>
          <w:color w:val="000000"/>
          <w:sz w:val="18"/>
          <w:szCs w:val="18"/>
          <w:lang w:val="de-DE" w:eastAsia="de-AT"/>
        </w:rPr>
        <w:t>Bei V.a. Blastzellpersistenz in der Induktion bzw. V.a. Rezidiv in der Konsolidierungsphase frühzeitige KMP anstreben.</w:t>
      </w:r>
    </w:p>
    <w:p w14:paraId="296A6B98" w14:textId="77777777" w:rsidR="00D561CB" w:rsidRDefault="00D561CB" w:rsidP="00D561CB">
      <w:pPr>
        <w:pStyle w:val="Listenabsatz"/>
        <w:numPr>
          <w:ilvl w:val="0"/>
          <w:numId w:val="20"/>
        </w:numPr>
        <w:autoSpaceDE w:val="0"/>
        <w:autoSpaceDN w:val="0"/>
        <w:adjustRightInd w:val="0"/>
        <w:spacing w:line="288" w:lineRule="auto"/>
        <w:jc w:val="both"/>
        <w:rPr>
          <w:rFonts w:ascii="Calibri" w:hAnsi="Calibri" w:cs="Calibri"/>
          <w:color w:val="000000"/>
          <w:sz w:val="18"/>
          <w:szCs w:val="18"/>
          <w:lang w:val="de-DE" w:eastAsia="de-AT"/>
        </w:rPr>
      </w:pPr>
      <w:r w:rsidRPr="004B38E8">
        <w:rPr>
          <w:rFonts w:ascii="Calibri" w:hAnsi="Calibri" w:cs="Calibri"/>
          <w:color w:val="000000"/>
          <w:sz w:val="18"/>
          <w:szCs w:val="18"/>
          <w:lang w:val="de-DE" w:eastAsia="de-AT"/>
        </w:rPr>
        <w:t xml:space="preserve">Bei guter Blutbildregeneration </w:t>
      </w:r>
      <w:r w:rsidRPr="004B38E8">
        <w:rPr>
          <w:rFonts w:ascii="Calibri" w:hAnsi="Calibri" w:cs="Calibri"/>
          <w:color w:val="000000"/>
          <w:sz w:val="18"/>
          <w:szCs w:val="18"/>
          <w:u w:val="single"/>
          <w:lang w:val="de-DE" w:eastAsia="de-AT"/>
        </w:rPr>
        <w:t>Remissionskontrolle</w:t>
      </w:r>
      <w:r w:rsidRPr="004B38E8">
        <w:rPr>
          <w:rFonts w:ascii="Calibri" w:hAnsi="Calibri" w:cs="Calibri"/>
          <w:color w:val="000000"/>
          <w:sz w:val="18"/>
          <w:szCs w:val="18"/>
          <w:lang w:val="de-DE" w:eastAsia="de-AT"/>
        </w:rPr>
        <w:t xml:space="preserve"> mit Knochenmarkpunktion/Zytologie, FACS, molekulare Verlaufsparam</w:t>
      </w:r>
      <w:r w:rsidR="000F289B">
        <w:rPr>
          <w:rFonts w:ascii="Calibri" w:hAnsi="Calibri" w:cs="Calibri"/>
          <w:color w:val="000000"/>
          <w:sz w:val="18"/>
          <w:szCs w:val="18"/>
          <w:lang w:val="de-DE" w:eastAsia="de-AT"/>
        </w:rPr>
        <w:t>e</w:t>
      </w:r>
      <w:r w:rsidRPr="004B38E8">
        <w:rPr>
          <w:rFonts w:ascii="Calibri" w:hAnsi="Calibri" w:cs="Calibri"/>
          <w:color w:val="000000"/>
          <w:sz w:val="18"/>
          <w:szCs w:val="18"/>
          <w:lang w:val="de-DE" w:eastAsia="de-AT"/>
        </w:rPr>
        <w:t xml:space="preserve">ter) zwischen Tag 21 und 28 nach Induktion (kurz vor Entlassung) und zwischen Tag 28 und 42 nach Regeneration nach jeder Konsolidierung  (bei Entlassung oder bei Wiederaufnahme zur nächsten Therapie). </w:t>
      </w:r>
    </w:p>
    <w:p w14:paraId="72AE5C64" w14:textId="77777777" w:rsidR="00D561CB" w:rsidRDefault="00D561CB" w:rsidP="00D561CB">
      <w:pPr>
        <w:pStyle w:val="Listenabsatz"/>
        <w:numPr>
          <w:ilvl w:val="0"/>
          <w:numId w:val="20"/>
        </w:numPr>
        <w:autoSpaceDE w:val="0"/>
        <w:autoSpaceDN w:val="0"/>
        <w:adjustRightInd w:val="0"/>
        <w:spacing w:line="288" w:lineRule="auto"/>
        <w:jc w:val="both"/>
        <w:rPr>
          <w:rFonts w:ascii="Calibri" w:hAnsi="Calibri" w:cs="Calibri"/>
          <w:color w:val="000000"/>
          <w:sz w:val="18"/>
          <w:szCs w:val="18"/>
          <w:lang w:val="de-DE" w:eastAsia="de-AT"/>
        </w:rPr>
      </w:pPr>
      <w:r w:rsidRPr="004B38E8">
        <w:rPr>
          <w:rFonts w:ascii="Calibri" w:hAnsi="Calibri" w:cs="Calibri"/>
          <w:color w:val="000000"/>
          <w:sz w:val="18"/>
          <w:szCs w:val="18"/>
          <w:lang w:val="de-DE" w:eastAsia="de-AT"/>
        </w:rPr>
        <w:t xml:space="preserve">Fortsetzung der </w:t>
      </w:r>
      <w:r>
        <w:rPr>
          <w:rFonts w:ascii="Calibri" w:hAnsi="Calibri" w:cs="Calibri"/>
          <w:color w:val="000000"/>
          <w:sz w:val="18"/>
          <w:szCs w:val="18"/>
          <w:lang w:val="de-DE" w:eastAsia="de-AT"/>
        </w:rPr>
        <w:t>T</w:t>
      </w:r>
      <w:r w:rsidRPr="004B38E8">
        <w:rPr>
          <w:rFonts w:ascii="Calibri" w:hAnsi="Calibri" w:cs="Calibri"/>
          <w:color w:val="000000"/>
          <w:sz w:val="18"/>
          <w:szCs w:val="18"/>
          <w:lang w:val="de-DE" w:eastAsia="de-AT"/>
        </w:rPr>
        <w:t>herapie jeweils zwischen Tag 35 und 42 wenn kein aktiver Infekt besteht und ANC &gt; 1 G/l und PLT &gt; 100 G/l erreicht wurden.</w:t>
      </w:r>
    </w:p>
    <w:p w14:paraId="261B4EAF" w14:textId="77777777" w:rsidR="00D561CB" w:rsidRDefault="00D561CB" w:rsidP="00D561CB">
      <w:pPr>
        <w:pStyle w:val="Listenabsatz"/>
        <w:numPr>
          <w:ilvl w:val="0"/>
          <w:numId w:val="20"/>
        </w:numPr>
        <w:autoSpaceDE w:val="0"/>
        <w:autoSpaceDN w:val="0"/>
        <w:adjustRightInd w:val="0"/>
        <w:spacing w:line="288" w:lineRule="auto"/>
        <w:jc w:val="both"/>
        <w:rPr>
          <w:rFonts w:ascii="Calibri" w:hAnsi="Calibri" w:cs="Calibri"/>
          <w:color w:val="000000"/>
          <w:sz w:val="18"/>
          <w:szCs w:val="18"/>
          <w:lang w:val="de-DE" w:eastAsia="de-AT"/>
        </w:rPr>
      </w:pPr>
      <w:r w:rsidRPr="004B38E8">
        <w:rPr>
          <w:rFonts w:ascii="Calibri" w:hAnsi="Calibri" w:cs="Calibri"/>
          <w:color w:val="000000"/>
          <w:sz w:val="18"/>
          <w:szCs w:val="18"/>
          <w:lang w:val="de-DE" w:eastAsia="de-AT"/>
        </w:rPr>
        <w:t xml:space="preserve"> Wenn biologisch fit &amp; Ausschluss von Komorbiditäten</w:t>
      </w:r>
      <w:r>
        <w:rPr>
          <w:rFonts w:ascii="Calibri" w:hAnsi="Calibri" w:cs="Calibri"/>
          <w:color w:val="000000"/>
          <w:sz w:val="18"/>
          <w:szCs w:val="18"/>
          <w:lang w:val="de-DE" w:eastAsia="de-AT"/>
        </w:rPr>
        <w:t xml:space="preserve"> auch bei Alter </w:t>
      </w:r>
      <w:r w:rsidRPr="004B38E8">
        <w:rPr>
          <w:rFonts w:ascii="Calibri" w:hAnsi="Calibri" w:cs="Calibri"/>
          <w:color w:val="000000"/>
          <w:sz w:val="18"/>
          <w:szCs w:val="18"/>
          <w:lang w:val="de-DE" w:eastAsia="de-AT"/>
        </w:rPr>
        <w:t>&gt; 70 Jahre Induktion mit Daunorubicin 60mg/m</w:t>
      </w:r>
      <w:r w:rsidRPr="004B38E8">
        <w:rPr>
          <w:rFonts w:ascii="Calibri" w:hAnsi="Calibri" w:cs="Calibri"/>
          <w:color w:val="000000"/>
          <w:sz w:val="18"/>
          <w:szCs w:val="18"/>
          <w:vertAlign w:val="superscript"/>
          <w:lang w:val="de-DE" w:eastAsia="de-AT"/>
        </w:rPr>
        <w:t>2</w:t>
      </w:r>
      <w:r w:rsidRPr="004B38E8">
        <w:rPr>
          <w:rFonts w:ascii="Calibri" w:hAnsi="Calibri" w:cs="Calibri"/>
          <w:color w:val="000000"/>
          <w:sz w:val="18"/>
          <w:szCs w:val="18"/>
          <w:lang w:val="de-DE" w:eastAsia="de-AT"/>
        </w:rPr>
        <w:t xml:space="preserve"> Tag 1-3, Cytarabin 100mg/m</w:t>
      </w:r>
      <w:r w:rsidRPr="004B38E8">
        <w:rPr>
          <w:rFonts w:ascii="Calibri" w:hAnsi="Calibri" w:cs="Calibri"/>
          <w:color w:val="000000"/>
          <w:sz w:val="18"/>
          <w:szCs w:val="18"/>
          <w:vertAlign w:val="superscript"/>
          <w:lang w:val="de-DE" w:eastAsia="de-AT"/>
        </w:rPr>
        <w:t>2</w:t>
      </w:r>
      <w:r>
        <w:rPr>
          <w:rFonts w:ascii="Calibri" w:hAnsi="Calibri" w:cs="Calibri"/>
          <w:color w:val="000000"/>
          <w:sz w:val="18"/>
          <w:szCs w:val="18"/>
          <w:lang w:val="de-DE" w:eastAsia="de-AT"/>
        </w:rPr>
        <w:t xml:space="preserve"> Tag 1-7</w:t>
      </w:r>
    </w:p>
    <w:p w14:paraId="00A647D9" w14:textId="77777777" w:rsidR="005D0011" w:rsidRPr="004B38E8" w:rsidRDefault="005D0011" w:rsidP="00CE42A2">
      <w:pPr>
        <w:pStyle w:val="Listenabsatz"/>
        <w:autoSpaceDE w:val="0"/>
        <w:autoSpaceDN w:val="0"/>
        <w:adjustRightInd w:val="0"/>
        <w:spacing w:line="288" w:lineRule="auto"/>
        <w:jc w:val="both"/>
        <w:rPr>
          <w:rFonts w:ascii="Calibri" w:hAnsi="Calibri" w:cs="Calibri"/>
          <w:color w:val="000000"/>
          <w:sz w:val="18"/>
          <w:szCs w:val="18"/>
          <w:lang w:val="de-DE" w:eastAsia="de-AT"/>
        </w:rPr>
      </w:pPr>
    </w:p>
    <w:p w14:paraId="061F131F" w14:textId="77777777" w:rsidR="00D561CB" w:rsidRPr="004D742A" w:rsidRDefault="00D561CB" w:rsidP="00D561CB">
      <w:pPr>
        <w:autoSpaceDE w:val="0"/>
        <w:autoSpaceDN w:val="0"/>
        <w:adjustRightInd w:val="0"/>
        <w:spacing w:line="276" w:lineRule="auto"/>
        <w:jc w:val="left"/>
        <w:rPr>
          <w:rFonts w:ascii="Calibri" w:hAnsi="Calibri" w:cs="Calibri"/>
          <w:b/>
          <w:color w:val="000000"/>
          <w:sz w:val="18"/>
          <w:szCs w:val="18"/>
          <w:lang w:val="de-DE" w:eastAsia="de-AT"/>
        </w:rPr>
      </w:pPr>
      <w:r w:rsidRPr="004D742A">
        <w:rPr>
          <w:rFonts w:ascii="Calibri" w:hAnsi="Calibri" w:cs="Calibri"/>
          <w:b/>
          <w:color w:val="000000"/>
          <w:sz w:val="18"/>
          <w:szCs w:val="18"/>
          <w:lang w:val="de-DE" w:eastAsia="de-AT"/>
        </w:rPr>
        <w:t>Indikationen für ABSCT bei AML Patienten in CR1/CR2 ohne Nachweis einer MRD oder bei gutem WT-1 Abfall</w:t>
      </w:r>
    </w:p>
    <w:p w14:paraId="712D4415" w14:textId="77777777" w:rsidR="00D561CB" w:rsidRPr="004D742A" w:rsidRDefault="00D561CB" w:rsidP="00D561CB">
      <w:pPr>
        <w:pStyle w:val="Listenabsatz"/>
        <w:numPr>
          <w:ilvl w:val="0"/>
          <w:numId w:val="20"/>
        </w:numPr>
        <w:autoSpaceDE w:val="0"/>
        <w:autoSpaceDN w:val="0"/>
        <w:adjustRightInd w:val="0"/>
        <w:spacing w:line="288" w:lineRule="auto"/>
        <w:jc w:val="both"/>
        <w:rPr>
          <w:rFonts w:ascii="Calibri" w:hAnsi="Calibri" w:cs="Calibri"/>
          <w:color w:val="000000"/>
          <w:sz w:val="18"/>
          <w:szCs w:val="18"/>
          <w:lang w:val="de-DE" w:eastAsia="de-AT"/>
        </w:rPr>
      </w:pPr>
      <w:r w:rsidRPr="004D742A">
        <w:rPr>
          <w:rFonts w:ascii="Calibri" w:hAnsi="Calibri" w:cs="Calibri"/>
          <w:color w:val="000000"/>
          <w:sz w:val="18"/>
          <w:szCs w:val="18"/>
          <w:lang w:val="de-DE" w:eastAsia="de-AT"/>
        </w:rPr>
        <w:t xml:space="preserve">fitte ältere Patienten </w:t>
      </w:r>
      <w:r w:rsidRPr="004D742A">
        <w:rPr>
          <w:rFonts w:ascii="Calibri" w:hAnsi="Calibri" w:cs="Calibri"/>
          <w:color w:val="000000"/>
          <w:sz w:val="18"/>
          <w:szCs w:val="18"/>
          <w:u w:val="single"/>
          <w:lang w:val="de-DE" w:eastAsia="de-AT"/>
        </w:rPr>
        <w:t>bis 75 Jahre</w:t>
      </w:r>
      <w:r w:rsidRPr="004D742A">
        <w:rPr>
          <w:rFonts w:ascii="Calibri" w:hAnsi="Calibri" w:cs="Calibri"/>
          <w:color w:val="000000"/>
          <w:sz w:val="18"/>
          <w:szCs w:val="18"/>
          <w:lang w:val="de-DE" w:eastAsia="de-AT"/>
        </w:rPr>
        <w:t>, die altersbedingt nicht für eine allo-SCT qualifizieren</w:t>
      </w:r>
    </w:p>
    <w:p w14:paraId="7099CB53" w14:textId="77777777" w:rsidR="00D561CB" w:rsidRPr="004D742A" w:rsidRDefault="00D561CB" w:rsidP="00D561CB">
      <w:pPr>
        <w:pStyle w:val="Listenabsatz"/>
        <w:numPr>
          <w:ilvl w:val="0"/>
          <w:numId w:val="20"/>
        </w:numPr>
        <w:autoSpaceDE w:val="0"/>
        <w:autoSpaceDN w:val="0"/>
        <w:adjustRightInd w:val="0"/>
        <w:spacing w:line="288" w:lineRule="auto"/>
        <w:jc w:val="both"/>
        <w:rPr>
          <w:rFonts w:ascii="Calibri" w:hAnsi="Calibri" w:cs="Calibri"/>
          <w:color w:val="000000"/>
          <w:sz w:val="18"/>
          <w:szCs w:val="18"/>
          <w:lang w:val="de-DE" w:eastAsia="de-AT"/>
        </w:rPr>
      </w:pPr>
      <w:r w:rsidRPr="004D742A">
        <w:rPr>
          <w:rFonts w:ascii="Calibri" w:hAnsi="Calibri" w:cs="Calibri"/>
          <w:color w:val="000000"/>
          <w:sz w:val="18"/>
          <w:szCs w:val="18"/>
          <w:lang w:val="de-DE" w:eastAsia="de-AT"/>
        </w:rPr>
        <w:t>Patienten, die eine Indikation zur allo SZT haben, aber aufgrund fehlender Compliance oder fehlendem Umfeld nicht für eine allo SZT in Frage kommen</w:t>
      </w:r>
    </w:p>
    <w:p w14:paraId="571A2D1B" w14:textId="77777777" w:rsidR="00D561CB" w:rsidRPr="004D742A" w:rsidRDefault="00D561CB" w:rsidP="00D561CB">
      <w:pPr>
        <w:pStyle w:val="Listenabsatz"/>
        <w:numPr>
          <w:ilvl w:val="0"/>
          <w:numId w:val="20"/>
        </w:numPr>
        <w:autoSpaceDE w:val="0"/>
        <w:autoSpaceDN w:val="0"/>
        <w:adjustRightInd w:val="0"/>
        <w:spacing w:line="288" w:lineRule="auto"/>
        <w:jc w:val="both"/>
        <w:rPr>
          <w:rFonts w:ascii="Calibri" w:hAnsi="Calibri" w:cs="Calibri"/>
          <w:color w:val="000000"/>
          <w:sz w:val="18"/>
          <w:szCs w:val="18"/>
          <w:lang w:val="de-DE" w:eastAsia="de-AT"/>
        </w:rPr>
      </w:pPr>
      <w:r w:rsidRPr="004D742A">
        <w:rPr>
          <w:rFonts w:ascii="Calibri" w:hAnsi="Calibri" w:cs="Calibri"/>
          <w:color w:val="000000"/>
          <w:sz w:val="18"/>
          <w:szCs w:val="18"/>
          <w:lang w:val="de-DE" w:eastAsia="de-AT"/>
        </w:rPr>
        <w:t xml:space="preserve">Patienten mit </w:t>
      </w:r>
      <w:r w:rsidRPr="004D742A">
        <w:rPr>
          <w:rFonts w:ascii="Calibri" w:hAnsi="Calibri" w:cs="Calibri"/>
          <w:color w:val="000000"/>
          <w:sz w:val="18"/>
          <w:szCs w:val="18"/>
          <w:u w:val="single"/>
          <w:lang w:val="de-DE" w:eastAsia="de-AT"/>
        </w:rPr>
        <w:t>intermediate risk AML in 1. CR</w:t>
      </w:r>
      <w:r w:rsidRPr="004D742A">
        <w:rPr>
          <w:rFonts w:ascii="Calibri" w:hAnsi="Calibri" w:cs="Calibri"/>
          <w:color w:val="000000"/>
          <w:sz w:val="18"/>
          <w:szCs w:val="18"/>
          <w:lang w:val="de-DE" w:eastAsia="de-AT"/>
        </w:rPr>
        <w:t>, die eine Indikation zur allo SZT haben, aber keinen HLA-identen oder haploidenten Spender für eine allo SZT zur Verfügung haben.</w:t>
      </w:r>
    </w:p>
    <w:p w14:paraId="22414BB0" w14:textId="77777777" w:rsidR="00D561CB" w:rsidRPr="004D742A" w:rsidRDefault="00D561CB" w:rsidP="00D561CB">
      <w:pPr>
        <w:pStyle w:val="Listenabsatz"/>
        <w:numPr>
          <w:ilvl w:val="0"/>
          <w:numId w:val="20"/>
        </w:numPr>
        <w:autoSpaceDE w:val="0"/>
        <w:autoSpaceDN w:val="0"/>
        <w:adjustRightInd w:val="0"/>
        <w:spacing w:line="288" w:lineRule="auto"/>
        <w:jc w:val="both"/>
        <w:rPr>
          <w:rFonts w:ascii="Calibri" w:hAnsi="Calibri" w:cs="Calibri"/>
          <w:color w:val="000000"/>
          <w:sz w:val="18"/>
          <w:szCs w:val="18"/>
          <w:lang w:val="de-DE" w:eastAsia="de-AT"/>
        </w:rPr>
      </w:pPr>
      <w:r w:rsidRPr="004D742A">
        <w:rPr>
          <w:rFonts w:ascii="Calibri" w:hAnsi="Calibri" w:cs="Calibri"/>
          <w:color w:val="000000"/>
          <w:sz w:val="18"/>
          <w:szCs w:val="18"/>
          <w:lang w:val="de-DE" w:eastAsia="de-AT"/>
        </w:rPr>
        <w:t>Patienten, die erst auf die 2. Induktion eine CR erzielt haben, aber keinen Spender für eine allo SZT zur Verfügung haben.</w:t>
      </w:r>
    </w:p>
    <w:p w14:paraId="3E016179" w14:textId="77777777" w:rsidR="00D561CB" w:rsidRPr="004D742A" w:rsidRDefault="00D561CB" w:rsidP="00D561CB">
      <w:pPr>
        <w:pStyle w:val="Listenabsatz"/>
        <w:numPr>
          <w:ilvl w:val="0"/>
          <w:numId w:val="20"/>
        </w:numPr>
        <w:autoSpaceDE w:val="0"/>
        <w:autoSpaceDN w:val="0"/>
        <w:adjustRightInd w:val="0"/>
        <w:spacing w:line="288" w:lineRule="auto"/>
        <w:jc w:val="both"/>
        <w:rPr>
          <w:rFonts w:ascii="Calibri" w:hAnsi="Calibri" w:cs="Calibri"/>
          <w:color w:val="000000"/>
          <w:sz w:val="18"/>
          <w:szCs w:val="18"/>
          <w:lang w:val="de-DE" w:eastAsia="de-AT"/>
        </w:rPr>
      </w:pPr>
      <w:r w:rsidRPr="004D742A">
        <w:rPr>
          <w:rFonts w:ascii="Calibri" w:hAnsi="Calibri" w:cs="Calibri"/>
          <w:color w:val="000000"/>
          <w:sz w:val="18"/>
          <w:szCs w:val="18"/>
          <w:lang w:val="de-DE" w:eastAsia="de-AT"/>
        </w:rPr>
        <w:t>Patienten mit persistierender oder steigender MRD und keine passender allo-Spender vorhanden (→ nochmalig Induktionstherapie mit anschließendem SZH und nachfolgender SZT)</w:t>
      </w:r>
    </w:p>
    <w:p w14:paraId="5605442F" w14:textId="77777777" w:rsidR="00D561CB" w:rsidRPr="004D742A" w:rsidRDefault="00D561CB" w:rsidP="00D561CB">
      <w:pPr>
        <w:autoSpaceDE w:val="0"/>
        <w:autoSpaceDN w:val="0"/>
        <w:adjustRightInd w:val="0"/>
        <w:spacing w:line="288" w:lineRule="auto"/>
        <w:jc w:val="both"/>
        <w:rPr>
          <w:rFonts w:ascii="Calibri" w:hAnsi="Calibri" w:cs="Calibri"/>
          <w:color w:val="000000"/>
          <w:sz w:val="18"/>
          <w:szCs w:val="18"/>
          <w:lang w:val="de-DE" w:eastAsia="de-AT"/>
        </w:rPr>
      </w:pPr>
      <w:r w:rsidRPr="004D742A">
        <w:rPr>
          <w:rFonts w:ascii="Calibri" w:hAnsi="Calibri" w:cs="Calibri"/>
          <w:color w:val="000000"/>
          <w:sz w:val="18"/>
          <w:szCs w:val="18"/>
          <w:lang w:val="de-DE" w:eastAsia="de-AT"/>
        </w:rPr>
        <w:t>Anmerkung: Der Benefit einer ABSCT für Patienten mit high risk AML ist vermutlich gering. Diese Patienten sollten eine „Konsolidierung/Erhaltungstherapie“ mit Azacitidin erhalten.</w:t>
      </w:r>
    </w:p>
    <w:p w14:paraId="2315A820" w14:textId="77777777" w:rsidR="00D561CB" w:rsidRDefault="00D561CB">
      <w:pPr>
        <w:spacing w:line="240" w:lineRule="auto"/>
        <w:jc w:val="left"/>
        <w:rPr>
          <w:rFonts w:ascii="Calibri" w:hAnsi="Calibri" w:cs="Arial"/>
          <w:b/>
          <w:bCs/>
          <w:i/>
          <w:iCs/>
          <w:sz w:val="24"/>
          <w:szCs w:val="24"/>
        </w:rPr>
      </w:pPr>
      <w:r>
        <w:br w:type="page"/>
      </w:r>
    </w:p>
    <w:p w14:paraId="10DFA06E" w14:textId="77777777" w:rsidR="001C725E" w:rsidRPr="005D0011" w:rsidRDefault="001C725E" w:rsidP="005D0011">
      <w:pPr>
        <w:pStyle w:val="berschrift2"/>
        <w:numPr>
          <w:ilvl w:val="0"/>
          <w:numId w:val="0"/>
        </w:numPr>
        <w:rPr>
          <w:lang w:val="de-DE"/>
        </w:rPr>
      </w:pPr>
      <w:bookmarkStart w:id="37" w:name="_Toc63667670"/>
      <w:r w:rsidRPr="005D0011">
        <w:rPr>
          <w:lang w:val="de-DE"/>
        </w:rPr>
        <w:lastRenderedPageBreak/>
        <w:t>3.</w:t>
      </w:r>
      <w:bookmarkEnd w:id="35"/>
      <w:r w:rsidR="00D561CB" w:rsidRPr="005D0011">
        <w:rPr>
          <w:lang w:val="de-DE"/>
        </w:rPr>
        <w:t>4</w:t>
      </w:r>
      <w:r w:rsidR="00D561CB" w:rsidRPr="005D0011">
        <w:rPr>
          <w:lang w:val="de-DE"/>
        </w:rPr>
        <w:tab/>
        <w:t xml:space="preserve">Nicht kurative </w:t>
      </w:r>
      <w:r w:rsidR="00B97865" w:rsidRPr="005D0011">
        <w:rPr>
          <w:lang w:val="de-DE"/>
        </w:rPr>
        <w:t>Erst</w:t>
      </w:r>
      <w:r w:rsidR="00D561CB" w:rsidRPr="005D0011">
        <w:rPr>
          <w:lang w:val="de-DE"/>
        </w:rPr>
        <w:t>linien</w:t>
      </w:r>
      <w:r w:rsidR="00B97865" w:rsidRPr="005D0011">
        <w:rPr>
          <w:lang w:val="de-DE"/>
        </w:rPr>
        <w:t>- und Folget</w:t>
      </w:r>
      <w:r w:rsidR="00B1056B" w:rsidRPr="005D0011">
        <w:rPr>
          <w:lang w:val="de-DE"/>
        </w:rPr>
        <w:t>herapie</w:t>
      </w:r>
      <w:r w:rsidR="00D561CB" w:rsidRPr="005D0011">
        <w:rPr>
          <w:lang w:val="de-DE"/>
        </w:rPr>
        <w:t>(n)</w:t>
      </w:r>
      <w:r w:rsidR="005D0011" w:rsidRPr="005D0011">
        <w:rPr>
          <w:lang w:val="de-DE"/>
        </w:rPr>
        <w:t xml:space="preserve"> (nicht M3)</w:t>
      </w:r>
      <w:bookmarkEnd w:id="37"/>
    </w:p>
    <w:p w14:paraId="6E1A5667" w14:textId="77777777" w:rsidR="00B1056B" w:rsidRPr="004139BD" w:rsidRDefault="009D19A1" w:rsidP="009D19A1">
      <w:pPr>
        <w:pStyle w:val="Default"/>
        <w:spacing w:line="276" w:lineRule="auto"/>
        <w:jc w:val="both"/>
        <w:rPr>
          <w:rFonts w:asciiTheme="minorHAnsi" w:hAnsiTheme="minorHAnsi"/>
          <w:bCs/>
          <w:sz w:val="22"/>
          <w:szCs w:val="22"/>
        </w:rPr>
      </w:pPr>
      <w:r w:rsidRPr="005D0011">
        <w:rPr>
          <w:rFonts w:asciiTheme="minorHAnsi" w:hAnsiTheme="minorHAnsi"/>
          <w:bCs/>
          <w:sz w:val="22"/>
          <w:szCs w:val="22"/>
          <w:u w:val="single"/>
        </w:rPr>
        <w:t>Screening für Studien bei allen Patienten</w:t>
      </w:r>
      <w:r w:rsidRPr="004139BD">
        <w:rPr>
          <w:rFonts w:asciiTheme="minorHAnsi" w:hAnsiTheme="minorHAnsi"/>
          <w:b/>
          <w:bCs/>
          <w:sz w:val="22"/>
          <w:szCs w:val="22"/>
        </w:rPr>
        <w:t>:</w:t>
      </w:r>
      <w:r w:rsidRPr="004139BD">
        <w:rPr>
          <w:rFonts w:asciiTheme="minorHAnsi" w:hAnsiTheme="minorHAnsi"/>
          <w:bCs/>
          <w:sz w:val="22"/>
          <w:szCs w:val="22"/>
        </w:rPr>
        <w:t xml:space="preserve"> wenn möglich, notwendige Studienproben (KM, Blut) </w:t>
      </w:r>
      <w:r w:rsidR="00B1056B" w:rsidRPr="004139BD">
        <w:rPr>
          <w:rFonts w:asciiTheme="minorHAnsi" w:hAnsiTheme="minorHAnsi"/>
          <w:bCs/>
          <w:sz w:val="22"/>
          <w:szCs w:val="22"/>
        </w:rPr>
        <w:t xml:space="preserve">bereits </w:t>
      </w:r>
      <w:r w:rsidRPr="004139BD">
        <w:rPr>
          <w:rFonts w:asciiTheme="minorHAnsi" w:hAnsiTheme="minorHAnsi"/>
          <w:bCs/>
          <w:sz w:val="22"/>
          <w:szCs w:val="22"/>
        </w:rPr>
        <w:t>bei</w:t>
      </w:r>
      <w:r w:rsidR="00B1056B" w:rsidRPr="004139BD">
        <w:rPr>
          <w:rFonts w:asciiTheme="minorHAnsi" w:hAnsiTheme="minorHAnsi"/>
          <w:bCs/>
          <w:sz w:val="22"/>
          <w:szCs w:val="22"/>
        </w:rPr>
        <w:t xml:space="preserve"> der </w:t>
      </w:r>
      <w:r w:rsidR="00B1056B" w:rsidRPr="004139BD">
        <w:rPr>
          <w:rFonts w:asciiTheme="minorHAnsi" w:hAnsiTheme="minorHAnsi"/>
          <w:b/>
          <w:bCs/>
          <w:sz w:val="22"/>
          <w:szCs w:val="22"/>
        </w:rPr>
        <w:t>ersten</w:t>
      </w:r>
      <w:r w:rsidR="00B1056B" w:rsidRPr="004139BD">
        <w:rPr>
          <w:rFonts w:asciiTheme="minorHAnsi" w:hAnsiTheme="minorHAnsi"/>
          <w:bCs/>
          <w:sz w:val="22"/>
          <w:szCs w:val="22"/>
        </w:rPr>
        <w:t xml:space="preserve"> Knochenmarkpunktion</w:t>
      </w:r>
      <w:r w:rsidRPr="004139BD">
        <w:rPr>
          <w:rFonts w:asciiTheme="minorHAnsi" w:hAnsiTheme="minorHAnsi"/>
          <w:bCs/>
          <w:sz w:val="22"/>
          <w:szCs w:val="22"/>
        </w:rPr>
        <w:t xml:space="preserve"> abnehmen für einen </w:t>
      </w:r>
      <w:r w:rsidR="00B1056B" w:rsidRPr="004139BD">
        <w:rPr>
          <w:rFonts w:asciiTheme="minorHAnsi" w:hAnsiTheme="minorHAnsi"/>
          <w:bCs/>
          <w:sz w:val="22"/>
          <w:szCs w:val="22"/>
        </w:rPr>
        <w:t>Versand zur zentralen Diagnostik!</w:t>
      </w:r>
    </w:p>
    <w:p w14:paraId="0371A156" w14:textId="77777777" w:rsidR="000B27AF" w:rsidRPr="004139BD" w:rsidRDefault="000B27AF" w:rsidP="009D19A1">
      <w:pPr>
        <w:pStyle w:val="Default"/>
        <w:spacing w:line="276" w:lineRule="auto"/>
        <w:jc w:val="both"/>
        <w:rPr>
          <w:rFonts w:asciiTheme="minorHAnsi" w:hAnsiTheme="minorHAnsi"/>
          <w:bCs/>
          <w:sz w:val="22"/>
          <w:szCs w:val="22"/>
          <w:u w:val="single"/>
        </w:rPr>
      </w:pPr>
    </w:p>
    <w:p w14:paraId="394713B8" w14:textId="77777777" w:rsidR="009D19A1" w:rsidRPr="004139BD" w:rsidRDefault="009D19A1" w:rsidP="009D19A1">
      <w:pPr>
        <w:pStyle w:val="Default"/>
        <w:spacing w:line="276" w:lineRule="auto"/>
        <w:jc w:val="both"/>
        <w:rPr>
          <w:rFonts w:asciiTheme="minorHAnsi" w:hAnsiTheme="minorHAnsi"/>
          <w:bCs/>
          <w:sz w:val="22"/>
          <w:szCs w:val="22"/>
          <w:u w:val="single"/>
        </w:rPr>
      </w:pPr>
      <w:r w:rsidRPr="004139BD">
        <w:rPr>
          <w:rFonts w:asciiTheme="minorHAnsi" w:hAnsiTheme="minorHAnsi"/>
          <w:bCs/>
          <w:sz w:val="22"/>
          <w:szCs w:val="22"/>
          <w:u w:val="single"/>
        </w:rPr>
        <w:t>Aktuell laufende Studien:</w:t>
      </w:r>
    </w:p>
    <w:p w14:paraId="76CC4B83" w14:textId="77777777" w:rsidR="00B1056B" w:rsidRPr="00FE6600" w:rsidRDefault="0069569C" w:rsidP="00B1056B">
      <w:pPr>
        <w:spacing w:line="240" w:lineRule="auto"/>
        <w:jc w:val="both"/>
        <w:rPr>
          <w:rFonts w:asciiTheme="minorHAnsi" w:hAnsiTheme="minorHAnsi" w:cstheme="minorHAnsi"/>
          <w:szCs w:val="22"/>
          <w:lang w:val="de-DE"/>
        </w:rPr>
      </w:pPr>
      <w:r>
        <w:rPr>
          <w:rFonts w:asciiTheme="minorHAnsi" w:hAnsiTheme="minorHAnsi" w:cstheme="minorHAnsi"/>
          <w:szCs w:val="22"/>
          <w:lang w:val="de-DE"/>
        </w:rPr>
        <w:t>derzeit keine Studien</w:t>
      </w:r>
    </w:p>
    <w:p w14:paraId="1679E058" w14:textId="77777777" w:rsidR="00836586" w:rsidRPr="004139BD" w:rsidRDefault="00836586" w:rsidP="00B1056B">
      <w:pPr>
        <w:jc w:val="both"/>
        <w:rPr>
          <w:rFonts w:asciiTheme="minorHAnsi" w:hAnsiTheme="minorHAnsi" w:cstheme="minorHAnsi"/>
          <w:b/>
          <w:lang w:val="de-DE"/>
        </w:rPr>
      </w:pPr>
    </w:p>
    <w:p w14:paraId="5CA05E44" w14:textId="77777777" w:rsidR="00B1056B" w:rsidRPr="004139BD" w:rsidRDefault="00B1056B" w:rsidP="00B1056B">
      <w:pPr>
        <w:jc w:val="both"/>
        <w:rPr>
          <w:rFonts w:asciiTheme="minorHAnsi" w:hAnsiTheme="minorHAnsi" w:cstheme="minorHAnsi"/>
          <w:b/>
          <w:lang w:val="de-DE"/>
        </w:rPr>
      </w:pPr>
      <w:r w:rsidRPr="004139BD">
        <w:rPr>
          <w:rFonts w:asciiTheme="minorHAnsi" w:hAnsiTheme="minorHAnsi" w:cstheme="minorHAnsi"/>
          <w:b/>
          <w:lang w:val="de-DE"/>
        </w:rPr>
        <w:t>Optionen außerhalb von Studien:</w:t>
      </w:r>
    </w:p>
    <w:p w14:paraId="0F4D4FCA" w14:textId="77777777" w:rsidR="00B1056B" w:rsidRPr="004139BD" w:rsidRDefault="00B1056B" w:rsidP="00B1056B">
      <w:pPr>
        <w:pStyle w:val="Default"/>
        <w:rPr>
          <w:rFonts w:asciiTheme="minorHAnsi" w:hAnsiTheme="minorHAnsi"/>
          <w:sz w:val="8"/>
          <w:szCs w:val="8"/>
        </w:rPr>
      </w:pPr>
    </w:p>
    <w:p w14:paraId="23FAC03E" w14:textId="77777777" w:rsidR="00B1056B" w:rsidRPr="004139BD" w:rsidRDefault="00836586" w:rsidP="003C629B">
      <w:pPr>
        <w:pStyle w:val="Default"/>
        <w:numPr>
          <w:ilvl w:val="0"/>
          <w:numId w:val="9"/>
        </w:numPr>
        <w:spacing w:line="276" w:lineRule="auto"/>
        <w:ind w:left="284" w:hanging="284"/>
        <w:rPr>
          <w:rFonts w:asciiTheme="minorHAnsi" w:hAnsiTheme="minorHAnsi"/>
          <w:sz w:val="22"/>
          <w:szCs w:val="22"/>
          <w:u w:val="single"/>
        </w:rPr>
      </w:pPr>
      <w:r w:rsidRPr="004139BD">
        <w:rPr>
          <w:rFonts w:asciiTheme="minorHAnsi" w:hAnsiTheme="minorHAnsi"/>
          <w:bCs/>
          <w:sz w:val="22"/>
          <w:szCs w:val="22"/>
          <w:u w:val="single"/>
        </w:rPr>
        <w:t>H</w:t>
      </w:r>
      <w:r w:rsidR="00B1056B" w:rsidRPr="004139BD">
        <w:rPr>
          <w:rFonts w:asciiTheme="minorHAnsi" w:hAnsiTheme="minorHAnsi"/>
          <w:bCs/>
          <w:sz w:val="22"/>
          <w:szCs w:val="22"/>
          <w:u w:val="single"/>
        </w:rPr>
        <w:t xml:space="preserve">ypomethylierende Substanzen: </w:t>
      </w:r>
    </w:p>
    <w:p w14:paraId="65ADC56A" w14:textId="77777777" w:rsidR="00B1056B" w:rsidRPr="00176746" w:rsidRDefault="00B1056B" w:rsidP="00836586">
      <w:pPr>
        <w:spacing w:line="276" w:lineRule="auto"/>
        <w:ind w:left="284"/>
        <w:jc w:val="both"/>
        <w:rPr>
          <w:rFonts w:asciiTheme="minorHAnsi" w:hAnsiTheme="minorHAnsi" w:cstheme="minorHAnsi"/>
          <w:color w:val="000000" w:themeColor="text1"/>
          <w:lang w:val="de-DE"/>
        </w:rPr>
      </w:pPr>
      <w:r w:rsidRPr="004139BD">
        <w:rPr>
          <w:rFonts w:asciiTheme="minorHAnsi" w:hAnsiTheme="minorHAnsi" w:cstheme="minorHAnsi"/>
          <w:lang w:val="de-DE"/>
        </w:rPr>
        <w:t xml:space="preserve">1. </w:t>
      </w:r>
      <w:r w:rsidRPr="00176746">
        <w:rPr>
          <w:rFonts w:asciiTheme="minorHAnsi" w:hAnsiTheme="minorHAnsi" w:cstheme="minorHAnsi"/>
          <w:color w:val="000000" w:themeColor="text1"/>
          <w:lang w:val="de-DE"/>
        </w:rPr>
        <w:t>Wahl Azacitidine Tag 1-5 (oder 1-7) s.c. oder i.v. bei gleicher kumulativer Gesamtdosis!</w:t>
      </w:r>
    </w:p>
    <w:p w14:paraId="567B6ADE" w14:textId="77777777" w:rsidR="00B1056B" w:rsidRPr="00176746" w:rsidRDefault="00B1056B" w:rsidP="00836586">
      <w:pPr>
        <w:spacing w:line="276" w:lineRule="auto"/>
        <w:ind w:left="284"/>
        <w:jc w:val="both"/>
        <w:rPr>
          <w:b/>
          <w:bCs/>
          <w:color w:val="000000" w:themeColor="text1"/>
          <w:szCs w:val="22"/>
        </w:rPr>
      </w:pPr>
      <w:r w:rsidRPr="00176746">
        <w:rPr>
          <w:rFonts w:asciiTheme="minorHAnsi" w:hAnsiTheme="minorHAnsi" w:cstheme="minorHAnsi"/>
          <w:color w:val="000000" w:themeColor="text1"/>
        </w:rPr>
        <w:t>2. Wahl Decitabine Tag 1-5 i.v.</w:t>
      </w:r>
      <w:r w:rsidRPr="00176746">
        <w:rPr>
          <w:b/>
          <w:bCs/>
          <w:color w:val="000000" w:themeColor="text1"/>
          <w:szCs w:val="22"/>
        </w:rPr>
        <w:t xml:space="preserve"> </w:t>
      </w:r>
    </w:p>
    <w:p w14:paraId="57BFAE0C" w14:textId="77777777" w:rsidR="007C4AD6" w:rsidRDefault="00454BA4" w:rsidP="007C4AD6">
      <w:pPr>
        <w:spacing w:line="276" w:lineRule="auto"/>
        <w:ind w:left="284"/>
        <w:jc w:val="both"/>
        <w:rPr>
          <w:rFonts w:asciiTheme="minorHAnsi" w:hAnsiTheme="minorHAnsi" w:cstheme="minorHAnsi"/>
          <w:color w:val="000000" w:themeColor="text1"/>
          <w:szCs w:val="22"/>
        </w:rPr>
      </w:pPr>
      <w:r>
        <w:rPr>
          <w:rFonts w:asciiTheme="minorHAnsi" w:hAnsiTheme="minorHAnsi" w:cstheme="minorHAnsi"/>
          <w:color w:val="000000" w:themeColor="text1"/>
          <w:szCs w:val="22"/>
        </w:rPr>
        <w:t>Jeweils in Kombination mit</w:t>
      </w:r>
      <w:r w:rsidR="007C4AD6" w:rsidRPr="00176746">
        <w:rPr>
          <w:rFonts w:asciiTheme="minorHAnsi" w:hAnsiTheme="minorHAnsi" w:cstheme="minorHAnsi"/>
          <w:color w:val="000000" w:themeColor="text1"/>
          <w:szCs w:val="22"/>
        </w:rPr>
        <w:t xml:space="preserve"> Venetoclax</w:t>
      </w:r>
      <w:r w:rsidR="00F61076">
        <w:rPr>
          <w:rFonts w:asciiTheme="minorHAnsi" w:hAnsiTheme="minorHAnsi" w:cstheme="minorHAnsi"/>
          <w:color w:val="000000" w:themeColor="text1"/>
          <w:szCs w:val="22"/>
        </w:rPr>
        <w:t>. Informationen zur Dosierung siehe Anhang</w:t>
      </w:r>
      <w:r w:rsidR="006B68E2">
        <w:rPr>
          <w:rFonts w:asciiTheme="minorHAnsi" w:hAnsiTheme="minorHAnsi" w:cstheme="minorHAnsi"/>
          <w:color w:val="000000" w:themeColor="text1"/>
          <w:szCs w:val="22"/>
        </w:rPr>
        <w:t>.</w:t>
      </w:r>
      <w:r w:rsidR="00AD248D">
        <w:rPr>
          <w:rFonts w:asciiTheme="minorHAnsi" w:hAnsiTheme="minorHAnsi" w:cstheme="minorHAnsi"/>
          <w:color w:val="000000" w:themeColor="text1"/>
          <w:szCs w:val="22"/>
        </w:rPr>
        <w:t xml:space="preserve"> </w:t>
      </w:r>
    </w:p>
    <w:p w14:paraId="6F84F5AC" w14:textId="77777777" w:rsidR="00AD248D" w:rsidRPr="00E90E54" w:rsidRDefault="00AD248D" w:rsidP="00E90E54">
      <w:pPr>
        <w:spacing w:line="276" w:lineRule="auto"/>
        <w:ind w:left="708"/>
        <w:jc w:val="both"/>
        <w:rPr>
          <w:rFonts w:asciiTheme="minorHAnsi" w:hAnsiTheme="minorHAnsi" w:cstheme="minorHAnsi"/>
          <w:i/>
          <w:color w:val="000000" w:themeColor="text1"/>
          <w:szCs w:val="22"/>
        </w:rPr>
      </w:pPr>
      <w:r w:rsidRPr="00E90E54">
        <w:rPr>
          <w:rFonts w:asciiTheme="minorHAnsi" w:hAnsiTheme="minorHAnsi" w:cstheme="minorHAnsi"/>
          <w:i/>
          <w:color w:val="000000" w:themeColor="text1"/>
          <w:szCs w:val="22"/>
        </w:rPr>
        <w:t>Weitere Option:</w:t>
      </w:r>
    </w:p>
    <w:p w14:paraId="5AD1B63A" w14:textId="77777777" w:rsidR="00AD248D" w:rsidRPr="00AD248D" w:rsidRDefault="00AD248D" w:rsidP="00E90E54">
      <w:pPr>
        <w:spacing w:line="276" w:lineRule="auto"/>
        <w:ind w:left="708"/>
        <w:jc w:val="both"/>
        <w:rPr>
          <w:rFonts w:asciiTheme="minorHAnsi" w:hAnsiTheme="minorHAnsi" w:cstheme="minorHAnsi"/>
          <w:color w:val="000000" w:themeColor="text1"/>
          <w:szCs w:val="22"/>
        </w:rPr>
      </w:pPr>
      <w:r w:rsidRPr="00E90E54">
        <w:rPr>
          <w:rFonts w:asciiTheme="minorHAnsi" w:hAnsiTheme="minorHAnsi" w:cstheme="minorHAnsi"/>
          <w:color w:val="000000" w:themeColor="text1"/>
          <w:szCs w:val="22"/>
        </w:rPr>
        <w:t xml:space="preserve">Named Patient Programm: Ivosidenib + Azacitidine für AML mit IDH1-Mutation. </w:t>
      </w:r>
    </w:p>
    <w:p w14:paraId="3A48BAE5" w14:textId="77777777" w:rsidR="007C4AD6" w:rsidRPr="00AD248D" w:rsidRDefault="007C4AD6" w:rsidP="00836586">
      <w:pPr>
        <w:spacing w:line="276" w:lineRule="auto"/>
        <w:ind w:left="284"/>
        <w:jc w:val="both"/>
        <w:rPr>
          <w:b/>
          <w:bCs/>
          <w:color w:val="000000" w:themeColor="text1"/>
          <w:szCs w:val="22"/>
        </w:rPr>
      </w:pPr>
    </w:p>
    <w:p w14:paraId="1336A548" w14:textId="77777777" w:rsidR="00B1056B" w:rsidRPr="00176746" w:rsidRDefault="00836586" w:rsidP="003C629B">
      <w:pPr>
        <w:pStyle w:val="Default"/>
        <w:numPr>
          <w:ilvl w:val="0"/>
          <w:numId w:val="9"/>
        </w:numPr>
        <w:spacing w:line="276" w:lineRule="auto"/>
        <w:ind w:left="284" w:hanging="284"/>
        <w:rPr>
          <w:rFonts w:asciiTheme="minorHAnsi" w:hAnsiTheme="minorHAnsi"/>
          <w:bCs/>
          <w:color w:val="000000" w:themeColor="text1"/>
          <w:sz w:val="22"/>
          <w:szCs w:val="22"/>
          <w:u w:val="single"/>
        </w:rPr>
      </w:pPr>
      <w:r w:rsidRPr="00176746">
        <w:rPr>
          <w:rFonts w:asciiTheme="minorHAnsi" w:hAnsiTheme="minorHAnsi"/>
          <w:bCs/>
          <w:color w:val="000000" w:themeColor="text1"/>
          <w:sz w:val="22"/>
          <w:szCs w:val="22"/>
          <w:u w:val="single"/>
        </w:rPr>
        <w:t>P</w:t>
      </w:r>
      <w:r w:rsidR="00B1056B" w:rsidRPr="00176746">
        <w:rPr>
          <w:rFonts w:asciiTheme="minorHAnsi" w:hAnsiTheme="minorHAnsi"/>
          <w:bCs/>
          <w:color w:val="000000" w:themeColor="text1"/>
          <w:sz w:val="22"/>
          <w:szCs w:val="22"/>
          <w:u w:val="single"/>
        </w:rPr>
        <w:t xml:space="preserve">alliative zytoreduktive Therapien ohne spezifisches Target: </w:t>
      </w:r>
    </w:p>
    <w:p w14:paraId="326F7693" w14:textId="77777777" w:rsidR="007E1009" w:rsidRPr="00176746" w:rsidRDefault="00B1056B" w:rsidP="007E1009">
      <w:pPr>
        <w:pStyle w:val="Listenabsatz"/>
        <w:numPr>
          <w:ilvl w:val="0"/>
          <w:numId w:val="18"/>
        </w:numPr>
        <w:spacing w:line="276" w:lineRule="auto"/>
        <w:jc w:val="both"/>
        <w:rPr>
          <w:rFonts w:asciiTheme="minorHAnsi" w:hAnsiTheme="minorHAnsi" w:cstheme="minorHAnsi"/>
          <w:color w:val="000000" w:themeColor="text1"/>
          <w:lang w:val="en-US"/>
        </w:rPr>
      </w:pPr>
      <w:r w:rsidRPr="00176746">
        <w:rPr>
          <w:rFonts w:asciiTheme="minorHAnsi" w:hAnsiTheme="minorHAnsi" w:cstheme="minorHAnsi"/>
          <w:color w:val="000000" w:themeColor="text1"/>
          <w:lang w:val="en-US"/>
        </w:rPr>
        <w:t xml:space="preserve">Hydroxyurea p.o. </w:t>
      </w:r>
    </w:p>
    <w:p w14:paraId="7924C0D0" w14:textId="77777777" w:rsidR="00B1056B" w:rsidRPr="00176746" w:rsidRDefault="00B1056B" w:rsidP="007E1009">
      <w:pPr>
        <w:pStyle w:val="Listenabsatz"/>
        <w:numPr>
          <w:ilvl w:val="0"/>
          <w:numId w:val="18"/>
        </w:numPr>
        <w:spacing w:line="276" w:lineRule="auto"/>
        <w:jc w:val="both"/>
        <w:rPr>
          <w:rFonts w:asciiTheme="minorHAnsi" w:hAnsiTheme="minorHAnsi" w:cstheme="minorHAnsi"/>
          <w:color w:val="000000" w:themeColor="text1"/>
        </w:rPr>
      </w:pPr>
      <w:r w:rsidRPr="00176746">
        <w:rPr>
          <w:rFonts w:asciiTheme="minorHAnsi" w:hAnsiTheme="minorHAnsi" w:cstheme="minorHAnsi"/>
          <w:color w:val="000000" w:themeColor="text1"/>
        </w:rPr>
        <w:t xml:space="preserve">low-dose Cytarabin </w:t>
      </w:r>
      <w:r w:rsidR="007E1009" w:rsidRPr="00176746">
        <w:rPr>
          <w:rFonts w:asciiTheme="minorHAnsi" w:hAnsiTheme="minorHAnsi" w:cstheme="minorHAnsi"/>
          <w:color w:val="000000" w:themeColor="text1"/>
          <w:szCs w:val="22"/>
        </w:rPr>
        <w:t>Ggf. + Venetoclax – (</w:t>
      </w:r>
      <w:r w:rsidR="00E1687B" w:rsidRPr="00176746">
        <w:rPr>
          <w:rFonts w:asciiTheme="minorHAnsi" w:hAnsiTheme="minorHAnsi" w:cstheme="minorHAnsi"/>
          <w:color w:val="000000" w:themeColor="text1"/>
          <w:szCs w:val="22"/>
        </w:rPr>
        <w:t xml:space="preserve">derzeit </w:t>
      </w:r>
      <w:r w:rsidR="00A2388E">
        <w:rPr>
          <w:rFonts w:asciiTheme="minorHAnsi" w:hAnsiTheme="minorHAnsi" w:cstheme="minorHAnsi"/>
          <w:color w:val="000000" w:themeColor="text1"/>
          <w:szCs w:val="22"/>
        </w:rPr>
        <w:t>in Kombination mit ld-ARA-C</w:t>
      </w:r>
      <w:r w:rsidR="00E1687B" w:rsidRPr="00176746">
        <w:rPr>
          <w:rFonts w:asciiTheme="minorHAnsi" w:hAnsiTheme="minorHAnsi" w:cstheme="minorHAnsi"/>
          <w:color w:val="000000" w:themeColor="text1"/>
          <w:szCs w:val="22"/>
        </w:rPr>
        <w:t xml:space="preserve"> noch nicht zugelassen; um chefärztliche Bewilligung als Heilversuch mit Angabe der Literaturquelle [2</w:t>
      </w:r>
      <w:r w:rsidR="0042619C" w:rsidRPr="00176746">
        <w:rPr>
          <w:rFonts w:asciiTheme="minorHAnsi" w:hAnsiTheme="minorHAnsi" w:cstheme="minorHAnsi"/>
          <w:color w:val="000000" w:themeColor="text1"/>
          <w:szCs w:val="22"/>
        </w:rPr>
        <w:t>2</w:t>
      </w:r>
      <w:r w:rsidR="00E1687B" w:rsidRPr="00176746">
        <w:rPr>
          <w:rFonts w:asciiTheme="minorHAnsi" w:hAnsiTheme="minorHAnsi" w:cstheme="minorHAnsi"/>
          <w:color w:val="000000" w:themeColor="text1"/>
          <w:szCs w:val="22"/>
        </w:rPr>
        <w:t xml:space="preserve">; </w:t>
      </w:r>
      <w:r w:rsidR="0042619C" w:rsidRPr="00176746">
        <w:rPr>
          <w:rFonts w:asciiTheme="minorHAnsi" w:hAnsiTheme="minorHAnsi" w:cstheme="minorHAnsi"/>
          <w:color w:val="000000" w:themeColor="text1"/>
          <w:szCs w:val="22"/>
        </w:rPr>
        <w:t>Wei</w:t>
      </w:r>
      <w:r w:rsidR="00E1687B" w:rsidRPr="00176746">
        <w:rPr>
          <w:rFonts w:asciiTheme="minorHAnsi" w:hAnsiTheme="minorHAnsi" w:cstheme="minorHAnsi"/>
          <w:color w:val="000000" w:themeColor="text1"/>
          <w:szCs w:val="22"/>
        </w:rPr>
        <w:t xml:space="preserve"> et al] ansuchen</w:t>
      </w:r>
      <w:r w:rsidR="007E1009" w:rsidRPr="00176746">
        <w:rPr>
          <w:rFonts w:asciiTheme="minorHAnsi" w:hAnsiTheme="minorHAnsi" w:cstheme="minorHAnsi"/>
          <w:color w:val="000000" w:themeColor="text1"/>
          <w:szCs w:val="22"/>
        </w:rPr>
        <w:t>)</w:t>
      </w:r>
    </w:p>
    <w:p w14:paraId="1205DC7C" w14:textId="77777777" w:rsidR="007A3322" w:rsidRPr="00176746" w:rsidRDefault="007A3322" w:rsidP="007A3322">
      <w:pPr>
        <w:pStyle w:val="Listenabsatz"/>
        <w:numPr>
          <w:ilvl w:val="0"/>
          <w:numId w:val="18"/>
        </w:numPr>
        <w:spacing w:line="276" w:lineRule="auto"/>
        <w:jc w:val="both"/>
        <w:rPr>
          <w:rFonts w:asciiTheme="minorHAnsi" w:hAnsiTheme="minorHAnsi" w:cstheme="minorHAnsi"/>
          <w:color w:val="000000" w:themeColor="text1"/>
        </w:rPr>
      </w:pPr>
      <w:r w:rsidRPr="00176746">
        <w:rPr>
          <w:rFonts w:asciiTheme="minorHAnsi" w:hAnsiTheme="minorHAnsi" w:cstheme="minorHAnsi"/>
          <w:color w:val="000000" w:themeColor="text1"/>
        </w:rPr>
        <w:t>Low dose Cytarabin + Glasdegib (Daurismo):  Mögliche Anwendung bei sek. AML nach HMA Therapie eines MDS oder wenn andere Gründe gegen HMA sprechen</w:t>
      </w:r>
    </w:p>
    <w:p w14:paraId="05E82A56" w14:textId="77777777" w:rsidR="000B27AF" w:rsidRPr="00057605" w:rsidRDefault="000B27AF" w:rsidP="000B27AF">
      <w:pPr>
        <w:pStyle w:val="Listenabsatz"/>
        <w:numPr>
          <w:ilvl w:val="0"/>
          <w:numId w:val="18"/>
        </w:numPr>
        <w:spacing w:line="276" w:lineRule="auto"/>
        <w:jc w:val="both"/>
        <w:rPr>
          <w:rFonts w:asciiTheme="minorHAnsi" w:hAnsiTheme="minorHAnsi" w:cstheme="minorHAnsi"/>
        </w:rPr>
      </w:pPr>
      <w:r w:rsidRPr="00AE3DFF">
        <w:rPr>
          <w:rFonts w:asciiTheme="minorHAnsi" w:hAnsiTheme="minorHAnsi" w:cstheme="minorHAnsi"/>
          <w:lang w:val="en-GB"/>
        </w:rPr>
        <w:t xml:space="preserve">ATRA (Vesanoid): Option für good risk AML-Pat. </w:t>
      </w:r>
      <w:r w:rsidR="007A3322">
        <w:rPr>
          <w:rFonts w:asciiTheme="minorHAnsi" w:hAnsiTheme="minorHAnsi" w:cstheme="minorHAnsi"/>
        </w:rPr>
        <w:t xml:space="preserve">Zusätzlich </w:t>
      </w:r>
      <w:r w:rsidRPr="00057605">
        <w:rPr>
          <w:rFonts w:asciiTheme="minorHAnsi" w:hAnsiTheme="minorHAnsi" w:cstheme="minorHAnsi"/>
        </w:rPr>
        <w:t>zur Induktion und Kons</w:t>
      </w:r>
      <w:r w:rsidR="007A3322">
        <w:rPr>
          <w:rFonts w:asciiTheme="minorHAnsi" w:hAnsiTheme="minorHAnsi" w:cstheme="minorHAnsi"/>
        </w:rPr>
        <w:t>. bzw HMA</w:t>
      </w:r>
    </w:p>
    <w:p w14:paraId="36ACDBF1" w14:textId="77777777" w:rsidR="000B27AF" w:rsidRPr="00057605" w:rsidRDefault="000B27AF" w:rsidP="000B27AF">
      <w:pPr>
        <w:spacing w:line="276" w:lineRule="auto"/>
        <w:jc w:val="both"/>
        <w:rPr>
          <w:szCs w:val="22"/>
        </w:rPr>
      </w:pPr>
    </w:p>
    <w:p w14:paraId="207E76F5" w14:textId="77777777" w:rsidR="00B1056B" w:rsidRPr="004139BD" w:rsidRDefault="00836586" w:rsidP="003C629B">
      <w:pPr>
        <w:pStyle w:val="Default"/>
        <w:numPr>
          <w:ilvl w:val="0"/>
          <w:numId w:val="9"/>
        </w:numPr>
        <w:spacing w:line="276" w:lineRule="auto"/>
        <w:ind w:left="284" w:hanging="284"/>
        <w:rPr>
          <w:bCs/>
          <w:sz w:val="22"/>
          <w:szCs w:val="22"/>
          <w:u w:val="single"/>
        </w:rPr>
      </w:pPr>
      <w:r w:rsidRPr="004139BD">
        <w:rPr>
          <w:rFonts w:asciiTheme="minorHAnsi" w:hAnsiTheme="minorHAnsi"/>
          <w:bCs/>
          <w:sz w:val="22"/>
          <w:szCs w:val="22"/>
          <w:u w:val="single"/>
        </w:rPr>
        <w:t>P</w:t>
      </w:r>
      <w:r w:rsidR="00B1056B" w:rsidRPr="004139BD">
        <w:rPr>
          <w:rFonts w:asciiTheme="minorHAnsi" w:hAnsiTheme="minorHAnsi"/>
          <w:bCs/>
          <w:sz w:val="22"/>
          <w:szCs w:val="22"/>
          <w:u w:val="single"/>
        </w:rPr>
        <w:t xml:space="preserve">alliative zytoreduktive Therapien mit spezifischem Target: </w:t>
      </w:r>
    </w:p>
    <w:p w14:paraId="2EA656A4" w14:textId="77777777" w:rsidR="009D19A1" w:rsidRPr="004139BD" w:rsidRDefault="009D19A1" w:rsidP="003C629B">
      <w:pPr>
        <w:pStyle w:val="Listenabsatz"/>
        <w:numPr>
          <w:ilvl w:val="0"/>
          <w:numId w:val="19"/>
        </w:numPr>
        <w:spacing w:line="276" w:lineRule="auto"/>
        <w:ind w:left="644"/>
        <w:jc w:val="both"/>
        <w:rPr>
          <w:rFonts w:asciiTheme="minorHAnsi" w:hAnsiTheme="minorHAnsi" w:cstheme="minorHAnsi"/>
        </w:rPr>
      </w:pPr>
      <w:r w:rsidRPr="004139BD">
        <w:rPr>
          <w:rFonts w:asciiTheme="minorHAnsi" w:hAnsiTheme="minorHAnsi" w:cstheme="minorHAnsi"/>
        </w:rPr>
        <w:t>Gilteritinib (Xospata®) bei rez./refraktärer AML mit FLT3-Mutation (Monotherapie 120 mg/d)</w:t>
      </w:r>
    </w:p>
    <w:p w14:paraId="3E56AFEA" w14:textId="77777777" w:rsidR="00B1056B" w:rsidRPr="004139BD" w:rsidRDefault="00B1056B" w:rsidP="003C629B">
      <w:pPr>
        <w:pStyle w:val="Listenabsatz"/>
        <w:numPr>
          <w:ilvl w:val="0"/>
          <w:numId w:val="19"/>
        </w:numPr>
        <w:spacing w:line="276" w:lineRule="auto"/>
        <w:ind w:left="644"/>
        <w:jc w:val="both"/>
        <w:rPr>
          <w:rFonts w:asciiTheme="minorHAnsi" w:hAnsiTheme="minorHAnsi" w:cstheme="minorHAnsi"/>
        </w:rPr>
      </w:pPr>
      <w:r w:rsidRPr="004139BD">
        <w:rPr>
          <w:rFonts w:asciiTheme="minorHAnsi" w:hAnsiTheme="minorHAnsi" w:cstheme="minorHAnsi"/>
        </w:rPr>
        <w:t>Sorafenib (FLT3 mut. ) – named patient program</w:t>
      </w:r>
    </w:p>
    <w:p w14:paraId="1EA771C9" w14:textId="77777777" w:rsidR="009D19A1" w:rsidRPr="004139BD" w:rsidRDefault="009D19A1" w:rsidP="003C629B">
      <w:pPr>
        <w:pStyle w:val="Listenabsatz"/>
        <w:numPr>
          <w:ilvl w:val="0"/>
          <w:numId w:val="19"/>
        </w:numPr>
        <w:spacing w:line="276" w:lineRule="auto"/>
        <w:ind w:left="644"/>
        <w:jc w:val="both"/>
        <w:rPr>
          <w:rFonts w:asciiTheme="minorHAnsi" w:hAnsiTheme="minorHAnsi" w:cstheme="minorHAnsi"/>
        </w:rPr>
      </w:pPr>
      <w:r w:rsidRPr="004139BD">
        <w:rPr>
          <w:rFonts w:asciiTheme="minorHAnsi" w:hAnsiTheme="minorHAnsi" w:cstheme="minorHAnsi"/>
        </w:rPr>
        <w:t>Enasidenib (IDHIFA) bei rez./rel. AML mit IDH-2 Mutation (named patient program)</w:t>
      </w:r>
    </w:p>
    <w:p w14:paraId="18C4F454" w14:textId="77777777" w:rsidR="00B1056B" w:rsidRPr="004139BD" w:rsidRDefault="00B1056B" w:rsidP="003C629B">
      <w:pPr>
        <w:pStyle w:val="Listenabsatz"/>
        <w:numPr>
          <w:ilvl w:val="0"/>
          <w:numId w:val="19"/>
        </w:numPr>
        <w:spacing w:line="276" w:lineRule="auto"/>
        <w:ind w:left="644"/>
        <w:jc w:val="both"/>
        <w:rPr>
          <w:rFonts w:asciiTheme="minorHAnsi" w:hAnsiTheme="minorHAnsi" w:cstheme="minorHAnsi"/>
        </w:rPr>
      </w:pPr>
      <w:r w:rsidRPr="004139BD">
        <w:rPr>
          <w:rFonts w:asciiTheme="minorHAnsi" w:hAnsiTheme="minorHAnsi" w:cstheme="minorHAnsi"/>
        </w:rPr>
        <w:t>Lenalidomid (5q- und Trisomie 13) – named patient program</w:t>
      </w:r>
    </w:p>
    <w:p w14:paraId="56DDF8DB" w14:textId="77777777" w:rsidR="009D19A1" w:rsidRPr="004139BD" w:rsidRDefault="009D19A1" w:rsidP="003C629B">
      <w:pPr>
        <w:pStyle w:val="Listenabsatz"/>
        <w:numPr>
          <w:ilvl w:val="0"/>
          <w:numId w:val="19"/>
        </w:numPr>
        <w:spacing w:line="276" w:lineRule="auto"/>
        <w:ind w:left="644"/>
        <w:jc w:val="both"/>
        <w:rPr>
          <w:rFonts w:asciiTheme="minorHAnsi" w:hAnsiTheme="minorHAnsi" w:cstheme="minorHAnsi"/>
        </w:rPr>
      </w:pPr>
      <w:r w:rsidRPr="004139BD">
        <w:rPr>
          <w:rFonts w:asciiTheme="minorHAnsi" w:hAnsiTheme="minorHAnsi" w:cstheme="minorHAnsi"/>
        </w:rPr>
        <w:t>Dasatinib (bei c-kit Mutation) – off label</w:t>
      </w:r>
    </w:p>
    <w:p w14:paraId="1CA0C832" w14:textId="77777777" w:rsidR="007E1009" w:rsidRDefault="00B1056B" w:rsidP="007E1009">
      <w:pPr>
        <w:pStyle w:val="Listenabsatz"/>
        <w:numPr>
          <w:ilvl w:val="0"/>
          <w:numId w:val="19"/>
        </w:numPr>
        <w:spacing w:line="276" w:lineRule="auto"/>
        <w:ind w:left="644"/>
        <w:jc w:val="both"/>
        <w:rPr>
          <w:rFonts w:asciiTheme="minorHAnsi" w:hAnsiTheme="minorHAnsi" w:cstheme="minorHAnsi"/>
        </w:rPr>
      </w:pPr>
      <w:r w:rsidRPr="004139BD">
        <w:rPr>
          <w:rFonts w:asciiTheme="minorHAnsi" w:hAnsiTheme="minorHAnsi" w:cstheme="minorHAnsi"/>
        </w:rPr>
        <w:t xml:space="preserve">Venetoclax </w:t>
      </w:r>
      <w:r w:rsidR="00A2388E">
        <w:rPr>
          <w:rFonts w:asciiTheme="minorHAnsi" w:hAnsiTheme="minorHAnsi" w:cstheme="minorHAnsi"/>
        </w:rPr>
        <w:t>als Heilversuch, allerdings weder Zulassung vorliegend, noch named patient Programm vorhanden</w:t>
      </w:r>
    </w:p>
    <w:p w14:paraId="5F2CE973" w14:textId="77777777" w:rsidR="006E488E" w:rsidRDefault="006E488E" w:rsidP="006E488E">
      <w:pPr>
        <w:autoSpaceDE w:val="0"/>
        <w:autoSpaceDN w:val="0"/>
        <w:adjustRightInd w:val="0"/>
        <w:spacing w:line="288" w:lineRule="auto"/>
        <w:jc w:val="left"/>
        <w:rPr>
          <w:rFonts w:ascii="Calibri" w:hAnsi="Calibri" w:cs="Calibri"/>
          <w:color w:val="000000"/>
          <w:sz w:val="24"/>
          <w:szCs w:val="24"/>
          <w:lang w:val="de-DE" w:eastAsia="de-AT"/>
        </w:rPr>
      </w:pPr>
    </w:p>
    <w:p w14:paraId="5904BEF6" w14:textId="77777777" w:rsidR="00B1056B" w:rsidRDefault="00B1056B">
      <w:pPr>
        <w:spacing w:line="240" w:lineRule="auto"/>
        <w:jc w:val="left"/>
        <w:rPr>
          <w:rFonts w:ascii="Calibri" w:hAnsi="Calibri" w:cs="Calibri"/>
          <w:color w:val="000000"/>
          <w:sz w:val="18"/>
          <w:szCs w:val="18"/>
          <w:lang w:val="de-DE" w:eastAsia="de-AT"/>
        </w:rPr>
      </w:pPr>
      <w:r>
        <w:rPr>
          <w:rFonts w:ascii="Calibri" w:hAnsi="Calibri" w:cs="Calibri"/>
          <w:color w:val="000000"/>
          <w:sz w:val="18"/>
          <w:szCs w:val="18"/>
          <w:lang w:val="de-DE" w:eastAsia="de-AT"/>
        </w:rPr>
        <w:br w:type="page"/>
      </w:r>
    </w:p>
    <w:p w14:paraId="261EC992" w14:textId="77777777" w:rsidR="001C725E" w:rsidRPr="0065633E" w:rsidRDefault="00221975" w:rsidP="00221975">
      <w:pPr>
        <w:pStyle w:val="berschrift2"/>
        <w:numPr>
          <w:ilvl w:val="0"/>
          <w:numId w:val="0"/>
        </w:numPr>
        <w:rPr>
          <w:lang w:val="de-DE"/>
        </w:rPr>
      </w:pPr>
      <w:bookmarkStart w:id="38" w:name="_Toc63667671"/>
      <w:r>
        <w:rPr>
          <w:lang w:val="de-DE"/>
        </w:rPr>
        <w:lastRenderedPageBreak/>
        <w:t>3.5</w:t>
      </w:r>
      <w:r>
        <w:rPr>
          <w:lang w:val="de-DE"/>
        </w:rPr>
        <w:tab/>
      </w:r>
      <w:r w:rsidR="001C725E" w:rsidRPr="0065633E">
        <w:rPr>
          <w:lang w:val="de-DE"/>
        </w:rPr>
        <w:t>Algorithmus zur Therapie für Patienten mit APL</w:t>
      </w:r>
      <w:bookmarkEnd w:id="38"/>
    </w:p>
    <w:p w14:paraId="0627B697" w14:textId="77777777" w:rsidR="00214327" w:rsidRPr="00CE42A2" w:rsidRDefault="004C0C7A" w:rsidP="005729ED">
      <w:pPr>
        <w:pStyle w:val="berschrift3"/>
        <w:numPr>
          <w:ilvl w:val="2"/>
          <w:numId w:val="26"/>
        </w:numPr>
        <w:ind w:left="567" w:hanging="567"/>
        <w:rPr>
          <w:lang w:eastAsia="de-AT"/>
        </w:rPr>
      </w:pPr>
      <w:bookmarkStart w:id="39" w:name="_Toc63667672"/>
      <w:r w:rsidRPr="00CE42A2">
        <w:rPr>
          <w:lang w:eastAsia="de-AT"/>
        </w:rPr>
        <w:t>Überblick über die Behandlungsempfehlungen</w:t>
      </w:r>
      <w:bookmarkEnd w:id="39"/>
    </w:p>
    <w:p w14:paraId="3C947C72" w14:textId="77777777" w:rsidR="001C725E" w:rsidRPr="00F42E5B" w:rsidRDefault="00214327" w:rsidP="00F42E5B">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b/>
          <w:lang w:val="en-US"/>
        </w:rPr>
      </w:pPr>
      <w:r w:rsidRPr="00F42E5B">
        <w:rPr>
          <w:rFonts w:asciiTheme="minorHAnsi" w:hAnsiTheme="minorHAnsi" w:cstheme="minorHAnsi"/>
          <w:b/>
          <w:lang w:val="en-US"/>
        </w:rPr>
        <w:t>Overview of the treatment recommendations for newly diagnosed APL</w:t>
      </w:r>
    </w:p>
    <w:p w14:paraId="27770718" w14:textId="77777777" w:rsidR="001C725E" w:rsidRPr="00816412" w:rsidRDefault="00874AEB" w:rsidP="00F42E5B">
      <w:pPr>
        <w:pBdr>
          <w:top w:val="single" w:sz="4" w:space="1" w:color="auto"/>
          <w:left w:val="single" w:sz="4" w:space="4" w:color="auto"/>
          <w:bottom w:val="single" w:sz="4" w:space="1" w:color="auto"/>
          <w:right w:val="single" w:sz="4" w:space="4" w:color="auto"/>
        </w:pBdr>
        <w:rPr>
          <w:lang w:val="de-DE"/>
        </w:rPr>
      </w:pPr>
      <w:r>
        <w:rPr>
          <w:noProof/>
          <w:lang w:eastAsia="de-AT"/>
        </w:rPr>
        <mc:AlternateContent>
          <mc:Choice Requires="wps">
            <w:drawing>
              <wp:anchor distT="0" distB="0" distL="114300" distR="114300" simplePos="0" relativeHeight="251659264" behindDoc="0" locked="0" layoutInCell="1" allowOverlap="1" wp14:anchorId="53604969" wp14:editId="2FED1FC8">
                <wp:simplePos x="0" y="0"/>
                <wp:positionH relativeFrom="column">
                  <wp:posOffset>1379220</wp:posOffset>
                </wp:positionH>
                <wp:positionV relativeFrom="paragraph">
                  <wp:posOffset>1002665</wp:posOffset>
                </wp:positionV>
                <wp:extent cx="2051050" cy="2673350"/>
                <wp:effectExtent l="0" t="0" r="6350" b="0"/>
                <wp:wrapNone/>
                <wp:docPr id="33" name="Rechteck 33"/>
                <wp:cNvGraphicFramePr/>
                <a:graphic xmlns:a="http://schemas.openxmlformats.org/drawingml/2006/main">
                  <a:graphicData uri="http://schemas.microsoft.com/office/word/2010/wordprocessingShape">
                    <wps:wsp>
                      <wps:cNvSpPr/>
                      <wps:spPr>
                        <a:xfrm>
                          <a:off x="0" y="0"/>
                          <a:ext cx="2051050" cy="267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8277EC" id="Rechteck 33" o:spid="_x0000_s1026" style="position:absolute;margin-left:108.6pt;margin-top:78.95pt;width:161.5pt;height:21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" fillcolor="white [3212]" stroked="f" strokeweight="2pt"/>
            </w:pict>
          </mc:Fallback>
        </mc:AlternateContent>
      </w:r>
      <w:r>
        <w:rPr>
          <w:noProof/>
          <w:lang w:eastAsia="de-AT"/>
        </w:rPr>
        <mc:AlternateContent>
          <mc:Choice Requires="wps">
            <w:drawing>
              <wp:anchor distT="0" distB="0" distL="114300" distR="114300" simplePos="0" relativeHeight="251662336" behindDoc="0" locked="0" layoutInCell="1" allowOverlap="1" wp14:anchorId="36E8FEF1" wp14:editId="238941BD">
                <wp:simplePos x="0" y="0"/>
                <wp:positionH relativeFrom="column">
                  <wp:posOffset>1563370</wp:posOffset>
                </wp:positionH>
                <wp:positionV relativeFrom="paragraph">
                  <wp:posOffset>843915</wp:posOffset>
                </wp:positionV>
                <wp:extent cx="2108200" cy="184150"/>
                <wp:effectExtent l="0" t="0" r="6350" b="6350"/>
                <wp:wrapNone/>
                <wp:docPr id="37" name="Rechteck 37"/>
                <wp:cNvGraphicFramePr/>
                <a:graphic xmlns:a="http://schemas.openxmlformats.org/drawingml/2006/main">
                  <a:graphicData uri="http://schemas.microsoft.com/office/word/2010/wordprocessingShape">
                    <wps:wsp>
                      <wps:cNvSpPr/>
                      <wps:spPr>
                        <a:xfrm>
                          <a:off x="0" y="0"/>
                          <a:ext cx="2108200" cy="184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05F937" id="Rechteck 37" o:spid="_x0000_s1026" style="position:absolute;margin-left:123.1pt;margin-top:66.45pt;width:166pt;height:1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" fillcolor="white [3212]" stroked="f" strokeweight="2pt"/>
            </w:pict>
          </mc:Fallback>
        </mc:AlternateContent>
      </w:r>
      <w:r w:rsidR="001C725E">
        <w:rPr>
          <w:noProof/>
          <w:lang w:eastAsia="de-AT"/>
        </w:rPr>
        <w:drawing>
          <wp:inline distT="0" distB="0" distL="0" distR="0" wp14:anchorId="63ABAF7F" wp14:editId="4C78920C">
            <wp:extent cx="5809846" cy="3719945"/>
            <wp:effectExtent l="0" t="0" r="63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987" t="21485" r="41305" b="17382"/>
                    <a:stretch/>
                  </pic:blipFill>
                  <pic:spPr bwMode="auto">
                    <a:xfrm>
                      <a:off x="0" y="0"/>
                      <a:ext cx="5811327" cy="3720893"/>
                    </a:xfrm>
                    <a:prstGeom prst="rect">
                      <a:avLst/>
                    </a:prstGeom>
                    <a:ln>
                      <a:noFill/>
                    </a:ln>
                    <a:extLst>
                      <a:ext uri="{53640926-AAD7-44D8-BBD7-CCE9431645EC}">
                        <a14:shadowObscured xmlns:a14="http://schemas.microsoft.com/office/drawing/2010/main"/>
                      </a:ext>
                    </a:extLst>
                  </pic:spPr>
                </pic:pic>
              </a:graphicData>
            </a:graphic>
          </wp:inline>
        </w:drawing>
      </w:r>
    </w:p>
    <w:p w14:paraId="1C57E9DB" w14:textId="77777777" w:rsidR="00874AEB" w:rsidRDefault="00874AEB" w:rsidP="001C725E">
      <w:pPr>
        <w:rPr>
          <w:lang w:val="de-DE"/>
        </w:rPr>
      </w:pPr>
    </w:p>
    <w:p w14:paraId="73B32AA2" w14:textId="77777777" w:rsidR="00F42E5B" w:rsidRDefault="00F42E5B" w:rsidP="00F42E5B">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b/>
          <w:lang w:val="en-US"/>
        </w:rPr>
      </w:pPr>
      <w:r w:rsidRPr="00F42E5B">
        <w:rPr>
          <w:rFonts w:asciiTheme="minorHAnsi" w:hAnsiTheme="minorHAnsi" w:cstheme="minorHAnsi"/>
          <w:b/>
          <w:lang w:val="en-US"/>
        </w:rPr>
        <w:t>Overview of recommendations for molecular resistant or relapsed patients</w:t>
      </w:r>
    </w:p>
    <w:p w14:paraId="3B776BE8" w14:textId="77777777" w:rsidR="00874AEB" w:rsidRDefault="00874AEB" w:rsidP="00F42E5B">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b/>
          <w:lang w:val="en-US"/>
        </w:rPr>
      </w:pPr>
    </w:p>
    <w:p w14:paraId="6F738236" w14:textId="77777777" w:rsidR="00F42E5B" w:rsidRDefault="00F42E5B" w:rsidP="00F42E5B">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b/>
          <w:lang w:val="en-US"/>
        </w:rPr>
      </w:pPr>
      <w:r>
        <w:rPr>
          <w:noProof/>
          <w:lang w:eastAsia="de-AT"/>
        </w:rPr>
        <w:drawing>
          <wp:inline distT="0" distB="0" distL="0" distR="0" wp14:anchorId="4887BA50" wp14:editId="1A0374BE">
            <wp:extent cx="5430982" cy="275252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476" t="18867" r="32352" b="24215"/>
                    <a:stretch/>
                  </pic:blipFill>
                  <pic:spPr bwMode="auto">
                    <a:xfrm>
                      <a:off x="0" y="0"/>
                      <a:ext cx="5432968" cy="2753527"/>
                    </a:xfrm>
                    <a:prstGeom prst="rect">
                      <a:avLst/>
                    </a:prstGeom>
                    <a:ln>
                      <a:noFill/>
                    </a:ln>
                    <a:extLst>
                      <a:ext uri="{53640926-AAD7-44D8-BBD7-CCE9431645EC}">
                        <a14:shadowObscured xmlns:a14="http://schemas.microsoft.com/office/drawing/2010/main"/>
                      </a:ext>
                    </a:extLst>
                  </pic:spPr>
                </pic:pic>
              </a:graphicData>
            </a:graphic>
          </wp:inline>
        </w:drawing>
      </w:r>
    </w:p>
    <w:p w14:paraId="3D575724" w14:textId="77777777" w:rsidR="00F42E5B" w:rsidRPr="00136299" w:rsidRDefault="00F42E5B" w:rsidP="00F42E5B">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b/>
          <w:sz w:val="8"/>
          <w:szCs w:val="8"/>
          <w:lang w:val="en-US"/>
        </w:rPr>
      </w:pPr>
    </w:p>
    <w:p w14:paraId="5AB6CDED" w14:textId="77777777" w:rsidR="00F42E5B" w:rsidRPr="00F42E5B" w:rsidRDefault="00F42E5B" w:rsidP="00F42E5B">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heme="minorHAnsi"/>
          <w:sz w:val="18"/>
          <w:szCs w:val="18"/>
          <w:lang w:val="en-US"/>
        </w:rPr>
      </w:pPr>
      <w:r w:rsidRPr="00F42E5B">
        <w:rPr>
          <w:rFonts w:asciiTheme="minorHAnsi" w:hAnsiTheme="minorHAnsi" w:cstheme="minorHAnsi"/>
          <w:sz w:val="18"/>
          <w:szCs w:val="18"/>
          <w:lang w:val="en-US"/>
        </w:rPr>
        <w:t>* for details of consolidation and postconsolidation therapy and list of options see ELN website:</w:t>
      </w:r>
    </w:p>
    <w:p w14:paraId="3206F2BC" w14:textId="3A1748CF" w:rsidR="00F42E5B" w:rsidRPr="00F42E5B" w:rsidRDefault="00460DE7" w:rsidP="00F42E5B">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heme="minorHAnsi"/>
          <w:b/>
          <w:lang w:val="en-US"/>
        </w:rPr>
      </w:pPr>
      <w:hyperlink r:id="rId27" w:history="1">
        <w:r w:rsidR="00F42E5B" w:rsidRPr="00F42E5B">
          <w:rPr>
            <w:rStyle w:val="Hyperlink"/>
            <w:rFonts w:asciiTheme="minorHAnsi" w:hAnsiTheme="minorHAnsi" w:cstheme="minorHAnsi"/>
            <w:sz w:val="18"/>
            <w:szCs w:val="18"/>
            <w:lang w:val="en-US"/>
          </w:rPr>
          <w:t>http://www.leukemia-net.org/content/leukemias/aml/apl/apl_recommendations/index_eng.html</w:t>
        </w:r>
      </w:hyperlink>
    </w:p>
    <w:p w14:paraId="4F9AF6E1" w14:textId="77777777" w:rsidR="00F42E5B" w:rsidRDefault="00F42E5B" w:rsidP="004C0C7A">
      <w:pPr>
        <w:autoSpaceDE w:val="0"/>
        <w:autoSpaceDN w:val="0"/>
        <w:adjustRightInd w:val="0"/>
        <w:spacing w:before="120" w:line="240" w:lineRule="auto"/>
        <w:jc w:val="right"/>
        <w:rPr>
          <w:rFonts w:ascii="Calibri" w:hAnsi="Calibri" w:cs="Calibri"/>
          <w:sz w:val="18"/>
          <w:szCs w:val="18"/>
          <w:lang w:val="en-GB" w:eastAsia="de-AT"/>
        </w:rPr>
      </w:pPr>
      <w:r w:rsidRPr="00214327">
        <w:rPr>
          <w:rFonts w:ascii="Calibri" w:hAnsi="Calibri" w:cs="Calibri"/>
          <w:sz w:val="18"/>
          <w:szCs w:val="18"/>
          <w:lang w:val="en-GB" w:eastAsia="de-AT"/>
        </w:rPr>
        <w:t xml:space="preserve">German Intergroup Recommendations on the Diagnostic and Therapeutic  Management of </w:t>
      </w:r>
    </w:p>
    <w:p w14:paraId="06FDF4C0" w14:textId="77777777" w:rsidR="00F42E5B" w:rsidRDefault="00F42E5B" w:rsidP="00F42E5B">
      <w:pPr>
        <w:autoSpaceDE w:val="0"/>
        <w:autoSpaceDN w:val="0"/>
        <w:adjustRightInd w:val="0"/>
        <w:spacing w:line="240" w:lineRule="auto"/>
        <w:jc w:val="right"/>
        <w:rPr>
          <w:rFonts w:ascii="Calibri" w:hAnsi="Calibri" w:cs="Calibri"/>
          <w:sz w:val="18"/>
          <w:szCs w:val="18"/>
          <w:lang w:val="en-GB" w:eastAsia="de-AT"/>
        </w:rPr>
      </w:pPr>
      <w:r w:rsidRPr="00214327">
        <w:rPr>
          <w:rFonts w:ascii="Calibri" w:hAnsi="Calibri" w:cs="Calibri"/>
          <w:sz w:val="18"/>
          <w:szCs w:val="18"/>
          <w:lang w:val="en-GB" w:eastAsia="de-AT"/>
        </w:rPr>
        <w:t>Acute Promyelocytic Leukemia (APL); Platzbecker et al.</w:t>
      </w:r>
    </w:p>
    <w:p w14:paraId="57A32983" w14:textId="77777777" w:rsidR="00534A4C" w:rsidRDefault="007D44EC" w:rsidP="005729ED">
      <w:pPr>
        <w:pStyle w:val="berschrift3"/>
        <w:numPr>
          <w:ilvl w:val="2"/>
          <w:numId w:val="26"/>
        </w:numPr>
        <w:ind w:left="567" w:hanging="567"/>
      </w:pPr>
      <w:bookmarkStart w:id="40" w:name="_Toc63667673"/>
      <w:r w:rsidRPr="007D44EC">
        <w:rPr>
          <w:lang w:eastAsia="de-AT"/>
        </w:rPr>
        <w:lastRenderedPageBreak/>
        <w:t>Behandlungsempfehlungen für</w:t>
      </w:r>
      <w:r w:rsidR="001C725E" w:rsidRPr="007D44EC">
        <w:rPr>
          <w:lang w:eastAsia="de-AT"/>
        </w:rPr>
        <w:t xml:space="preserve"> </w:t>
      </w:r>
      <w:r>
        <w:rPr>
          <w:lang w:eastAsia="de-AT"/>
        </w:rPr>
        <w:t xml:space="preserve">non-high-risk </w:t>
      </w:r>
      <w:r w:rsidR="001C725E" w:rsidRPr="007D44EC">
        <w:rPr>
          <w:lang w:eastAsia="de-AT"/>
        </w:rPr>
        <w:t>APL</w:t>
      </w:r>
      <w:bookmarkEnd w:id="40"/>
    </w:p>
    <w:p w14:paraId="297C7689" w14:textId="77777777" w:rsidR="00534A4C" w:rsidRPr="00534A4C" w:rsidRDefault="00534A4C" w:rsidP="00534A4C">
      <w:pPr>
        <w:jc w:val="left"/>
        <w:rPr>
          <w:rFonts w:asciiTheme="minorHAnsi" w:hAnsiTheme="minorHAnsi"/>
        </w:rPr>
      </w:pPr>
      <w:r w:rsidRPr="00534A4C">
        <w:rPr>
          <w:rFonts w:asciiTheme="minorHAnsi" w:hAnsiTheme="minorHAnsi"/>
        </w:rPr>
        <w:t>(WBC ≤10 Gpt/l at initial diagnosis) in Anlehnung an die APL0406-Studie</w:t>
      </w:r>
    </w:p>
    <w:p w14:paraId="26DC277C" w14:textId="77777777" w:rsidR="00534A4C" w:rsidRPr="00D838B0" w:rsidRDefault="001C725E" w:rsidP="00F73B24">
      <w:pPr>
        <w:jc w:val="left"/>
        <w:rPr>
          <w:rFonts w:asciiTheme="minorHAnsi" w:hAnsiTheme="minorHAnsi" w:cstheme="minorHAnsi"/>
          <w:szCs w:val="22"/>
          <w:lang w:val="en-GB"/>
        </w:rPr>
      </w:pPr>
      <w:r>
        <w:rPr>
          <w:noProof/>
          <w:lang w:eastAsia="de-AT"/>
        </w:rPr>
        <w:drawing>
          <wp:inline distT="0" distB="0" distL="0" distR="0" wp14:anchorId="11A26329" wp14:editId="1DC2CFF9">
            <wp:extent cx="4433455" cy="2414529"/>
            <wp:effectExtent l="0" t="0" r="5715" b="508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7391" t="22506" r="41049" b="37256"/>
                    <a:stretch/>
                  </pic:blipFill>
                  <pic:spPr bwMode="auto">
                    <a:xfrm>
                      <a:off x="0" y="0"/>
                      <a:ext cx="4443672" cy="2420094"/>
                    </a:xfrm>
                    <a:prstGeom prst="rect">
                      <a:avLst/>
                    </a:prstGeom>
                    <a:ln>
                      <a:noFill/>
                    </a:ln>
                    <a:extLst>
                      <a:ext uri="{53640926-AAD7-44D8-BBD7-CCE9431645EC}">
                        <a14:shadowObscured xmlns:a14="http://schemas.microsoft.com/office/drawing/2010/main"/>
                      </a:ext>
                    </a:extLst>
                  </pic:spPr>
                </pic:pic>
              </a:graphicData>
            </a:graphic>
          </wp:inline>
        </w:drawing>
      </w:r>
    </w:p>
    <w:p w14:paraId="66E37EFC" w14:textId="77777777" w:rsidR="001C725E" w:rsidRPr="0052231A" w:rsidRDefault="001C725E" w:rsidP="003C629B">
      <w:pPr>
        <w:pStyle w:val="Default"/>
        <w:numPr>
          <w:ilvl w:val="0"/>
          <w:numId w:val="5"/>
        </w:numPr>
        <w:spacing w:line="276" w:lineRule="auto"/>
        <w:ind w:left="284" w:hanging="284"/>
        <w:jc w:val="both"/>
        <w:rPr>
          <w:rFonts w:asciiTheme="minorHAnsi" w:hAnsiTheme="minorHAnsi"/>
          <w:bCs/>
          <w:sz w:val="22"/>
          <w:szCs w:val="22"/>
          <w:lang w:val="en-GB"/>
        </w:rPr>
      </w:pPr>
      <w:r w:rsidRPr="0052231A">
        <w:rPr>
          <w:rFonts w:asciiTheme="minorHAnsi" w:hAnsiTheme="minorHAnsi"/>
          <w:bCs/>
          <w:sz w:val="22"/>
          <w:szCs w:val="22"/>
          <w:lang w:val="en-GB"/>
        </w:rPr>
        <w:t>prophylaxis of APL differentiation syndrome with prednisone 0.5 mg / kg / day p.o. from</w:t>
      </w:r>
      <w:r w:rsidR="00F73B24" w:rsidRPr="0052231A">
        <w:rPr>
          <w:rFonts w:asciiTheme="minorHAnsi" w:hAnsiTheme="minorHAnsi"/>
          <w:bCs/>
          <w:sz w:val="22"/>
          <w:szCs w:val="22"/>
          <w:lang w:val="en-GB"/>
        </w:rPr>
        <w:t xml:space="preserve"> </w:t>
      </w:r>
      <w:r w:rsidRPr="0052231A">
        <w:rPr>
          <w:rFonts w:asciiTheme="minorHAnsi" w:hAnsiTheme="minorHAnsi"/>
          <w:bCs/>
          <w:sz w:val="22"/>
          <w:szCs w:val="22"/>
          <w:lang w:val="en-GB"/>
        </w:rPr>
        <w:t>day 1 of ATO application to the end of induction therapy and possibly hydroxyurea (see</w:t>
      </w:r>
      <w:r w:rsidR="00F73B24" w:rsidRPr="0052231A">
        <w:rPr>
          <w:rFonts w:asciiTheme="minorHAnsi" w:hAnsiTheme="minorHAnsi"/>
          <w:bCs/>
          <w:sz w:val="22"/>
          <w:szCs w:val="22"/>
          <w:lang w:val="en-GB"/>
        </w:rPr>
        <w:t xml:space="preserve"> </w:t>
      </w:r>
      <w:r w:rsidRPr="0052231A">
        <w:rPr>
          <w:rFonts w:asciiTheme="minorHAnsi" w:hAnsiTheme="minorHAnsi"/>
          <w:bCs/>
          <w:sz w:val="22"/>
          <w:szCs w:val="22"/>
          <w:lang w:val="en-GB"/>
        </w:rPr>
        <w:t>2.1) when leucocytes raise up to &gt; 10 Gpt / l</w:t>
      </w:r>
    </w:p>
    <w:p w14:paraId="408B7991" w14:textId="77777777" w:rsidR="001C725E" w:rsidRPr="0052231A" w:rsidRDefault="001C725E" w:rsidP="003C629B">
      <w:pPr>
        <w:pStyle w:val="Default"/>
        <w:numPr>
          <w:ilvl w:val="0"/>
          <w:numId w:val="5"/>
        </w:numPr>
        <w:spacing w:line="276" w:lineRule="auto"/>
        <w:ind w:left="284" w:hanging="284"/>
        <w:jc w:val="both"/>
        <w:rPr>
          <w:rFonts w:asciiTheme="minorHAnsi" w:hAnsiTheme="minorHAnsi"/>
          <w:bCs/>
          <w:sz w:val="22"/>
          <w:szCs w:val="22"/>
          <w:lang w:val="en-GB"/>
        </w:rPr>
      </w:pPr>
      <w:r w:rsidRPr="0052231A">
        <w:rPr>
          <w:rFonts w:asciiTheme="minorHAnsi" w:hAnsiTheme="minorHAnsi"/>
          <w:bCs/>
          <w:sz w:val="22"/>
          <w:szCs w:val="22"/>
          <w:lang w:val="en-GB"/>
        </w:rPr>
        <w:t>bone marrow puncture on day 28</w:t>
      </w:r>
    </w:p>
    <w:p w14:paraId="41C3785B" w14:textId="77777777" w:rsidR="001C725E" w:rsidRPr="0052231A" w:rsidRDefault="001C725E" w:rsidP="003C629B">
      <w:pPr>
        <w:pStyle w:val="Default"/>
        <w:numPr>
          <w:ilvl w:val="0"/>
          <w:numId w:val="5"/>
        </w:numPr>
        <w:spacing w:line="276" w:lineRule="auto"/>
        <w:ind w:left="284" w:hanging="284"/>
        <w:jc w:val="both"/>
        <w:rPr>
          <w:rFonts w:asciiTheme="minorHAnsi" w:hAnsiTheme="minorHAnsi"/>
          <w:bCs/>
          <w:sz w:val="22"/>
          <w:szCs w:val="22"/>
          <w:lang w:val="en-GB"/>
        </w:rPr>
      </w:pPr>
      <w:r w:rsidRPr="0052231A">
        <w:rPr>
          <w:rFonts w:asciiTheme="minorHAnsi" w:hAnsiTheme="minorHAnsi"/>
          <w:bCs/>
          <w:sz w:val="22"/>
          <w:szCs w:val="22"/>
          <w:lang w:val="en-GB"/>
        </w:rPr>
        <w:t>induction therapy should be terminated on the basis of morphological criteria (if CR or</w:t>
      </w:r>
      <w:r w:rsidR="00F73B24" w:rsidRPr="0052231A">
        <w:rPr>
          <w:rFonts w:asciiTheme="minorHAnsi" w:hAnsiTheme="minorHAnsi"/>
          <w:bCs/>
          <w:sz w:val="22"/>
          <w:szCs w:val="22"/>
          <w:lang w:val="en-GB"/>
        </w:rPr>
        <w:t xml:space="preserve"> </w:t>
      </w:r>
      <w:r w:rsidRPr="0052231A">
        <w:rPr>
          <w:rFonts w:asciiTheme="minorHAnsi" w:hAnsiTheme="minorHAnsi"/>
          <w:bCs/>
          <w:sz w:val="22"/>
          <w:szCs w:val="22"/>
          <w:lang w:val="en-GB"/>
        </w:rPr>
        <w:t>CRi is reached on day 28)</w:t>
      </w:r>
    </w:p>
    <w:p w14:paraId="02ED1C3F" w14:textId="77777777" w:rsidR="001C725E" w:rsidRPr="00F73B24" w:rsidRDefault="001C725E" w:rsidP="003C629B">
      <w:pPr>
        <w:pStyle w:val="Default"/>
        <w:numPr>
          <w:ilvl w:val="0"/>
          <w:numId w:val="5"/>
        </w:numPr>
        <w:spacing w:line="276" w:lineRule="auto"/>
        <w:ind w:left="284" w:hanging="284"/>
        <w:jc w:val="both"/>
        <w:rPr>
          <w:rFonts w:asciiTheme="minorHAnsi" w:hAnsiTheme="minorHAnsi"/>
          <w:bCs/>
          <w:sz w:val="22"/>
          <w:szCs w:val="22"/>
          <w:lang w:val="en-US"/>
        </w:rPr>
      </w:pPr>
      <w:r w:rsidRPr="00F73B24">
        <w:rPr>
          <w:rFonts w:asciiTheme="minorHAnsi" w:hAnsiTheme="minorHAnsi"/>
          <w:bCs/>
          <w:sz w:val="22"/>
          <w:szCs w:val="22"/>
          <w:lang w:val="en-US"/>
        </w:rPr>
        <w:t>in case CR or CRi is not achieved by day 28, ATO/ATRA therapy should be continued up to</w:t>
      </w:r>
      <w:r w:rsidR="00F73B24" w:rsidRPr="00F73B24">
        <w:rPr>
          <w:rFonts w:asciiTheme="minorHAnsi" w:hAnsiTheme="minorHAnsi"/>
          <w:bCs/>
          <w:sz w:val="22"/>
          <w:szCs w:val="22"/>
          <w:lang w:val="en-US"/>
        </w:rPr>
        <w:t xml:space="preserve"> </w:t>
      </w:r>
      <w:r w:rsidRPr="00F73B24">
        <w:rPr>
          <w:rFonts w:asciiTheme="minorHAnsi" w:hAnsiTheme="minorHAnsi"/>
          <w:bCs/>
          <w:sz w:val="22"/>
          <w:szCs w:val="22"/>
          <w:lang w:val="en-US"/>
        </w:rPr>
        <w:t>max. day 60 until terminal differentiation is reached; this should be accompanied by</w:t>
      </w:r>
      <w:r w:rsidR="00F73B24" w:rsidRPr="00F73B24">
        <w:rPr>
          <w:rFonts w:asciiTheme="minorHAnsi" w:hAnsiTheme="minorHAnsi"/>
          <w:bCs/>
          <w:sz w:val="22"/>
          <w:szCs w:val="22"/>
          <w:lang w:val="en-US"/>
        </w:rPr>
        <w:t xml:space="preserve"> </w:t>
      </w:r>
      <w:r w:rsidRPr="00F73B24">
        <w:rPr>
          <w:rFonts w:asciiTheme="minorHAnsi" w:hAnsiTheme="minorHAnsi"/>
          <w:bCs/>
          <w:sz w:val="22"/>
          <w:szCs w:val="22"/>
          <w:lang w:val="en-US"/>
        </w:rPr>
        <w:t>serial bone marrow assessments to definitively demonstrate CR</w:t>
      </w:r>
    </w:p>
    <w:p w14:paraId="5D61408D" w14:textId="77777777" w:rsidR="00CC7339" w:rsidRPr="00CC7339" w:rsidRDefault="001C725E" w:rsidP="00CC7339">
      <w:pPr>
        <w:pStyle w:val="Default"/>
        <w:numPr>
          <w:ilvl w:val="0"/>
          <w:numId w:val="5"/>
        </w:numPr>
        <w:spacing w:line="276" w:lineRule="auto"/>
        <w:ind w:left="284" w:hanging="284"/>
        <w:jc w:val="both"/>
        <w:rPr>
          <w:rFonts w:asciiTheme="minorHAnsi" w:hAnsiTheme="minorHAnsi"/>
          <w:bCs/>
          <w:sz w:val="22"/>
          <w:szCs w:val="22"/>
          <w:lang w:val="en-US"/>
        </w:rPr>
      </w:pPr>
      <w:r w:rsidRPr="00CC7339">
        <w:rPr>
          <w:rFonts w:asciiTheme="minorHAnsi" w:hAnsiTheme="minorHAnsi"/>
          <w:bCs/>
          <w:sz w:val="22"/>
          <w:szCs w:val="22"/>
          <w:lang w:val="en-US"/>
        </w:rPr>
        <w:t>cytogenetic and molecular assessment at the end of induction therapy has no value in</w:t>
      </w:r>
      <w:r w:rsidR="00F73B24" w:rsidRPr="00CC7339">
        <w:rPr>
          <w:rFonts w:asciiTheme="minorHAnsi" w:hAnsiTheme="minorHAnsi"/>
          <w:bCs/>
          <w:sz w:val="22"/>
          <w:szCs w:val="22"/>
          <w:lang w:val="en-US"/>
        </w:rPr>
        <w:t xml:space="preserve"> </w:t>
      </w:r>
      <w:r w:rsidRPr="00CC7339">
        <w:rPr>
          <w:rFonts w:asciiTheme="minorHAnsi" w:hAnsiTheme="minorHAnsi"/>
          <w:bCs/>
          <w:sz w:val="22"/>
          <w:szCs w:val="22"/>
          <w:lang w:val="en-US"/>
        </w:rPr>
        <w:t>case of CR. Molecular responses should be assessed after consolidation only</w:t>
      </w:r>
    </w:p>
    <w:p w14:paraId="76F64CBE" w14:textId="77777777" w:rsidR="00CC7339" w:rsidRPr="00CC7339" w:rsidRDefault="001C725E" w:rsidP="00CC7339">
      <w:pPr>
        <w:pStyle w:val="Default"/>
        <w:numPr>
          <w:ilvl w:val="0"/>
          <w:numId w:val="5"/>
        </w:numPr>
        <w:spacing w:line="276" w:lineRule="auto"/>
        <w:ind w:left="284" w:hanging="284"/>
        <w:jc w:val="both"/>
        <w:rPr>
          <w:rFonts w:asciiTheme="minorHAnsi" w:hAnsiTheme="minorHAnsi"/>
          <w:bCs/>
          <w:sz w:val="22"/>
          <w:szCs w:val="22"/>
          <w:lang w:val="en-US"/>
        </w:rPr>
      </w:pPr>
      <w:r w:rsidRPr="00CC7339">
        <w:rPr>
          <w:rFonts w:asciiTheme="minorHAnsi" w:hAnsiTheme="minorHAnsi"/>
          <w:bCs/>
          <w:sz w:val="22"/>
          <w:szCs w:val="22"/>
        </w:rPr>
        <w:t xml:space="preserve">EKG </w:t>
      </w:r>
      <w:r w:rsidR="00CC7339" w:rsidRPr="00CC7339">
        <w:rPr>
          <w:rFonts w:asciiTheme="minorHAnsi" w:hAnsiTheme="minorHAnsi"/>
          <w:bCs/>
          <w:sz w:val="22"/>
          <w:szCs w:val="22"/>
        </w:rPr>
        <w:t>at least once weekly</w:t>
      </w:r>
    </w:p>
    <w:p w14:paraId="61EB1EF7" w14:textId="77777777" w:rsidR="00CC7339" w:rsidRPr="00582E7B" w:rsidRDefault="00CC7339" w:rsidP="006B68E2">
      <w:pPr>
        <w:pStyle w:val="Default"/>
        <w:numPr>
          <w:ilvl w:val="0"/>
          <w:numId w:val="5"/>
        </w:numPr>
        <w:shd w:val="clear" w:color="auto" w:fill="FFFFFF"/>
        <w:spacing w:line="276" w:lineRule="auto"/>
        <w:ind w:left="284" w:hanging="284"/>
        <w:jc w:val="both"/>
        <w:rPr>
          <w:rFonts w:asciiTheme="minorHAnsi" w:hAnsiTheme="minorHAnsi"/>
          <w:bCs/>
          <w:sz w:val="22"/>
          <w:szCs w:val="22"/>
          <w:lang w:val="en-GB"/>
        </w:rPr>
      </w:pPr>
      <w:r w:rsidRPr="00CC7339">
        <w:rPr>
          <w:rFonts w:ascii="Calibri" w:hAnsi="Calibri" w:cs="Calibri"/>
          <w:sz w:val="22"/>
          <w:szCs w:val="22"/>
          <w:lang w:val="es-ES" w:eastAsia="de-AT"/>
        </w:rPr>
        <w:t>ATO/ATRA‐based induction therapy is followed by 4 courses of ATO/ATRA‐based</w:t>
      </w:r>
      <w:r w:rsidRPr="00CC7339">
        <w:rPr>
          <w:rFonts w:asciiTheme="minorHAnsi" w:hAnsiTheme="minorHAnsi"/>
          <w:bCs/>
          <w:sz w:val="22"/>
          <w:szCs w:val="22"/>
          <w:lang w:val="en-US"/>
        </w:rPr>
        <w:t xml:space="preserve"> </w:t>
      </w:r>
      <w:r w:rsidRPr="00CC7339">
        <w:rPr>
          <w:rFonts w:ascii="Calibri" w:hAnsi="Calibri" w:cs="Calibri"/>
          <w:sz w:val="22"/>
          <w:szCs w:val="22"/>
          <w:lang w:val="es-ES" w:eastAsia="de-AT"/>
        </w:rPr>
        <w:t xml:space="preserve">consolidation. Start of consolidation cycles is considered after hematological recovery with neutrophils ≥ 1.0 </w:t>
      </w:r>
      <w:r w:rsidR="006B68E2">
        <w:rPr>
          <w:rFonts w:ascii="Calibri" w:hAnsi="Calibri" w:cs="Calibri"/>
          <w:sz w:val="22"/>
          <w:szCs w:val="22"/>
          <w:lang w:val="es-ES" w:eastAsia="de-AT"/>
        </w:rPr>
        <w:t>G/l</w:t>
      </w:r>
      <w:r w:rsidRPr="00CC7339">
        <w:rPr>
          <w:rFonts w:ascii="Calibri" w:hAnsi="Calibri" w:cs="Calibri"/>
          <w:sz w:val="22"/>
          <w:szCs w:val="22"/>
          <w:lang w:val="es-ES" w:eastAsia="de-AT"/>
        </w:rPr>
        <w:t xml:space="preserve"> and platelets ≥ 100 </w:t>
      </w:r>
      <w:r w:rsidR="006B68E2">
        <w:rPr>
          <w:rFonts w:ascii="Calibri" w:hAnsi="Calibri" w:cs="Calibri"/>
          <w:sz w:val="22"/>
          <w:szCs w:val="22"/>
          <w:lang w:val="es-ES" w:eastAsia="de-AT"/>
        </w:rPr>
        <w:t>G</w:t>
      </w:r>
      <w:r w:rsidRPr="00CC7339">
        <w:rPr>
          <w:rFonts w:ascii="Calibri" w:hAnsi="Calibri" w:cs="Calibri"/>
          <w:sz w:val="22"/>
          <w:szCs w:val="22"/>
          <w:lang w:val="es-ES" w:eastAsia="de-AT"/>
        </w:rPr>
        <w:t>/l. In case of morphological CR and regenerated blood counts, consolidation therapy should be </w:t>
      </w:r>
      <w:r w:rsidRPr="00CC7339">
        <w:rPr>
          <w:rFonts w:asciiTheme="minorHAnsi" w:hAnsiTheme="minorHAnsi" w:cstheme="minorHAnsi"/>
          <w:sz w:val="22"/>
          <w:szCs w:val="22"/>
          <w:lang w:val="es-ES" w:eastAsia="de-AT"/>
        </w:rPr>
        <w:t>started within 4 weeks after documented CR</w:t>
      </w:r>
      <w:r w:rsidRPr="00CC7339">
        <w:rPr>
          <w:lang w:val="es-ES" w:eastAsia="de-AT"/>
        </w:rPr>
        <w:t>.</w:t>
      </w:r>
      <w:r w:rsidRPr="00CC7339">
        <w:rPr>
          <w:rFonts w:ascii="Calibri" w:hAnsi="Calibri" w:cs="Calibri"/>
          <w:sz w:val="22"/>
          <w:szCs w:val="22"/>
          <w:lang w:val="es-ES" w:eastAsia="de-AT"/>
        </w:rPr>
        <w:t xml:space="preserve"> </w:t>
      </w:r>
      <w:r w:rsidRPr="00582E7B">
        <w:rPr>
          <w:rFonts w:ascii="Calibri" w:hAnsi="Calibri" w:cs="Calibri"/>
          <w:sz w:val="22"/>
          <w:szCs w:val="22"/>
          <w:lang w:val="en-GB" w:eastAsia="de-AT"/>
        </w:rPr>
        <w:t>Each course of therapy should be initiated at hematological recovery from the previous course. The PCR status after the end of consolidation is an important stratification parameter for the subsequent therapy.</w:t>
      </w:r>
    </w:p>
    <w:p w14:paraId="140FD302" w14:textId="77777777" w:rsidR="001C725E" w:rsidRPr="00D838B0" w:rsidRDefault="001C725E" w:rsidP="001C725E">
      <w:pPr>
        <w:pStyle w:val="Textkrper-Einzug2"/>
        <w:spacing w:after="0" w:line="276" w:lineRule="auto"/>
        <w:ind w:left="0"/>
        <w:jc w:val="both"/>
        <w:rPr>
          <w:rFonts w:asciiTheme="minorHAnsi" w:hAnsiTheme="minorHAnsi" w:cstheme="minorHAnsi"/>
          <w:szCs w:val="22"/>
          <w:lang w:val="en-GB"/>
        </w:rPr>
      </w:pPr>
      <w:r>
        <w:rPr>
          <w:noProof/>
          <w:lang w:eastAsia="de-AT"/>
        </w:rPr>
        <w:lastRenderedPageBreak/>
        <w:drawing>
          <wp:inline distT="0" distB="0" distL="0" distR="0" wp14:anchorId="55B14026" wp14:editId="0BF6D098">
            <wp:extent cx="4686017" cy="3248891"/>
            <wp:effectExtent l="0" t="0" r="635" b="889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7626" t="23642" r="41897" b="26470"/>
                    <a:stretch/>
                  </pic:blipFill>
                  <pic:spPr bwMode="auto">
                    <a:xfrm>
                      <a:off x="0" y="0"/>
                      <a:ext cx="4692011" cy="3253047"/>
                    </a:xfrm>
                    <a:prstGeom prst="rect">
                      <a:avLst/>
                    </a:prstGeom>
                    <a:ln>
                      <a:noFill/>
                    </a:ln>
                    <a:extLst>
                      <a:ext uri="{53640926-AAD7-44D8-BBD7-CCE9431645EC}">
                        <a14:shadowObscured xmlns:a14="http://schemas.microsoft.com/office/drawing/2010/main"/>
                      </a:ext>
                    </a:extLst>
                  </pic:spPr>
                </pic:pic>
              </a:graphicData>
            </a:graphic>
          </wp:inline>
        </w:drawing>
      </w:r>
    </w:p>
    <w:p w14:paraId="3E1EAF12" w14:textId="77777777" w:rsidR="00F73B24" w:rsidRDefault="00F73B24" w:rsidP="007D44EC">
      <w:pPr>
        <w:pStyle w:val="Textkrper-Einzug2"/>
        <w:spacing w:after="0" w:line="276" w:lineRule="auto"/>
        <w:ind w:left="0"/>
        <w:jc w:val="both"/>
        <w:rPr>
          <w:rFonts w:asciiTheme="minorHAnsi" w:hAnsiTheme="minorHAnsi" w:cstheme="minorHAnsi"/>
          <w:b/>
          <w:szCs w:val="22"/>
          <w:lang w:val="en-GB"/>
        </w:rPr>
      </w:pPr>
    </w:p>
    <w:p w14:paraId="3A2F19FC" w14:textId="77777777" w:rsidR="001C725E" w:rsidRPr="007D44EC" w:rsidRDefault="001C725E" w:rsidP="007D44EC">
      <w:pPr>
        <w:pStyle w:val="Textkrper-Einzug2"/>
        <w:spacing w:after="0" w:line="276" w:lineRule="auto"/>
        <w:ind w:left="0"/>
        <w:jc w:val="both"/>
        <w:rPr>
          <w:rFonts w:asciiTheme="minorHAnsi" w:hAnsiTheme="minorHAnsi" w:cstheme="minorHAnsi"/>
          <w:b/>
          <w:szCs w:val="22"/>
          <w:lang w:val="en-GB"/>
        </w:rPr>
      </w:pPr>
      <w:r w:rsidRPr="007D44EC">
        <w:rPr>
          <w:rFonts w:asciiTheme="minorHAnsi" w:hAnsiTheme="minorHAnsi" w:cstheme="minorHAnsi"/>
          <w:b/>
          <w:szCs w:val="22"/>
          <w:lang w:val="en-GB"/>
        </w:rPr>
        <w:t>Dose modifications:</w:t>
      </w:r>
    </w:p>
    <w:p w14:paraId="3C04A739" w14:textId="77777777" w:rsidR="001C725E" w:rsidRPr="006B1D20" w:rsidRDefault="001C725E" w:rsidP="007D44EC">
      <w:pPr>
        <w:autoSpaceDE w:val="0"/>
        <w:autoSpaceDN w:val="0"/>
        <w:adjustRightInd w:val="0"/>
        <w:spacing w:line="240" w:lineRule="auto"/>
        <w:jc w:val="both"/>
        <w:rPr>
          <w:rFonts w:asciiTheme="minorHAnsi" w:hAnsiTheme="minorHAnsi" w:cstheme="minorHAnsi"/>
          <w:szCs w:val="22"/>
          <w:lang w:val="en-GB"/>
        </w:rPr>
      </w:pPr>
      <w:r w:rsidRPr="006B1D20">
        <w:rPr>
          <w:rFonts w:ascii="Calibri" w:hAnsi="Calibri" w:cs="Calibri"/>
          <w:szCs w:val="22"/>
          <w:lang w:val="en-GB" w:eastAsia="de-AT"/>
        </w:rPr>
        <w:t>In case of non‐hematological toxicities (grade 3/4 toxicities according to CTCAE Version 4.0)</w:t>
      </w:r>
      <w:r w:rsidR="007D44EC">
        <w:rPr>
          <w:rFonts w:ascii="Calibri" w:hAnsi="Calibri" w:cs="Calibri"/>
          <w:szCs w:val="22"/>
          <w:lang w:val="en-GB" w:eastAsia="de-AT"/>
        </w:rPr>
        <w:t xml:space="preserve"> </w:t>
      </w:r>
      <w:r w:rsidRPr="006B1D20">
        <w:rPr>
          <w:rFonts w:ascii="Calibri" w:hAnsi="Calibri" w:cs="Calibri"/>
          <w:szCs w:val="22"/>
          <w:lang w:val="en-GB" w:eastAsia="de-AT"/>
        </w:rPr>
        <w:t>of ATO and ATRA (e.g. QT prolongation, differentiation syndrome, hepatotoxicity,</w:t>
      </w:r>
      <w:r w:rsidR="007D44EC">
        <w:rPr>
          <w:rFonts w:ascii="Calibri" w:hAnsi="Calibri" w:cs="Calibri"/>
          <w:szCs w:val="22"/>
          <w:lang w:val="en-GB" w:eastAsia="de-AT"/>
        </w:rPr>
        <w:t xml:space="preserve"> </w:t>
      </w:r>
      <w:r w:rsidRPr="006B1D20">
        <w:rPr>
          <w:rFonts w:ascii="Calibri" w:hAnsi="Calibri" w:cs="Calibri"/>
          <w:szCs w:val="22"/>
          <w:lang w:val="en-GB" w:eastAsia="de-AT"/>
        </w:rPr>
        <w:t>pseudotumor cerebri) the following dose modifications are recommended:</w:t>
      </w:r>
    </w:p>
    <w:p w14:paraId="199004E9" w14:textId="77777777" w:rsidR="001C725E" w:rsidRPr="00D838B0" w:rsidRDefault="001C725E" w:rsidP="001C725E">
      <w:pPr>
        <w:pStyle w:val="Textkrper-Einzug2"/>
        <w:spacing w:after="0" w:line="276" w:lineRule="auto"/>
        <w:ind w:left="0"/>
        <w:jc w:val="both"/>
        <w:rPr>
          <w:rFonts w:asciiTheme="minorHAnsi" w:hAnsiTheme="minorHAnsi" w:cstheme="minorHAnsi"/>
          <w:szCs w:val="22"/>
          <w:lang w:val="en-GB"/>
        </w:rPr>
      </w:pPr>
    </w:p>
    <w:p w14:paraId="451911E5" w14:textId="77777777" w:rsidR="001C725E" w:rsidRPr="00D838B0" w:rsidRDefault="001C725E" w:rsidP="001C725E">
      <w:pPr>
        <w:pStyle w:val="Textkrper-Einzug2"/>
        <w:spacing w:after="0" w:line="276" w:lineRule="auto"/>
        <w:ind w:left="0"/>
        <w:jc w:val="both"/>
        <w:rPr>
          <w:rFonts w:asciiTheme="minorHAnsi" w:hAnsiTheme="minorHAnsi" w:cstheme="minorHAnsi"/>
          <w:szCs w:val="22"/>
          <w:lang w:val="en-GB"/>
        </w:rPr>
      </w:pPr>
      <w:r>
        <w:rPr>
          <w:noProof/>
          <w:lang w:eastAsia="de-AT"/>
        </w:rPr>
        <w:drawing>
          <wp:inline distT="0" distB="0" distL="0" distR="0" wp14:anchorId="16AD0215" wp14:editId="06358F36">
            <wp:extent cx="4690479" cy="88392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6880" t="48422" r="41049" b="37483"/>
                    <a:stretch/>
                  </pic:blipFill>
                  <pic:spPr bwMode="auto">
                    <a:xfrm>
                      <a:off x="0" y="0"/>
                      <a:ext cx="4689480" cy="883732"/>
                    </a:xfrm>
                    <a:prstGeom prst="rect">
                      <a:avLst/>
                    </a:prstGeom>
                    <a:ln>
                      <a:noFill/>
                    </a:ln>
                    <a:extLst>
                      <a:ext uri="{53640926-AAD7-44D8-BBD7-CCE9431645EC}">
                        <a14:shadowObscured xmlns:a14="http://schemas.microsoft.com/office/drawing/2010/main"/>
                      </a:ext>
                    </a:extLst>
                  </pic:spPr>
                </pic:pic>
              </a:graphicData>
            </a:graphic>
          </wp:inline>
        </w:drawing>
      </w:r>
    </w:p>
    <w:p w14:paraId="6DD06152" w14:textId="77777777" w:rsidR="001C725E" w:rsidRDefault="001C725E" w:rsidP="007D44EC">
      <w:pPr>
        <w:autoSpaceDE w:val="0"/>
        <w:autoSpaceDN w:val="0"/>
        <w:adjustRightInd w:val="0"/>
        <w:spacing w:line="240" w:lineRule="auto"/>
        <w:jc w:val="both"/>
        <w:rPr>
          <w:rFonts w:ascii="Calibri" w:hAnsi="Calibri" w:cs="Calibri"/>
          <w:szCs w:val="22"/>
          <w:lang w:val="en-GB" w:eastAsia="de-AT"/>
        </w:rPr>
      </w:pPr>
      <w:r w:rsidRPr="006B1D20">
        <w:rPr>
          <w:rFonts w:ascii="Calibri" w:hAnsi="Calibri" w:cs="Calibri"/>
          <w:szCs w:val="22"/>
          <w:lang w:val="en-GB" w:eastAsia="de-AT"/>
        </w:rPr>
        <w:t>As soon as the symptoms and the patients’ clinical conditions improve, the treatment with</w:t>
      </w:r>
      <w:r w:rsidR="007D44EC">
        <w:rPr>
          <w:rFonts w:ascii="Calibri" w:hAnsi="Calibri" w:cs="Calibri"/>
          <w:szCs w:val="22"/>
          <w:lang w:val="en-GB" w:eastAsia="de-AT"/>
        </w:rPr>
        <w:t xml:space="preserve"> </w:t>
      </w:r>
      <w:r w:rsidRPr="006B1D20">
        <w:rPr>
          <w:rFonts w:ascii="Calibri" w:hAnsi="Calibri" w:cs="Calibri"/>
          <w:szCs w:val="22"/>
          <w:lang w:val="en-GB" w:eastAsia="de-AT"/>
        </w:rPr>
        <w:t>ATRA and/or ATO should be resumed at 50 % of the previous dose during the first 7 days</w:t>
      </w:r>
      <w:r w:rsidR="007D44EC">
        <w:rPr>
          <w:rFonts w:ascii="Calibri" w:hAnsi="Calibri" w:cs="Calibri"/>
          <w:szCs w:val="22"/>
          <w:lang w:val="en-GB" w:eastAsia="de-AT"/>
        </w:rPr>
        <w:t xml:space="preserve"> </w:t>
      </w:r>
      <w:r w:rsidRPr="006B1D20">
        <w:rPr>
          <w:rFonts w:ascii="Calibri" w:hAnsi="Calibri" w:cs="Calibri"/>
          <w:szCs w:val="22"/>
          <w:lang w:val="en-GB" w:eastAsia="de-AT"/>
        </w:rPr>
        <w:t>after the disappearance of the symptoms. Thereafter, in the absence of worsening of the</w:t>
      </w:r>
      <w:r w:rsidR="007D44EC">
        <w:rPr>
          <w:rFonts w:ascii="Calibri" w:hAnsi="Calibri" w:cs="Calibri"/>
          <w:szCs w:val="22"/>
          <w:lang w:val="en-GB" w:eastAsia="de-AT"/>
        </w:rPr>
        <w:t xml:space="preserve"> </w:t>
      </w:r>
      <w:r w:rsidRPr="006B1D20">
        <w:rPr>
          <w:rFonts w:ascii="Calibri" w:hAnsi="Calibri" w:cs="Calibri"/>
          <w:szCs w:val="22"/>
          <w:lang w:val="en-GB" w:eastAsia="de-AT"/>
        </w:rPr>
        <w:t xml:space="preserve">previous toxicity, ATRA and/or ATO should be resumed at full dosage. </w:t>
      </w:r>
      <w:r w:rsidRPr="007D44EC">
        <w:rPr>
          <w:rFonts w:ascii="Calibri" w:hAnsi="Calibri" w:cs="Calibri"/>
          <w:szCs w:val="22"/>
          <w:lang w:val="en-GB" w:eastAsia="de-AT"/>
        </w:rPr>
        <w:t>In the case of the reappearance</w:t>
      </w:r>
      <w:r w:rsidR="007D44EC">
        <w:rPr>
          <w:rFonts w:ascii="Calibri" w:hAnsi="Calibri" w:cs="Calibri"/>
          <w:szCs w:val="22"/>
          <w:lang w:val="en-GB" w:eastAsia="de-AT"/>
        </w:rPr>
        <w:t xml:space="preserve"> </w:t>
      </w:r>
      <w:r w:rsidRPr="006B1D20">
        <w:rPr>
          <w:rFonts w:ascii="Calibri" w:hAnsi="Calibri" w:cs="Calibri"/>
          <w:szCs w:val="22"/>
          <w:lang w:val="en-GB" w:eastAsia="de-AT"/>
        </w:rPr>
        <w:t>of symptoms, ATRA and ATO needs to be reduced to the previous dosage.</w:t>
      </w:r>
    </w:p>
    <w:p w14:paraId="6E326C8A" w14:textId="77777777" w:rsidR="001C725E" w:rsidRDefault="001C725E" w:rsidP="001C725E">
      <w:pPr>
        <w:pStyle w:val="Textkrper-Einzug2"/>
        <w:spacing w:after="0" w:line="276" w:lineRule="auto"/>
        <w:ind w:left="0"/>
        <w:jc w:val="both"/>
        <w:rPr>
          <w:rFonts w:asciiTheme="minorHAnsi" w:hAnsiTheme="minorHAnsi" w:cstheme="minorHAnsi"/>
          <w:szCs w:val="22"/>
          <w:lang w:val="en-GB"/>
        </w:rPr>
      </w:pPr>
    </w:p>
    <w:p w14:paraId="1F7ADDC0" w14:textId="77777777" w:rsidR="001C725E" w:rsidRPr="007D44EC" w:rsidRDefault="007D44EC" w:rsidP="005729ED">
      <w:pPr>
        <w:pStyle w:val="berschrift3"/>
        <w:numPr>
          <w:ilvl w:val="2"/>
          <w:numId w:val="26"/>
        </w:numPr>
        <w:ind w:left="567" w:hanging="567"/>
        <w:rPr>
          <w:lang w:eastAsia="de-AT"/>
        </w:rPr>
      </w:pPr>
      <w:bookmarkStart w:id="41" w:name="_Toc63667674"/>
      <w:r w:rsidRPr="007D44EC">
        <w:rPr>
          <w:lang w:eastAsia="de-AT"/>
        </w:rPr>
        <w:lastRenderedPageBreak/>
        <w:t>Behandlungsempfehlungen für high-risk APL in Anlehnung an die AIDA-Studie</w:t>
      </w:r>
      <w:bookmarkEnd w:id="41"/>
    </w:p>
    <w:p w14:paraId="4799CCB7" w14:textId="77777777" w:rsidR="001C725E" w:rsidRDefault="001C725E" w:rsidP="001C725E">
      <w:pPr>
        <w:pStyle w:val="Textkrper-Einzug2"/>
        <w:tabs>
          <w:tab w:val="left" w:pos="8080"/>
        </w:tabs>
        <w:spacing w:after="0" w:line="276" w:lineRule="auto"/>
        <w:ind w:left="0"/>
        <w:jc w:val="both"/>
        <w:rPr>
          <w:rFonts w:asciiTheme="minorHAnsi" w:hAnsiTheme="minorHAnsi" w:cstheme="minorHAnsi"/>
          <w:szCs w:val="22"/>
          <w:lang w:val="en-GB"/>
        </w:rPr>
      </w:pPr>
      <w:r>
        <w:rPr>
          <w:noProof/>
          <w:lang w:eastAsia="de-AT"/>
        </w:rPr>
        <w:drawing>
          <wp:inline distT="0" distB="0" distL="0" distR="0" wp14:anchorId="4FC3CB34" wp14:editId="255779C3">
            <wp:extent cx="4914900" cy="242819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6368" t="26143" r="40665" b="36120"/>
                    <a:stretch/>
                  </pic:blipFill>
                  <pic:spPr bwMode="auto">
                    <a:xfrm>
                      <a:off x="0" y="0"/>
                      <a:ext cx="4913852" cy="2427677"/>
                    </a:xfrm>
                    <a:prstGeom prst="rect">
                      <a:avLst/>
                    </a:prstGeom>
                    <a:ln>
                      <a:noFill/>
                    </a:ln>
                    <a:extLst>
                      <a:ext uri="{53640926-AAD7-44D8-BBD7-CCE9431645EC}">
                        <a14:shadowObscured xmlns:a14="http://schemas.microsoft.com/office/drawing/2010/main"/>
                      </a:ext>
                    </a:extLst>
                  </pic:spPr>
                </pic:pic>
              </a:graphicData>
            </a:graphic>
          </wp:inline>
        </w:drawing>
      </w:r>
    </w:p>
    <w:p w14:paraId="724F6AA2" w14:textId="77777777" w:rsidR="001C725E" w:rsidRPr="00FD06A8" w:rsidRDefault="001C725E" w:rsidP="003C629B">
      <w:pPr>
        <w:pStyle w:val="Default"/>
        <w:numPr>
          <w:ilvl w:val="0"/>
          <w:numId w:val="5"/>
        </w:numPr>
        <w:spacing w:line="276" w:lineRule="auto"/>
        <w:ind w:left="284" w:hanging="284"/>
        <w:jc w:val="both"/>
        <w:rPr>
          <w:rFonts w:asciiTheme="minorHAnsi" w:hAnsiTheme="minorHAnsi"/>
          <w:bCs/>
          <w:sz w:val="22"/>
          <w:szCs w:val="22"/>
          <w:lang w:val="en-GB"/>
        </w:rPr>
      </w:pPr>
      <w:r w:rsidRPr="00FD06A8">
        <w:rPr>
          <w:rFonts w:asciiTheme="minorHAnsi" w:hAnsiTheme="minorHAnsi"/>
          <w:bCs/>
          <w:sz w:val="22"/>
          <w:szCs w:val="22"/>
          <w:lang w:val="en-GB"/>
        </w:rPr>
        <w:t>prophylaxis of APL differentiation syndrome with prednisone 0.5 mg / kg / day p.o. from</w:t>
      </w:r>
      <w:r w:rsidR="0091252F" w:rsidRPr="00FD06A8">
        <w:rPr>
          <w:rFonts w:asciiTheme="minorHAnsi" w:hAnsiTheme="minorHAnsi"/>
          <w:bCs/>
          <w:sz w:val="22"/>
          <w:szCs w:val="22"/>
          <w:lang w:val="en-GB"/>
        </w:rPr>
        <w:t xml:space="preserve"> </w:t>
      </w:r>
      <w:r w:rsidRPr="00FD06A8">
        <w:rPr>
          <w:rFonts w:asciiTheme="minorHAnsi" w:hAnsiTheme="minorHAnsi"/>
          <w:bCs/>
          <w:sz w:val="22"/>
          <w:szCs w:val="22"/>
          <w:lang w:val="en-GB"/>
        </w:rPr>
        <w:t>day 1 of ATO application to the end of induction therapy and possibly hydroxyurea when leucocytes further raise up to &gt; 10 Gpt / l</w:t>
      </w:r>
    </w:p>
    <w:p w14:paraId="6BBAC71A" w14:textId="77777777" w:rsidR="001C725E" w:rsidRPr="00FD06A8" w:rsidRDefault="001C725E" w:rsidP="003C629B">
      <w:pPr>
        <w:pStyle w:val="Default"/>
        <w:numPr>
          <w:ilvl w:val="0"/>
          <w:numId w:val="5"/>
        </w:numPr>
        <w:spacing w:line="276" w:lineRule="auto"/>
        <w:ind w:left="284" w:hanging="284"/>
        <w:jc w:val="both"/>
        <w:rPr>
          <w:rFonts w:asciiTheme="minorHAnsi" w:hAnsiTheme="minorHAnsi"/>
          <w:bCs/>
          <w:sz w:val="22"/>
          <w:szCs w:val="22"/>
          <w:lang w:val="en-GB"/>
        </w:rPr>
      </w:pPr>
      <w:r w:rsidRPr="00FD06A8">
        <w:rPr>
          <w:rFonts w:asciiTheme="minorHAnsi" w:hAnsiTheme="minorHAnsi"/>
          <w:bCs/>
          <w:sz w:val="22"/>
          <w:szCs w:val="22"/>
          <w:lang w:val="en-GB"/>
        </w:rPr>
        <w:t>bone marrow puncture on day 28</w:t>
      </w:r>
    </w:p>
    <w:p w14:paraId="77753331" w14:textId="77777777" w:rsidR="001C725E" w:rsidRPr="00FD06A8" w:rsidRDefault="001C725E" w:rsidP="003C629B">
      <w:pPr>
        <w:pStyle w:val="Default"/>
        <w:numPr>
          <w:ilvl w:val="0"/>
          <w:numId w:val="5"/>
        </w:numPr>
        <w:spacing w:line="276" w:lineRule="auto"/>
        <w:ind w:left="284" w:hanging="284"/>
        <w:jc w:val="both"/>
        <w:rPr>
          <w:rFonts w:asciiTheme="minorHAnsi" w:hAnsiTheme="minorHAnsi"/>
          <w:bCs/>
          <w:sz w:val="22"/>
          <w:szCs w:val="22"/>
          <w:lang w:val="en-GB"/>
        </w:rPr>
      </w:pPr>
      <w:r w:rsidRPr="00FD06A8">
        <w:rPr>
          <w:rFonts w:asciiTheme="minorHAnsi" w:hAnsiTheme="minorHAnsi"/>
          <w:bCs/>
          <w:sz w:val="22"/>
          <w:szCs w:val="22"/>
          <w:lang w:val="en-GB"/>
        </w:rPr>
        <w:t>induction therapy should be terminated on the basis of morphological criteria (if CR or</w:t>
      </w:r>
      <w:r w:rsidR="0091252F" w:rsidRPr="00FD06A8">
        <w:rPr>
          <w:rFonts w:asciiTheme="minorHAnsi" w:hAnsiTheme="minorHAnsi"/>
          <w:bCs/>
          <w:sz w:val="22"/>
          <w:szCs w:val="22"/>
          <w:lang w:val="en-GB"/>
        </w:rPr>
        <w:t xml:space="preserve"> </w:t>
      </w:r>
      <w:r w:rsidRPr="00FD06A8">
        <w:rPr>
          <w:rFonts w:asciiTheme="minorHAnsi" w:hAnsiTheme="minorHAnsi"/>
          <w:bCs/>
          <w:sz w:val="22"/>
          <w:szCs w:val="22"/>
          <w:lang w:val="en-GB"/>
        </w:rPr>
        <w:t>CRi is reached on day 28)</w:t>
      </w:r>
    </w:p>
    <w:p w14:paraId="6639DDA7" w14:textId="77777777" w:rsidR="001C725E" w:rsidRPr="00FD06A8" w:rsidRDefault="001C725E" w:rsidP="003C629B">
      <w:pPr>
        <w:pStyle w:val="Default"/>
        <w:numPr>
          <w:ilvl w:val="0"/>
          <w:numId w:val="5"/>
        </w:numPr>
        <w:spacing w:line="276" w:lineRule="auto"/>
        <w:ind w:left="284" w:hanging="284"/>
        <w:jc w:val="both"/>
        <w:rPr>
          <w:rFonts w:asciiTheme="minorHAnsi" w:hAnsiTheme="minorHAnsi"/>
          <w:bCs/>
          <w:sz w:val="22"/>
          <w:szCs w:val="22"/>
          <w:lang w:val="en-GB"/>
        </w:rPr>
      </w:pPr>
      <w:r w:rsidRPr="00FD06A8">
        <w:rPr>
          <w:rFonts w:asciiTheme="minorHAnsi" w:hAnsiTheme="minorHAnsi"/>
          <w:bCs/>
          <w:sz w:val="22"/>
          <w:szCs w:val="22"/>
          <w:lang w:val="en-GB"/>
        </w:rPr>
        <w:t>in case of not achieving CR or CRi on day 28, ATRA therapy should be continued up to</w:t>
      </w:r>
      <w:r w:rsidR="0091252F" w:rsidRPr="00FD06A8">
        <w:rPr>
          <w:rFonts w:asciiTheme="minorHAnsi" w:hAnsiTheme="minorHAnsi"/>
          <w:bCs/>
          <w:sz w:val="22"/>
          <w:szCs w:val="22"/>
          <w:lang w:val="en-GB"/>
        </w:rPr>
        <w:t xml:space="preserve"> </w:t>
      </w:r>
      <w:r w:rsidRPr="00FD06A8">
        <w:rPr>
          <w:rFonts w:asciiTheme="minorHAnsi" w:hAnsiTheme="minorHAnsi"/>
          <w:bCs/>
          <w:sz w:val="22"/>
          <w:szCs w:val="22"/>
          <w:lang w:val="en-GB"/>
        </w:rPr>
        <w:t>max. day 60 until terminal differentiation is reached; this should be accompanied by</w:t>
      </w:r>
      <w:r w:rsidR="0091252F" w:rsidRPr="00FD06A8">
        <w:rPr>
          <w:rFonts w:asciiTheme="minorHAnsi" w:hAnsiTheme="minorHAnsi"/>
          <w:bCs/>
          <w:sz w:val="22"/>
          <w:szCs w:val="22"/>
          <w:lang w:val="en-GB"/>
        </w:rPr>
        <w:t xml:space="preserve"> </w:t>
      </w:r>
      <w:r w:rsidRPr="00FD06A8">
        <w:rPr>
          <w:rFonts w:asciiTheme="minorHAnsi" w:hAnsiTheme="minorHAnsi"/>
          <w:bCs/>
          <w:sz w:val="22"/>
          <w:szCs w:val="22"/>
          <w:lang w:val="en-GB"/>
        </w:rPr>
        <w:t>serial bone marrow assessments to definitively demonstrate CR</w:t>
      </w:r>
    </w:p>
    <w:p w14:paraId="54F93D70" w14:textId="77777777" w:rsidR="001C725E" w:rsidRPr="00E834DE" w:rsidRDefault="001C725E" w:rsidP="003C629B">
      <w:pPr>
        <w:pStyle w:val="Default"/>
        <w:numPr>
          <w:ilvl w:val="0"/>
          <w:numId w:val="5"/>
        </w:numPr>
        <w:spacing w:line="276" w:lineRule="auto"/>
        <w:ind w:left="284" w:hanging="284"/>
        <w:jc w:val="both"/>
        <w:rPr>
          <w:rFonts w:asciiTheme="minorHAnsi" w:hAnsiTheme="minorHAnsi"/>
          <w:bCs/>
          <w:sz w:val="22"/>
          <w:szCs w:val="22"/>
          <w:lang w:val="en-GB"/>
        </w:rPr>
      </w:pPr>
      <w:r w:rsidRPr="00FD06A8">
        <w:rPr>
          <w:rFonts w:asciiTheme="minorHAnsi" w:hAnsiTheme="minorHAnsi"/>
          <w:bCs/>
          <w:sz w:val="22"/>
          <w:szCs w:val="22"/>
          <w:lang w:val="en-GB"/>
        </w:rPr>
        <w:t>cytogenetic and molecular assessment at the end of induction therapy has no value in</w:t>
      </w:r>
      <w:r w:rsidR="0091252F" w:rsidRPr="00FD06A8">
        <w:rPr>
          <w:rFonts w:asciiTheme="minorHAnsi" w:hAnsiTheme="minorHAnsi"/>
          <w:bCs/>
          <w:sz w:val="22"/>
          <w:szCs w:val="22"/>
          <w:lang w:val="en-GB"/>
        </w:rPr>
        <w:t xml:space="preserve"> </w:t>
      </w:r>
      <w:r w:rsidRPr="00FD06A8">
        <w:rPr>
          <w:rFonts w:asciiTheme="minorHAnsi" w:hAnsiTheme="minorHAnsi"/>
          <w:bCs/>
          <w:sz w:val="22"/>
          <w:szCs w:val="22"/>
          <w:lang w:val="en-GB"/>
        </w:rPr>
        <w:t xml:space="preserve">case of CR. </w:t>
      </w:r>
      <w:r w:rsidRPr="00E834DE">
        <w:rPr>
          <w:rFonts w:asciiTheme="minorHAnsi" w:hAnsiTheme="minorHAnsi"/>
          <w:bCs/>
          <w:sz w:val="22"/>
          <w:szCs w:val="22"/>
          <w:lang w:val="en-GB"/>
        </w:rPr>
        <w:t>Molecular responses should be assessed after consolidation only</w:t>
      </w:r>
    </w:p>
    <w:p w14:paraId="78B6CF7F" w14:textId="77777777" w:rsidR="001C725E" w:rsidRDefault="001C725E" w:rsidP="001C725E">
      <w:pPr>
        <w:pStyle w:val="Textkrper-Einzug2"/>
        <w:tabs>
          <w:tab w:val="left" w:pos="8080"/>
        </w:tabs>
        <w:spacing w:after="0" w:line="276" w:lineRule="auto"/>
        <w:jc w:val="both"/>
        <w:rPr>
          <w:rFonts w:asciiTheme="minorHAnsi" w:eastAsia="Wingdings-Regular" w:hAnsiTheme="minorHAnsi" w:cstheme="minorHAnsi"/>
          <w:szCs w:val="22"/>
          <w:lang w:val="en-GB" w:eastAsia="de-AT"/>
        </w:rPr>
      </w:pPr>
    </w:p>
    <w:p w14:paraId="184324DD" w14:textId="77777777" w:rsidR="001C725E" w:rsidRDefault="001C725E" w:rsidP="001C725E">
      <w:pPr>
        <w:pStyle w:val="Textkrper-Einzug2"/>
        <w:tabs>
          <w:tab w:val="left" w:pos="8080"/>
        </w:tabs>
        <w:spacing w:after="0" w:line="276" w:lineRule="auto"/>
        <w:jc w:val="both"/>
        <w:rPr>
          <w:rFonts w:asciiTheme="minorHAnsi" w:eastAsia="Wingdings-Regular" w:hAnsiTheme="minorHAnsi" w:cstheme="minorHAnsi"/>
          <w:szCs w:val="22"/>
          <w:lang w:val="en-GB" w:eastAsia="de-AT"/>
        </w:rPr>
      </w:pPr>
    </w:p>
    <w:p w14:paraId="62E9F126" w14:textId="77777777" w:rsidR="001C725E" w:rsidRDefault="001C725E" w:rsidP="001C725E">
      <w:pPr>
        <w:pStyle w:val="Textkrper-Einzug2"/>
        <w:tabs>
          <w:tab w:val="left" w:pos="8080"/>
        </w:tabs>
        <w:spacing w:after="0" w:line="276" w:lineRule="auto"/>
        <w:ind w:left="720"/>
        <w:jc w:val="both"/>
        <w:rPr>
          <w:rFonts w:asciiTheme="minorHAnsi" w:eastAsia="Wingdings-Regular" w:hAnsiTheme="minorHAnsi" w:cstheme="minorHAnsi"/>
          <w:szCs w:val="22"/>
          <w:lang w:val="en-GB" w:eastAsia="de-AT"/>
        </w:rPr>
      </w:pPr>
    </w:p>
    <w:p w14:paraId="43D527DB" w14:textId="77777777" w:rsidR="001C725E" w:rsidRDefault="001C725E" w:rsidP="001C725E">
      <w:pPr>
        <w:pStyle w:val="Textkrper-Einzug2"/>
        <w:tabs>
          <w:tab w:val="left" w:pos="8080"/>
        </w:tabs>
        <w:spacing w:after="0" w:line="276" w:lineRule="auto"/>
        <w:ind w:left="0"/>
        <w:jc w:val="both"/>
        <w:rPr>
          <w:rFonts w:asciiTheme="minorHAnsi" w:hAnsiTheme="minorHAnsi" w:cstheme="minorHAnsi"/>
          <w:szCs w:val="22"/>
          <w:lang w:val="en-GB"/>
        </w:rPr>
      </w:pPr>
      <w:r>
        <w:rPr>
          <w:noProof/>
          <w:lang w:eastAsia="de-AT"/>
        </w:rPr>
        <w:drawing>
          <wp:inline distT="0" distB="0" distL="0" distR="0" wp14:anchorId="27E6E896" wp14:editId="6075858D">
            <wp:extent cx="5954735" cy="1898072"/>
            <wp:effectExtent l="0" t="0" r="8255"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7264" t="37510" r="41816" b="39302"/>
                    <a:stretch/>
                  </pic:blipFill>
                  <pic:spPr bwMode="auto">
                    <a:xfrm>
                      <a:off x="0" y="0"/>
                      <a:ext cx="5955917" cy="1898449"/>
                    </a:xfrm>
                    <a:prstGeom prst="rect">
                      <a:avLst/>
                    </a:prstGeom>
                    <a:ln>
                      <a:noFill/>
                    </a:ln>
                    <a:extLst>
                      <a:ext uri="{53640926-AAD7-44D8-BBD7-CCE9431645EC}">
                        <a14:shadowObscured xmlns:a14="http://schemas.microsoft.com/office/drawing/2010/main"/>
                      </a:ext>
                    </a:extLst>
                  </pic:spPr>
                </pic:pic>
              </a:graphicData>
            </a:graphic>
          </wp:inline>
        </w:drawing>
      </w:r>
    </w:p>
    <w:p w14:paraId="6366C95C" w14:textId="77777777" w:rsidR="001C725E" w:rsidRDefault="001C725E" w:rsidP="001C725E">
      <w:pPr>
        <w:pStyle w:val="Textkrper-Einzug2"/>
        <w:tabs>
          <w:tab w:val="left" w:pos="8080"/>
        </w:tabs>
        <w:spacing w:after="0" w:line="276" w:lineRule="auto"/>
        <w:ind w:left="0"/>
        <w:jc w:val="both"/>
        <w:rPr>
          <w:rFonts w:asciiTheme="minorHAnsi" w:hAnsiTheme="minorHAnsi" w:cstheme="minorHAnsi"/>
          <w:szCs w:val="22"/>
          <w:lang w:val="en-GB"/>
        </w:rPr>
      </w:pPr>
      <w:r>
        <w:rPr>
          <w:noProof/>
          <w:lang w:eastAsia="de-AT"/>
        </w:rPr>
        <w:lastRenderedPageBreak/>
        <w:drawing>
          <wp:inline distT="0" distB="0" distL="0" distR="0" wp14:anchorId="179161DE" wp14:editId="3F644DDA">
            <wp:extent cx="4166556" cy="3893127"/>
            <wp:effectExtent l="0" t="0" r="571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7647" t="17504" r="41432" b="14523"/>
                    <a:stretch/>
                  </pic:blipFill>
                  <pic:spPr bwMode="auto">
                    <a:xfrm>
                      <a:off x="0" y="0"/>
                      <a:ext cx="4164597" cy="3891297"/>
                    </a:xfrm>
                    <a:prstGeom prst="rect">
                      <a:avLst/>
                    </a:prstGeom>
                    <a:ln>
                      <a:noFill/>
                    </a:ln>
                    <a:extLst>
                      <a:ext uri="{53640926-AAD7-44D8-BBD7-CCE9431645EC}">
                        <a14:shadowObscured xmlns:a14="http://schemas.microsoft.com/office/drawing/2010/main"/>
                      </a:ext>
                    </a:extLst>
                  </pic:spPr>
                </pic:pic>
              </a:graphicData>
            </a:graphic>
          </wp:inline>
        </w:drawing>
      </w:r>
    </w:p>
    <w:p w14:paraId="7947AF3A" w14:textId="77777777" w:rsidR="001C725E" w:rsidRPr="007D44EC" w:rsidRDefault="001C725E" w:rsidP="0091252F">
      <w:pPr>
        <w:autoSpaceDE w:val="0"/>
        <w:autoSpaceDN w:val="0"/>
        <w:adjustRightInd w:val="0"/>
        <w:spacing w:line="240" w:lineRule="auto"/>
        <w:jc w:val="both"/>
        <w:rPr>
          <w:rFonts w:ascii="Calibri" w:hAnsi="Calibri" w:cs="Calibri"/>
          <w:szCs w:val="22"/>
          <w:lang w:val="en-GB" w:eastAsia="de-AT"/>
        </w:rPr>
      </w:pPr>
      <w:r w:rsidRPr="0049205E">
        <w:rPr>
          <w:rFonts w:ascii="Calibri" w:hAnsi="Calibri" w:cs="Calibri"/>
          <w:szCs w:val="22"/>
          <w:lang w:val="en-GB" w:eastAsia="de-AT"/>
        </w:rPr>
        <w:t>After achieving a hematological CR after induction therapy, 3 courses of ATRA plus</w:t>
      </w:r>
      <w:r w:rsidR="007D44EC">
        <w:rPr>
          <w:rFonts w:ascii="Calibri" w:hAnsi="Calibri" w:cs="Calibri"/>
          <w:szCs w:val="22"/>
          <w:lang w:val="en-GB" w:eastAsia="de-AT"/>
        </w:rPr>
        <w:t xml:space="preserve"> </w:t>
      </w:r>
      <w:r w:rsidRPr="0049205E">
        <w:rPr>
          <w:rFonts w:ascii="Calibri" w:hAnsi="Calibri" w:cs="Calibri"/>
          <w:szCs w:val="22"/>
          <w:lang w:val="en-GB" w:eastAsia="de-AT"/>
        </w:rPr>
        <w:t xml:space="preserve">chemotherapy are intended. Start of consolidation cycles is considered after </w:t>
      </w:r>
      <w:r w:rsidR="007D44EC">
        <w:rPr>
          <w:rFonts w:ascii="Calibri" w:hAnsi="Calibri" w:cs="Calibri"/>
          <w:szCs w:val="22"/>
          <w:lang w:val="en-GB" w:eastAsia="de-AT"/>
        </w:rPr>
        <w:t xml:space="preserve">haematological </w:t>
      </w:r>
      <w:r w:rsidRPr="0049205E">
        <w:rPr>
          <w:rFonts w:ascii="Calibri" w:hAnsi="Calibri" w:cs="Calibri"/>
          <w:szCs w:val="22"/>
          <w:lang w:val="en-GB" w:eastAsia="de-AT"/>
        </w:rPr>
        <w:t>recovery with neutrophils ≥ 1.0 Gpt / l and platelets ≥ 100 Gpt / l. In case of morphological</w:t>
      </w:r>
      <w:r w:rsidR="007D44EC">
        <w:rPr>
          <w:rFonts w:ascii="Calibri" w:hAnsi="Calibri" w:cs="Calibri"/>
          <w:szCs w:val="22"/>
          <w:lang w:val="en-GB" w:eastAsia="de-AT"/>
        </w:rPr>
        <w:t xml:space="preserve"> </w:t>
      </w:r>
      <w:r w:rsidRPr="0049205E">
        <w:rPr>
          <w:rFonts w:ascii="Calibri" w:hAnsi="Calibri" w:cs="Calibri"/>
          <w:szCs w:val="22"/>
          <w:lang w:val="en-GB" w:eastAsia="de-AT"/>
        </w:rPr>
        <w:t>CR and regenerated blood counts, consolidation therapy should be started within 4 weeks</w:t>
      </w:r>
      <w:r w:rsidR="007D44EC">
        <w:rPr>
          <w:rFonts w:ascii="Calibri" w:hAnsi="Calibri" w:cs="Calibri"/>
          <w:szCs w:val="22"/>
          <w:lang w:val="en-GB" w:eastAsia="de-AT"/>
        </w:rPr>
        <w:t xml:space="preserve"> </w:t>
      </w:r>
      <w:r w:rsidRPr="0049205E">
        <w:rPr>
          <w:rFonts w:ascii="Calibri" w:hAnsi="Calibri" w:cs="Calibri"/>
          <w:szCs w:val="22"/>
          <w:lang w:val="en-GB" w:eastAsia="de-AT"/>
        </w:rPr>
        <w:t>after documented CR. Each course of therapy should be initiated at hematological recovery</w:t>
      </w:r>
      <w:r w:rsidR="007D44EC">
        <w:rPr>
          <w:rFonts w:ascii="Calibri" w:hAnsi="Calibri" w:cs="Calibri"/>
          <w:szCs w:val="22"/>
          <w:lang w:val="en-GB" w:eastAsia="de-AT"/>
        </w:rPr>
        <w:t xml:space="preserve"> </w:t>
      </w:r>
      <w:r w:rsidRPr="0049205E">
        <w:rPr>
          <w:rFonts w:ascii="Calibri" w:hAnsi="Calibri" w:cs="Calibri"/>
          <w:szCs w:val="22"/>
          <w:lang w:val="en-GB" w:eastAsia="de-AT"/>
        </w:rPr>
        <w:t>from the previous course. The PCR status after the end of consolidation is an important</w:t>
      </w:r>
      <w:r w:rsidR="007D44EC">
        <w:rPr>
          <w:rFonts w:ascii="Calibri" w:hAnsi="Calibri" w:cs="Calibri"/>
          <w:szCs w:val="22"/>
          <w:lang w:val="en-GB" w:eastAsia="de-AT"/>
        </w:rPr>
        <w:t xml:space="preserve"> </w:t>
      </w:r>
      <w:r w:rsidRPr="0049205E">
        <w:rPr>
          <w:rFonts w:ascii="Calibri" w:hAnsi="Calibri" w:cs="Calibri"/>
          <w:szCs w:val="22"/>
          <w:lang w:val="en-GB" w:eastAsia="de-AT"/>
        </w:rPr>
        <w:t>stratification parameter for the subsequent therapy.</w:t>
      </w:r>
      <w:r w:rsidR="007D44EC">
        <w:rPr>
          <w:rFonts w:ascii="Calibri" w:hAnsi="Calibri" w:cs="Calibri"/>
          <w:szCs w:val="22"/>
          <w:lang w:val="en-GB" w:eastAsia="de-AT"/>
        </w:rPr>
        <w:t xml:space="preserve"> </w:t>
      </w:r>
      <w:r w:rsidRPr="007D44EC">
        <w:rPr>
          <w:rFonts w:ascii="Calibri" w:hAnsi="Calibri" w:cs="Calibri"/>
          <w:szCs w:val="22"/>
          <w:lang w:val="en-GB" w:eastAsia="de-AT"/>
        </w:rPr>
        <w:t>During all consolidation cycles (1‐3) the following diagnostics are recommended:</w:t>
      </w:r>
    </w:p>
    <w:p w14:paraId="4E1A37FC" w14:textId="77777777" w:rsidR="001C725E" w:rsidRPr="00FD06A8" w:rsidRDefault="001C725E" w:rsidP="003C629B">
      <w:pPr>
        <w:pStyle w:val="Default"/>
        <w:numPr>
          <w:ilvl w:val="0"/>
          <w:numId w:val="5"/>
        </w:numPr>
        <w:spacing w:line="276" w:lineRule="auto"/>
        <w:ind w:left="284" w:hanging="284"/>
        <w:jc w:val="both"/>
        <w:rPr>
          <w:rFonts w:asciiTheme="minorHAnsi" w:hAnsiTheme="minorHAnsi"/>
          <w:bCs/>
          <w:sz w:val="22"/>
          <w:szCs w:val="22"/>
          <w:lang w:val="en-GB"/>
        </w:rPr>
      </w:pPr>
      <w:r w:rsidRPr="00FD06A8">
        <w:rPr>
          <w:rFonts w:asciiTheme="minorHAnsi" w:hAnsiTheme="minorHAnsi"/>
          <w:bCs/>
          <w:sz w:val="22"/>
          <w:szCs w:val="22"/>
          <w:lang w:val="en-GB"/>
        </w:rPr>
        <w:t>bone marrow samples should be collected with regenerated blood counts before the</w:t>
      </w:r>
      <w:r w:rsidR="0091252F" w:rsidRPr="00FD06A8">
        <w:rPr>
          <w:rFonts w:asciiTheme="minorHAnsi" w:hAnsiTheme="minorHAnsi"/>
          <w:bCs/>
          <w:sz w:val="22"/>
          <w:szCs w:val="22"/>
          <w:lang w:val="en-GB"/>
        </w:rPr>
        <w:t xml:space="preserve"> </w:t>
      </w:r>
      <w:r w:rsidRPr="00FD06A8">
        <w:rPr>
          <w:rFonts w:asciiTheme="minorHAnsi" w:hAnsiTheme="minorHAnsi"/>
          <w:bCs/>
          <w:sz w:val="22"/>
          <w:szCs w:val="22"/>
          <w:lang w:val="en-GB"/>
        </w:rPr>
        <w:t>start of second and third consolidation cycle as well as after the last consolidation cycle</w:t>
      </w:r>
      <w:r w:rsidR="0091252F" w:rsidRPr="00FD06A8">
        <w:rPr>
          <w:rFonts w:asciiTheme="minorHAnsi" w:hAnsiTheme="minorHAnsi"/>
          <w:bCs/>
          <w:sz w:val="22"/>
          <w:szCs w:val="22"/>
          <w:lang w:val="en-GB"/>
        </w:rPr>
        <w:t xml:space="preserve"> </w:t>
      </w:r>
      <w:r w:rsidRPr="00FD06A8">
        <w:rPr>
          <w:rFonts w:asciiTheme="minorHAnsi" w:hAnsiTheme="minorHAnsi"/>
          <w:bCs/>
          <w:sz w:val="22"/>
          <w:szCs w:val="22"/>
          <w:lang w:val="en-GB"/>
        </w:rPr>
        <w:t>and should be tested for morphology and by RT‐PCR for assessment of molecular</w:t>
      </w:r>
      <w:r w:rsidR="0091252F" w:rsidRPr="00FD06A8">
        <w:rPr>
          <w:rFonts w:asciiTheme="minorHAnsi" w:hAnsiTheme="minorHAnsi"/>
          <w:bCs/>
          <w:sz w:val="22"/>
          <w:szCs w:val="22"/>
          <w:lang w:val="en-GB"/>
        </w:rPr>
        <w:t xml:space="preserve"> </w:t>
      </w:r>
      <w:r w:rsidRPr="00FD06A8">
        <w:rPr>
          <w:rFonts w:asciiTheme="minorHAnsi" w:hAnsiTheme="minorHAnsi"/>
          <w:bCs/>
          <w:sz w:val="22"/>
          <w:szCs w:val="22"/>
          <w:lang w:val="en-GB"/>
        </w:rPr>
        <w:t>remission</w:t>
      </w:r>
    </w:p>
    <w:p w14:paraId="5EE29862" w14:textId="77777777" w:rsidR="001C725E" w:rsidRPr="00FD06A8" w:rsidRDefault="001C725E" w:rsidP="003C629B">
      <w:pPr>
        <w:pStyle w:val="Default"/>
        <w:numPr>
          <w:ilvl w:val="0"/>
          <w:numId w:val="5"/>
        </w:numPr>
        <w:spacing w:line="276" w:lineRule="auto"/>
        <w:ind w:left="284" w:hanging="284"/>
        <w:jc w:val="both"/>
        <w:rPr>
          <w:rFonts w:asciiTheme="minorHAnsi" w:hAnsiTheme="minorHAnsi"/>
          <w:bCs/>
          <w:sz w:val="22"/>
          <w:szCs w:val="22"/>
          <w:lang w:val="en-GB"/>
        </w:rPr>
      </w:pPr>
      <w:r w:rsidRPr="00FD06A8">
        <w:rPr>
          <w:rFonts w:asciiTheme="minorHAnsi" w:hAnsiTheme="minorHAnsi"/>
          <w:bCs/>
          <w:sz w:val="22"/>
          <w:szCs w:val="22"/>
          <w:lang w:val="en-GB"/>
        </w:rPr>
        <w:t>patients without molecular remission at the end of the entire consolidation program will</w:t>
      </w:r>
      <w:r w:rsidR="0091252F" w:rsidRPr="00FD06A8">
        <w:rPr>
          <w:rFonts w:asciiTheme="minorHAnsi" w:hAnsiTheme="minorHAnsi"/>
          <w:bCs/>
          <w:sz w:val="22"/>
          <w:szCs w:val="22"/>
          <w:lang w:val="en-GB"/>
        </w:rPr>
        <w:t xml:space="preserve"> </w:t>
      </w:r>
      <w:r w:rsidRPr="00FD06A8">
        <w:rPr>
          <w:rFonts w:asciiTheme="minorHAnsi" w:hAnsiTheme="minorHAnsi"/>
          <w:bCs/>
          <w:sz w:val="22"/>
          <w:szCs w:val="22"/>
          <w:lang w:val="en-GB"/>
        </w:rPr>
        <w:t xml:space="preserve">be considered as molecularly resistant </w:t>
      </w:r>
    </w:p>
    <w:p w14:paraId="35FCDFA3" w14:textId="77777777" w:rsidR="001C725E" w:rsidRPr="0052231A" w:rsidRDefault="001C725E" w:rsidP="003C629B">
      <w:pPr>
        <w:pStyle w:val="Default"/>
        <w:numPr>
          <w:ilvl w:val="0"/>
          <w:numId w:val="5"/>
        </w:numPr>
        <w:spacing w:line="276" w:lineRule="auto"/>
        <w:ind w:left="284" w:hanging="284"/>
        <w:jc w:val="both"/>
        <w:rPr>
          <w:rFonts w:asciiTheme="minorHAnsi" w:hAnsiTheme="minorHAnsi"/>
          <w:bCs/>
          <w:sz w:val="22"/>
          <w:szCs w:val="22"/>
          <w:lang w:val="en-GB"/>
        </w:rPr>
      </w:pPr>
      <w:r w:rsidRPr="0052231A">
        <w:rPr>
          <w:rFonts w:asciiTheme="minorHAnsi" w:hAnsiTheme="minorHAnsi"/>
          <w:bCs/>
          <w:sz w:val="22"/>
          <w:szCs w:val="22"/>
          <w:lang w:val="en-GB"/>
        </w:rPr>
        <w:t>Intracranial prophylaxis before each consolidation cycle is not recommended in general, but</w:t>
      </w:r>
      <w:r w:rsidR="0091252F" w:rsidRPr="0052231A">
        <w:rPr>
          <w:rFonts w:asciiTheme="minorHAnsi" w:hAnsiTheme="minorHAnsi"/>
          <w:bCs/>
          <w:sz w:val="22"/>
          <w:szCs w:val="22"/>
          <w:lang w:val="en-GB"/>
        </w:rPr>
        <w:t xml:space="preserve"> </w:t>
      </w:r>
      <w:r w:rsidRPr="0052231A">
        <w:rPr>
          <w:rFonts w:asciiTheme="minorHAnsi" w:hAnsiTheme="minorHAnsi"/>
          <w:bCs/>
          <w:sz w:val="22"/>
          <w:szCs w:val="22"/>
          <w:lang w:val="en-GB"/>
        </w:rPr>
        <w:t>may be considered in high risk patients, according to local guidelines.</w:t>
      </w:r>
    </w:p>
    <w:p w14:paraId="411C499B" w14:textId="77777777" w:rsidR="001C725E" w:rsidRDefault="001C725E" w:rsidP="001C725E">
      <w:pPr>
        <w:pStyle w:val="Textkrper-Einzug2"/>
        <w:tabs>
          <w:tab w:val="left" w:pos="8080"/>
        </w:tabs>
        <w:spacing w:after="0" w:line="276" w:lineRule="auto"/>
        <w:ind w:left="0"/>
        <w:jc w:val="both"/>
        <w:rPr>
          <w:rFonts w:asciiTheme="minorHAnsi" w:hAnsiTheme="minorHAnsi" w:cstheme="minorHAnsi"/>
          <w:szCs w:val="22"/>
          <w:lang w:val="en-GB" w:eastAsia="de-AT"/>
        </w:rPr>
      </w:pPr>
    </w:p>
    <w:p w14:paraId="75408D88" w14:textId="77777777" w:rsidR="001C725E" w:rsidRDefault="001C725E" w:rsidP="001C725E">
      <w:pPr>
        <w:pStyle w:val="Textkrper-Einzug2"/>
        <w:tabs>
          <w:tab w:val="left" w:pos="8080"/>
        </w:tabs>
        <w:spacing w:after="0" w:line="276" w:lineRule="auto"/>
        <w:ind w:left="0"/>
        <w:jc w:val="both"/>
        <w:rPr>
          <w:rFonts w:asciiTheme="minorHAnsi" w:hAnsiTheme="minorHAnsi" w:cstheme="minorHAnsi"/>
          <w:szCs w:val="22"/>
          <w:lang w:val="en-GB"/>
        </w:rPr>
      </w:pPr>
      <w:r>
        <w:rPr>
          <w:noProof/>
          <w:lang w:eastAsia="de-AT"/>
        </w:rPr>
        <w:lastRenderedPageBreak/>
        <w:drawing>
          <wp:inline distT="0" distB="0" distL="0" distR="0" wp14:anchorId="060B73A0" wp14:editId="005F62EC">
            <wp:extent cx="4297680" cy="3378598"/>
            <wp:effectExtent l="0" t="0" r="762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7391" t="31145" r="40154" b="9522"/>
                    <a:stretch/>
                  </pic:blipFill>
                  <pic:spPr bwMode="auto">
                    <a:xfrm>
                      <a:off x="0" y="0"/>
                      <a:ext cx="4296764" cy="3377878"/>
                    </a:xfrm>
                    <a:prstGeom prst="rect">
                      <a:avLst/>
                    </a:prstGeom>
                    <a:ln>
                      <a:noFill/>
                    </a:ln>
                    <a:extLst>
                      <a:ext uri="{53640926-AAD7-44D8-BBD7-CCE9431645EC}">
                        <a14:shadowObscured xmlns:a14="http://schemas.microsoft.com/office/drawing/2010/main"/>
                      </a:ext>
                    </a:extLst>
                  </pic:spPr>
                </pic:pic>
              </a:graphicData>
            </a:graphic>
          </wp:inline>
        </w:drawing>
      </w:r>
    </w:p>
    <w:p w14:paraId="48828C86" w14:textId="77777777" w:rsidR="001C725E" w:rsidRDefault="001C725E" w:rsidP="001C725E">
      <w:pPr>
        <w:pStyle w:val="Textkrper-Einzug2"/>
        <w:tabs>
          <w:tab w:val="left" w:pos="8080"/>
        </w:tabs>
        <w:spacing w:after="0" w:line="276" w:lineRule="auto"/>
        <w:ind w:left="0"/>
        <w:jc w:val="both"/>
        <w:rPr>
          <w:rFonts w:asciiTheme="minorHAnsi" w:hAnsiTheme="minorHAnsi" w:cstheme="minorHAnsi"/>
          <w:szCs w:val="22"/>
          <w:lang w:val="en-GB"/>
        </w:rPr>
      </w:pPr>
    </w:p>
    <w:p w14:paraId="5355BCBB" w14:textId="77777777" w:rsidR="006A5AB8" w:rsidRPr="00176746" w:rsidRDefault="006A5AB8" w:rsidP="001C725E">
      <w:pPr>
        <w:pStyle w:val="Textkrper-Einzug2"/>
        <w:tabs>
          <w:tab w:val="left" w:pos="8080"/>
        </w:tabs>
        <w:spacing w:after="0" w:line="276" w:lineRule="auto"/>
        <w:ind w:left="0"/>
        <w:jc w:val="both"/>
        <w:rPr>
          <w:rFonts w:asciiTheme="minorHAnsi" w:hAnsiTheme="minorHAnsi" w:cstheme="minorHAnsi"/>
          <w:color w:val="000000" w:themeColor="text1"/>
          <w:szCs w:val="22"/>
          <w:lang w:val="en-GB"/>
        </w:rPr>
      </w:pPr>
    </w:p>
    <w:p w14:paraId="1B3639C9" w14:textId="77777777" w:rsidR="003C1B5D" w:rsidRPr="00176746" w:rsidRDefault="003C1B5D" w:rsidP="00FE6600">
      <w:pPr>
        <w:pStyle w:val="berschrift3"/>
        <w:numPr>
          <w:ilvl w:val="2"/>
          <w:numId w:val="26"/>
        </w:numPr>
        <w:ind w:left="567" w:hanging="567"/>
        <w:rPr>
          <w:color w:val="000000" w:themeColor="text1"/>
          <w:lang w:eastAsia="de-AT"/>
        </w:rPr>
      </w:pPr>
      <w:bookmarkStart w:id="42" w:name="_Toc63667675"/>
      <w:bookmarkStart w:id="43" w:name="_Toc378320341"/>
      <w:bookmarkStart w:id="44" w:name="_Toc346191223"/>
      <w:bookmarkStart w:id="45" w:name="_Toc330548335"/>
      <w:bookmarkStart w:id="46" w:name="_Toc465170207"/>
      <w:r w:rsidRPr="00176746">
        <w:rPr>
          <w:color w:val="000000" w:themeColor="text1"/>
          <w:lang w:eastAsia="de-AT"/>
        </w:rPr>
        <w:t>Bemerku</w:t>
      </w:r>
      <w:r w:rsidR="00FE6600" w:rsidRPr="00176746">
        <w:rPr>
          <w:color w:val="000000" w:themeColor="text1"/>
          <w:lang w:eastAsia="de-AT"/>
        </w:rPr>
        <w:t>ngen zu Erhaltung und Nachsorge</w:t>
      </w:r>
      <w:bookmarkEnd w:id="42"/>
    </w:p>
    <w:p w14:paraId="0A53A46C" w14:textId="77777777" w:rsidR="003C1B5D" w:rsidRPr="00176746" w:rsidRDefault="003C1B5D">
      <w:pPr>
        <w:spacing w:line="240" w:lineRule="auto"/>
        <w:jc w:val="left"/>
        <w:rPr>
          <w:rFonts w:asciiTheme="minorHAnsi" w:hAnsiTheme="minorHAnsi" w:cstheme="minorHAnsi"/>
          <w:color w:val="000000" w:themeColor="text1"/>
          <w:lang w:val="de-DE"/>
        </w:rPr>
      </w:pPr>
    </w:p>
    <w:p w14:paraId="45D772E4" w14:textId="77777777" w:rsidR="003C1B5D" w:rsidRPr="00176746" w:rsidRDefault="003C1B5D">
      <w:pPr>
        <w:spacing w:line="240" w:lineRule="auto"/>
        <w:jc w:val="left"/>
        <w:rPr>
          <w:rFonts w:asciiTheme="minorHAnsi" w:hAnsiTheme="minorHAnsi" w:cstheme="minorHAnsi"/>
          <w:color w:val="000000" w:themeColor="text1"/>
          <w:lang w:val="de-DE"/>
        </w:rPr>
      </w:pPr>
      <w:r w:rsidRPr="00176746">
        <w:rPr>
          <w:rFonts w:asciiTheme="minorHAnsi" w:hAnsiTheme="minorHAnsi" w:cstheme="minorHAnsi"/>
          <w:b/>
          <w:bCs/>
          <w:color w:val="000000" w:themeColor="text1"/>
          <w:lang w:val="de-DE"/>
        </w:rPr>
        <w:t>Niedrig-Risiko APL</w:t>
      </w:r>
      <w:r w:rsidRPr="00176746">
        <w:rPr>
          <w:rFonts w:asciiTheme="minorHAnsi" w:hAnsiTheme="minorHAnsi" w:cstheme="minorHAnsi"/>
          <w:color w:val="000000" w:themeColor="text1"/>
          <w:lang w:val="de-DE"/>
        </w:rPr>
        <w:t xml:space="preserve"> Patienten, die mit ATO und ATRA behandelt wurden und eine molekulare CR erreichen benötigen keine orale Erhaltungstherapie. Bei diesen Patienten reicht ein MRD Monitoring aus dem peripheren Blut alle 3 Monate aus, Knochenmarkpunktionen sind in der Nachsorge nicht notwendig.</w:t>
      </w:r>
    </w:p>
    <w:p w14:paraId="755F5C62" w14:textId="77777777" w:rsidR="003C1B5D" w:rsidRPr="00176746" w:rsidRDefault="003C1B5D">
      <w:pPr>
        <w:spacing w:line="240" w:lineRule="auto"/>
        <w:jc w:val="left"/>
        <w:rPr>
          <w:rFonts w:asciiTheme="minorHAnsi" w:hAnsiTheme="minorHAnsi" w:cstheme="minorHAnsi"/>
          <w:color w:val="000000" w:themeColor="text1"/>
          <w:lang w:val="de-DE"/>
        </w:rPr>
      </w:pPr>
    </w:p>
    <w:p w14:paraId="66680759" w14:textId="77777777" w:rsidR="004D742A" w:rsidRPr="003C1B5D" w:rsidRDefault="003C1B5D">
      <w:pPr>
        <w:spacing w:line="240" w:lineRule="auto"/>
        <w:jc w:val="left"/>
        <w:rPr>
          <w:rFonts w:asciiTheme="minorHAnsi" w:hAnsiTheme="minorHAnsi" w:cstheme="minorHAnsi"/>
          <w:lang w:val="de-DE"/>
        </w:rPr>
      </w:pPr>
      <w:r w:rsidRPr="00176746">
        <w:rPr>
          <w:rFonts w:asciiTheme="minorHAnsi" w:hAnsiTheme="minorHAnsi" w:cstheme="minorHAnsi"/>
          <w:b/>
          <w:bCs/>
          <w:color w:val="000000" w:themeColor="text1"/>
          <w:lang w:val="de-DE"/>
        </w:rPr>
        <w:t>Hochrisiko-APL</w:t>
      </w:r>
      <w:r w:rsidRPr="00176746">
        <w:rPr>
          <w:rFonts w:asciiTheme="minorHAnsi" w:hAnsiTheme="minorHAnsi" w:cstheme="minorHAnsi"/>
          <w:color w:val="000000" w:themeColor="text1"/>
          <w:lang w:val="de-DE"/>
        </w:rPr>
        <w:t xml:space="preserve"> Patienten, die mit Chemotherapie und ATRA behandelt werden, sollen eine orale Erhaltungstherapie durchführen. Molekulares Monitoring aus dem Knochenmark und Blut alle 3 Monate für 3 Jahre empfohlen.</w:t>
      </w:r>
      <w:r w:rsidR="004D742A" w:rsidRPr="003C1B5D">
        <w:rPr>
          <w:rFonts w:asciiTheme="minorHAnsi" w:hAnsiTheme="minorHAnsi" w:cstheme="minorHAnsi"/>
          <w:lang w:val="de-DE"/>
        </w:rPr>
        <w:br w:type="page"/>
      </w:r>
    </w:p>
    <w:p w14:paraId="3FEEC2F7" w14:textId="77777777" w:rsidR="001C725E" w:rsidRPr="00221975" w:rsidRDefault="00221975" w:rsidP="00221975">
      <w:pPr>
        <w:pStyle w:val="berschrift2"/>
        <w:numPr>
          <w:ilvl w:val="0"/>
          <w:numId w:val="0"/>
        </w:numPr>
        <w:rPr>
          <w:lang w:val="de-DE"/>
        </w:rPr>
      </w:pPr>
      <w:bookmarkStart w:id="47" w:name="_Toc63667676"/>
      <w:r>
        <w:rPr>
          <w:lang w:val="de-DE"/>
        </w:rPr>
        <w:lastRenderedPageBreak/>
        <w:t>3.6</w:t>
      </w:r>
      <w:r>
        <w:rPr>
          <w:lang w:val="de-DE"/>
        </w:rPr>
        <w:tab/>
      </w:r>
      <w:r w:rsidR="001C725E" w:rsidRPr="00221975">
        <w:rPr>
          <w:lang w:val="de-DE"/>
        </w:rPr>
        <w:t>Supportive Therapie</w:t>
      </w:r>
      <w:bookmarkEnd w:id="43"/>
      <w:bookmarkEnd w:id="44"/>
      <w:bookmarkEnd w:id="45"/>
      <w:bookmarkEnd w:id="46"/>
      <w:r w:rsidR="00B84430" w:rsidRPr="00221975">
        <w:rPr>
          <w:lang w:val="de-DE"/>
        </w:rPr>
        <w:t xml:space="preserve"> während intensiver Therapien</w:t>
      </w:r>
      <w:bookmarkEnd w:id="47"/>
    </w:p>
    <w:p w14:paraId="45BA4B35" w14:textId="77777777" w:rsidR="001C725E" w:rsidRPr="006E2CD7" w:rsidRDefault="001C725E" w:rsidP="003C629B">
      <w:pPr>
        <w:pStyle w:val="Textkrper-Einzug2"/>
        <w:numPr>
          <w:ilvl w:val="0"/>
          <w:numId w:val="7"/>
        </w:numPr>
        <w:spacing w:after="0" w:line="276" w:lineRule="auto"/>
        <w:ind w:left="284" w:hanging="284"/>
        <w:jc w:val="both"/>
        <w:rPr>
          <w:rFonts w:asciiTheme="minorHAnsi" w:hAnsiTheme="minorHAnsi" w:cstheme="minorHAnsi"/>
          <w:szCs w:val="22"/>
          <w:lang w:val="de-DE"/>
        </w:rPr>
      </w:pPr>
      <w:r w:rsidRPr="006E2CD7">
        <w:rPr>
          <w:rFonts w:asciiTheme="minorHAnsi" w:hAnsiTheme="minorHAnsi" w:cstheme="minorHAnsi"/>
          <w:szCs w:val="22"/>
          <w:lang w:val="de-DE"/>
        </w:rPr>
        <w:t>Erythrozytenkonzentrate bei symptomatischer Anämie</w:t>
      </w:r>
      <w:r>
        <w:rPr>
          <w:rFonts w:asciiTheme="minorHAnsi" w:hAnsiTheme="minorHAnsi" w:cstheme="minorHAnsi"/>
          <w:szCs w:val="22"/>
          <w:lang w:val="de-DE"/>
        </w:rPr>
        <w:t xml:space="preserve"> u./o. Hb &lt;7 g/dl</w:t>
      </w:r>
      <w:r w:rsidRPr="006E2CD7">
        <w:rPr>
          <w:rFonts w:asciiTheme="minorHAnsi" w:hAnsiTheme="minorHAnsi" w:cstheme="minorHAnsi"/>
          <w:szCs w:val="22"/>
          <w:lang w:val="de-DE"/>
        </w:rPr>
        <w:t xml:space="preserve"> (gefiltert,</w:t>
      </w:r>
      <w:r>
        <w:rPr>
          <w:rFonts w:asciiTheme="minorHAnsi" w:hAnsiTheme="minorHAnsi" w:cstheme="minorHAnsi"/>
          <w:szCs w:val="22"/>
          <w:lang w:val="de-DE"/>
        </w:rPr>
        <w:t xml:space="preserve"> bestrahlt</w:t>
      </w:r>
      <w:r w:rsidRPr="006E2CD7">
        <w:rPr>
          <w:rFonts w:asciiTheme="minorHAnsi" w:hAnsiTheme="minorHAnsi" w:cstheme="minorHAnsi"/>
          <w:szCs w:val="22"/>
          <w:lang w:val="de-DE"/>
        </w:rPr>
        <w:t>)</w:t>
      </w:r>
    </w:p>
    <w:p w14:paraId="16E4030D" w14:textId="77777777" w:rsidR="001C725E" w:rsidRPr="006E2CD7" w:rsidRDefault="001C725E" w:rsidP="003C629B">
      <w:pPr>
        <w:pStyle w:val="Textkrper-Einzug2"/>
        <w:numPr>
          <w:ilvl w:val="0"/>
          <w:numId w:val="7"/>
        </w:numPr>
        <w:spacing w:after="0" w:line="276" w:lineRule="auto"/>
        <w:ind w:left="284" w:hanging="284"/>
        <w:jc w:val="both"/>
        <w:rPr>
          <w:rFonts w:asciiTheme="minorHAnsi" w:hAnsiTheme="minorHAnsi" w:cstheme="minorHAnsi"/>
          <w:szCs w:val="22"/>
          <w:lang w:val="de-DE"/>
        </w:rPr>
      </w:pPr>
      <w:r w:rsidRPr="006E2CD7">
        <w:rPr>
          <w:rFonts w:asciiTheme="minorHAnsi" w:hAnsiTheme="minorHAnsi" w:cstheme="minorHAnsi"/>
          <w:szCs w:val="22"/>
          <w:lang w:val="de-DE"/>
        </w:rPr>
        <w:t>Thrombozytenkonzentrate bei PLT &lt; 10</w:t>
      </w:r>
      <w:r>
        <w:rPr>
          <w:rFonts w:asciiTheme="minorHAnsi" w:hAnsiTheme="minorHAnsi" w:cstheme="minorHAnsi"/>
          <w:szCs w:val="22"/>
          <w:lang w:val="de-DE"/>
        </w:rPr>
        <w:t xml:space="preserve"> </w:t>
      </w:r>
      <w:r w:rsidRPr="006E2CD7">
        <w:rPr>
          <w:rFonts w:asciiTheme="minorHAnsi" w:hAnsiTheme="minorHAnsi" w:cstheme="minorHAnsi"/>
          <w:szCs w:val="22"/>
          <w:lang w:val="de-DE"/>
        </w:rPr>
        <w:t>G/l u.o. Blutung (gefiltert, bestrahlt); bei Kandidaten für allogene Stammzelltransplantation und/ oder CMV-negativen Empfängern -&gt; CMV-negative Konzentrate</w:t>
      </w:r>
    </w:p>
    <w:p w14:paraId="4455D88C" w14:textId="77777777" w:rsidR="001C725E" w:rsidRDefault="001C725E" w:rsidP="003C629B">
      <w:pPr>
        <w:pStyle w:val="Textkrper-Einzug2"/>
        <w:numPr>
          <w:ilvl w:val="0"/>
          <w:numId w:val="7"/>
        </w:numPr>
        <w:spacing w:after="0" w:line="276" w:lineRule="auto"/>
        <w:ind w:left="284" w:hanging="284"/>
        <w:jc w:val="both"/>
        <w:rPr>
          <w:rFonts w:asciiTheme="minorHAnsi" w:hAnsiTheme="minorHAnsi" w:cstheme="minorHAnsi"/>
          <w:szCs w:val="22"/>
          <w:lang w:val="de-DE"/>
        </w:rPr>
      </w:pPr>
      <w:r w:rsidRPr="006E2CD7">
        <w:rPr>
          <w:rFonts w:asciiTheme="minorHAnsi" w:hAnsiTheme="minorHAnsi" w:cstheme="minorHAnsi"/>
          <w:szCs w:val="22"/>
          <w:lang w:val="de-DE"/>
        </w:rPr>
        <w:t>Ev. Antifibrinolytika (Aminokapronsäure) für Blutungen, die refraktär auf Thrombozyten- konzentrate sind</w:t>
      </w:r>
    </w:p>
    <w:p w14:paraId="2C614FFF" w14:textId="77777777" w:rsidR="001C725E" w:rsidRDefault="001C725E" w:rsidP="003C629B">
      <w:pPr>
        <w:pStyle w:val="Textkrper-Einzug2"/>
        <w:numPr>
          <w:ilvl w:val="0"/>
          <w:numId w:val="7"/>
        </w:numPr>
        <w:spacing w:after="0" w:line="276" w:lineRule="auto"/>
        <w:ind w:left="284" w:hanging="284"/>
        <w:jc w:val="both"/>
        <w:rPr>
          <w:rFonts w:asciiTheme="minorHAnsi" w:hAnsiTheme="minorHAnsi" w:cstheme="minorHAnsi"/>
          <w:szCs w:val="22"/>
          <w:lang w:val="de-DE"/>
        </w:rPr>
      </w:pPr>
      <w:r>
        <w:rPr>
          <w:rFonts w:asciiTheme="minorHAnsi" w:hAnsiTheme="minorHAnsi" w:cstheme="minorHAnsi"/>
          <w:szCs w:val="22"/>
          <w:lang w:val="de-DE"/>
        </w:rPr>
        <w:t>Desinfizierende Mundspülungen (Glandomed), topisches Antimykotikum (Mycostatin oder Amphomoronal)</w:t>
      </w:r>
    </w:p>
    <w:p w14:paraId="2C46BB03" w14:textId="77777777" w:rsidR="001C725E" w:rsidRDefault="001C725E" w:rsidP="003C629B">
      <w:pPr>
        <w:pStyle w:val="Textkrper-Einzug2"/>
        <w:numPr>
          <w:ilvl w:val="0"/>
          <w:numId w:val="7"/>
        </w:numPr>
        <w:spacing w:after="0" w:line="276" w:lineRule="auto"/>
        <w:ind w:left="284" w:hanging="284"/>
        <w:jc w:val="both"/>
        <w:rPr>
          <w:rFonts w:asciiTheme="minorHAnsi" w:hAnsiTheme="minorHAnsi" w:cstheme="minorHAnsi"/>
          <w:szCs w:val="22"/>
          <w:lang w:val="de-DE"/>
        </w:rPr>
      </w:pPr>
      <w:r>
        <w:rPr>
          <w:rFonts w:asciiTheme="minorHAnsi" w:hAnsiTheme="minorHAnsi" w:cstheme="minorHAnsi"/>
          <w:szCs w:val="22"/>
          <w:lang w:val="de-DE"/>
        </w:rPr>
        <w:t>Keimarme Kost („Neutropeniekost“) für die Dauer der Neutropenie</w:t>
      </w:r>
    </w:p>
    <w:p w14:paraId="30811F9B" w14:textId="77777777" w:rsidR="001C725E" w:rsidRDefault="001C725E" w:rsidP="003C629B">
      <w:pPr>
        <w:pStyle w:val="Textkrper-Einzug2"/>
        <w:numPr>
          <w:ilvl w:val="0"/>
          <w:numId w:val="7"/>
        </w:numPr>
        <w:spacing w:after="0" w:line="276" w:lineRule="auto"/>
        <w:ind w:left="284" w:hanging="284"/>
        <w:jc w:val="both"/>
        <w:rPr>
          <w:rFonts w:asciiTheme="minorHAnsi" w:hAnsiTheme="minorHAnsi" w:cstheme="minorHAnsi"/>
          <w:szCs w:val="22"/>
          <w:lang w:val="de-DE"/>
        </w:rPr>
      </w:pPr>
      <w:r>
        <w:rPr>
          <w:rFonts w:asciiTheme="minorHAnsi" w:hAnsiTheme="minorHAnsi" w:cstheme="minorHAnsi"/>
          <w:szCs w:val="22"/>
          <w:lang w:val="de-DE"/>
        </w:rPr>
        <w:t>Konjunctivitis-Prophylaxe bei HD-ARA-C</w:t>
      </w:r>
      <w:r w:rsidR="00EF0996">
        <w:rPr>
          <w:rFonts w:asciiTheme="minorHAnsi" w:hAnsiTheme="minorHAnsi" w:cstheme="minorHAnsi"/>
          <w:szCs w:val="22"/>
          <w:lang w:val="de-DE"/>
        </w:rPr>
        <w:t xml:space="preserve"> (≥ 1 g/m2)</w:t>
      </w:r>
    </w:p>
    <w:p w14:paraId="64A65C04" w14:textId="77777777" w:rsidR="001C725E" w:rsidRDefault="001C725E" w:rsidP="003C629B">
      <w:pPr>
        <w:pStyle w:val="Textkrper-Einzug2"/>
        <w:numPr>
          <w:ilvl w:val="0"/>
          <w:numId w:val="7"/>
        </w:numPr>
        <w:spacing w:after="0" w:line="276" w:lineRule="auto"/>
        <w:ind w:left="284" w:hanging="284"/>
        <w:jc w:val="both"/>
        <w:rPr>
          <w:rFonts w:asciiTheme="minorHAnsi" w:hAnsiTheme="minorHAnsi" w:cstheme="minorHAnsi"/>
          <w:szCs w:val="22"/>
        </w:rPr>
      </w:pPr>
      <w:r>
        <w:rPr>
          <w:rFonts w:asciiTheme="minorHAnsi" w:hAnsiTheme="minorHAnsi" w:cstheme="minorHAnsi"/>
          <w:szCs w:val="22"/>
        </w:rPr>
        <w:t xml:space="preserve">Infektprophylaxe siehe Tabelle unten und SOP „Prophylaxe“, </w:t>
      </w:r>
      <w:r w:rsidRPr="006B1D20">
        <w:rPr>
          <w:rFonts w:asciiTheme="minorHAnsi" w:hAnsiTheme="minorHAnsi" w:cstheme="minorHAnsi"/>
          <w:szCs w:val="22"/>
        </w:rPr>
        <w:t xml:space="preserve">Antibiotika für bakterielle Infekte siehe Leitlinie neutropenisches Fieber </w:t>
      </w:r>
    </w:p>
    <w:p w14:paraId="5D24F612" w14:textId="77777777" w:rsidR="001C725E" w:rsidRPr="00336AE4" w:rsidRDefault="001C725E" w:rsidP="003C629B">
      <w:pPr>
        <w:pStyle w:val="Textkrper-Einzug2"/>
        <w:numPr>
          <w:ilvl w:val="0"/>
          <w:numId w:val="7"/>
        </w:numPr>
        <w:spacing w:after="0" w:line="276" w:lineRule="auto"/>
        <w:ind w:left="284" w:hanging="284"/>
        <w:jc w:val="both"/>
        <w:rPr>
          <w:rFonts w:asciiTheme="minorHAnsi" w:hAnsiTheme="minorHAnsi" w:cstheme="minorHAnsi"/>
          <w:szCs w:val="22"/>
        </w:rPr>
      </w:pPr>
      <w:r w:rsidRPr="00336AE4">
        <w:rPr>
          <w:rFonts w:asciiTheme="minorHAnsi" w:hAnsiTheme="minorHAnsi" w:cstheme="minorHAnsi"/>
          <w:szCs w:val="22"/>
        </w:rPr>
        <w:t>G-CSF-Prophylaxe</w:t>
      </w:r>
      <w:r>
        <w:rPr>
          <w:rFonts w:asciiTheme="minorHAnsi" w:hAnsiTheme="minorHAnsi" w:cstheme="minorHAnsi"/>
          <w:szCs w:val="22"/>
        </w:rPr>
        <w:t xml:space="preserve"> (</w:t>
      </w:r>
      <w:r w:rsidRPr="00336AE4">
        <w:rPr>
          <w:rFonts w:asciiTheme="minorHAnsi" w:hAnsiTheme="minorHAnsi" w:cstheme="minorHAnsi"/>
          <w:szCs w:val="22"/>
        </w:rPr>
        <w:t xml:space="preserve"> laut ELN und NCCN keine Empfehlung für G-CSF</w:t>
      </w:r>
      <w:r>
        <w:rPr>
          <w:rFonts w:asciiTheme="minorHAnsi" w:hAnsiTheme="minorHAnsi" w:cstheme="minorHAnsi"/>
          <w:szCs w:val="22"/>
        </w:rPr>
        <w:t>)</w:t>
      </w:r>
      <w:r w:rsidRPr="00336AE4">
        <w:rPr>
          <w:rFonts w:asciiTheme="minorHAnsi" w:hAnsiTheme="minorHAnsi" w:cstheme="minorHAnsi"/>
          <w:szCs w:val="22"/>
        </w:rPr>
        <w:t xml:space="preserve">: </w:t>
      </w:r>
    </w:p>
    <w:p w14:paraId="6E00EA9A" w14:textId="77777777" w:rsidR="001C725E" w:rsidRDefault="001C725E" w:rsidP="003C629B">
      <w:pPr>
        <w:pStyle w:val="Textkrper-Einzug2"/>
        <w:numPr>
          <w:ilvl w:val="0"/>
          <w:numId w:val="8"/>
        </w:numPr>
        <w:spacing w:after="0" w:line="276" w:lineRule="auto"/>
        <w:jc w:val="both"/>
        <w:rPr>
          <w:rFonts w:asciiTheme="minorHAnsi" w:hAnsiTheme="minorHAnsi" w:cstheme="minorHAnsi"/>
          <w:szCs w:val="22"/>
        </w:rPr>
      </w:pPr>
      <w:r>
        <w:rPr>
          <w:rFonts w:asciiTheme="minorHAnsi" w:hAnsiTheme="minorHAnsi" w:cstheme="minorHAnsi"/>
          <w:szCs w:val="22"/>
        </w:rPr>
        <w:t>bei Induktionschemotherapie keine primäre G-CSF Prophylaxe, sekundäre Gabe bei schwerer neutropenischer Infektion</w:t>
      </w:r>
    </w:p>
    <w:p w14:paraId="3434FC86" w14:textId="77777777" w:rsidR="001C725E" w:rsidRPr="00336AE4" w:rsidRDefault="001C725E" w:rsidP="003C629B">
      <w:pPr>
        <w:pStyle w:val="Textkrper-Einzug2"/>
        <w:numPr>
          <w:ilvl w:val="0"/>
          <w:numId w:val="8"/>
        </w:numPr>
        <w:spacing w:after="0" w:line="276" w:lineRule="auto"/>
        <w:jc w:val="both"/>
        <w:rPr>
          <w:rFonts w:asciiTheme="minorHAnsi" w:hAnsiTheme="minorHAnsi" w:cstheme="minorHAnsi"/>
          <w:szCs w:val="22"/>
        </w:rPr>
      </w:pPr>
      <w:r w:rsidRPr="00336AE4">
        <w:rPr>
          <w:rFonts w:asciiTheme="minorHAnsi" w:hAnsiTheme="minorHAnsi" w:cstheme="minorHAnsi"/>
          <w:szCs w:val="22"/>
        </w:rPr>
        <w:t xml:space="preserve">bei den Konsolidierungschemotherapien kann entweder G-CSF einmal täglich für stationäre Patienten ab dem Tag nach Ende der Chemotherapie (oder Tag </w:t>
      </w:r>
      <w:r>
        <w:rPr>
          <w:rFonts w:asciiTheme="minorHAnsi" w:hAnsiTheme="minorHAnsi" w:cstheme="minorHAnsi"/>
          <w:szCs w:val="22"/>
        </w:rPr>
        <w:t>7</w:t>
      </w:r>
      <w:r w:rsidRPr="00336AE4">
        <w:rPr>
          <w:rFonts w:asciiTheme="minorHAnsi" w:hAnsiTheme="minorHAnsi" w:cstheme="minorHAnsi"/>
          <w:szCs w:val="22"/>
        </w:rPr>
        <w:t xml:space="preserve">)  verabreicht werden, bei ambulanten Patienten Peg-G-CSF  für den Tag </w:t>
      </w:r>
      <w:r>
        <w:rPr>
          <w:rFonts w:asciiTheme="minorHAnsi" w:hAnsiTheme="minorHAnsi" w:cstheme="minorHAnsi"/>
          <w:szCs w:val="22"/>
        </w:rPr>
        <w:t>7</w:t>
      </w:r>
      <w:r w:rsidRPr="00336AE4">
        <w:rPr>
          <w:rFonts w:asciiTheme="minorHAnsi" w:hAnsiTheme="minorHAnsi" w:cstheme="minorHAnsi"/>
          <w:szCs w:val="22"/>
        </w:rPr>
        <w:t xml:space="preserve"> rezeptiert werden (Wiederaufnahme zum Beginn der Neutropenie ca Tag 9 od. 10 empfohlen) </w:t>
      </w:r>
    </w:p>
    <w:p w14:paraId="6FC86DC7" w14:textId="77777777" w:rsidR="00221975" w:rsidRDefault="00221975">
      <w:pPr>
        <w:spacing w:line="240" w:lineRule="auto"/>
        <w:jc w:val="left"/>
        <w:rPr>
          <w:rFonts w:ascii="Calibri" w:hAnsi="Calibri" w:cs="Arial"/>
          <w:b/>
          <w:bCs/>
          <w:i/>
          <w:iCs/>
          <w:sz w:val="24"/>
          <w:szCs w:val="24"/>
          <w:lang w:val="de-DE"/>
        </w:rPr>
      </w:pPr>
      <w:r>
        <w:rPr>
          <w:lang w:val="de-DE"/>
        </w:rPr>
        <w:br w:type="page"/>
      </w:r>
    </w:p>
    <w:p w14:paraId="772867F8" w14:textId="77777777" w:rsidR="001C725E" w:rsidRPr="00221975" w:rsidRDefault="00221975" w:rsidP="00221975">
      <w:pPr>
        <w:pStyle w:val="berschrift2"/>
        <w:numPr>
          <w:ilvl w:val="0"/>
          <w:numId w:val="0"/>
        </w:numPr>
        <w:rPr>
          <w:lang w:val="de-DE"/>
        </w:rPr>
      </w:pPr>
      <w:bookmarkStart w:id="48" w:name="_Toc63667677"/>
      <w:r>
        <w:rPr>
          <w:lang w:val="de-DE"/>
        </w:rPr>
        <w:lastRenderedPageBreak/>
        <w:t>3.7</w:t>
      </w:r>
      <w:r>
        <w:rPr>
          <w:lang w:val="de-DE"/>
        </w:rPr>
        <w:tab/>
      </w:r>
      <w:r w:rsidR="0091252F" w:rsidRPr="00221975">
        <w:rPr>
          <w:lang w:val="de-DE"/>
        </w:rPr>
        <w:t>Infektprophylaxen</w:t>
      </w:r>
      <w:bookmarkEnd w:id="48"/>
    </w:p>
    <w:p w14:paraId="64299EE3" w14:textId="77777777" w:rsidR="001C725E" w:rsidRDefault="0091252F" w:rsidP="0091252F">
      <w:pPr>
        <w:pStyle w:val="Textkrper-Einzug2"/>
        <w:spacing w:after="0" w:line="276" w:lineRule="auto"/>
        <w:ind w:left="0"/>
        <w:jc w:val="both"/>
        <w:rPr>
          <w:rFonts w:asciiTheme="minorHAnsi" w:hAnsiTheme="minorHAnsi" w:cstheme="minorHAnsi"/>
          <w:szCs w:val="22"/>
          <w:lang w:val="de-DE"/>
        </w:rPr>
      </w:pPr>
      <w:r>
        <w:rPr>
          <w:rFonts w:asciiTheme="minorHAnsi" w:hAnsiTheme="minorHAnsi" w:cstheme="minorHAnsi"/>
          <w:noProof/>
          <w:szCs w:val="22"/>
          <w:lang w:eastAsia="de-AT"/>
        </w:rPr>
        <w:drawing>
          <wp:inline distT="0" distB="0" distL="0" distR="0" wp14:anchorId="6662A823" wp14:editId="71D92D97">
            <wp:extent cx="6040582" cy="3257871"/>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PNG"/>
                    <pic:cNvPicPr/>
                  </pic:nvPicPr>
                  <pic:blipFill>
                    <a:blip r:embed="rId35">
                      <a:extLst>
                        <a:ext uri="{28A0092B-C50C-407E-A947-70E740481C1C}">
                          <a14:useLocalDpi xmlns:a14="http://schemas.microsoft.com/office/drawing/2010/main" val="0"/>
                        </a:ext>
                      </a:extLst>
                    </a:blip>
                    <a:stretch>
                      <a:fillRect/>
                    </a:stretch>
                  </pic:blipFill>
                  <pic:spPr>
                    <a:xfrm>
                      <a:off x="0" y="0"/>
                      <a:ext cx="6040699" cy="3257934"/>
                    </a:xfrm>
                    <a:prstGeom prst="rect">
                      <a:avLst/>
                    </a:prstGeom>
                  </pic:spPr>
                </pic:pic>
              </a:graphicData>
            </a:graphic>
          </wp:inline>
        </w:drawing>
      </w:r>
    </w:p>
    <w:p w14:paraId="2BC145CE" w14:textId="77777777" w:rsidR="0091252F" w:rsidRDefault="0091252F" w:rsidP="0091252F">
      <w:pPr>
        <w:pStyle w:val="Textkrper-Einzug2"/>
        <w:spacing w:after="0" w:line="276" w:lineRule="auto"/>
        <w:ind w:left="0"/>
        <w:jc w:val="both"/>
        <w:rPr>
          <w:rFonts w:asciiTheme="minorHAnsi" w:hAnsiTheme="minorHAnsi" w:cstheme="minorHAnsi"/>
          <w:szCs w:val="22"/>
          <w:lang w:val="de-DE"/>
        </w:rPr>
      </w:pPr>
    </w:p>
    <w:p w14:paraId="309FB36C" w14:textId="77777777" w:rsidR="0091252F" w:rsidRDefault="0091252F" w:rsidP="0091252F">
      <w:pPr>
        <w:pStyle w:val="Textkrper-Einzug2"/>
        <w:spacing w:after="0" w:line="276" w:lineRule="auto"/>
        <w:ind w:left="0"/>
        <w:jc w:val="both"/>
        <w:rPr>
          <w:rFonts w:asciiTheme="minorHAnsi" w:hAnsiTheme="minorHAnsi" w:cstheme="minorHAnsi"/>
          <w:szCs w:val="22"/>
          <w:lang w:val="de-DE"/>
        </w:rPr>
      </w:pPr>
      <w:r>
        <w:rPr>
          <w:rFonts w:asciiTheme="minorHAnsi" w:hAnsiTheme="minorHAnsi" w:cstheme="minorHAnsi"/>
          <w:noProof/>
          <w:szCs w:val="22"/>
          <w:lang w:eastAsia="de-AT"/>
        </w:rPr>
        <w:drawing>
          <wp:inline distT="0" distB="0" distL="0" distR="0" wp14:anchorId="33B6F124" wp14:editId="0C4DD284">
            <wp:extent cx="6030595" cy="3513455"/>
            <wp:effectExtent l="0" t="0" r="825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PNG"/>
                    <pic:cNvPicPr/>
                  </pic:nvPicPr>
                  <pic:blipFill>
                    <a:blip r:embed="rId36">
                      <a:extLst>
                        <a:ext uri="{28A0092B-C50C-407E-A947-70E740481C1C}">
                          <a14:useLocalDpi xmlns:a14="http://schemas.microsoft.com/office/drawing/2010/main" val="0"/>
                        </a:ext>
                      </a:extLst>
                    </a:blip>
                    <a:stretch>
                      <a:fillRect/>
                    </a:stretch>
                  </pic:blipFill>
                  <pic:spPr>
                    <a:xfrm>
                      <a:off x="0" y="0"/>
                      <a:ext cx="6030595" cy="3513455"/>
                    </a:xfrm>
                    <a:prstGeom prst="rect">
                      <a:avLst/>
                    </a:prstGeom>
                  </pic:spPr>
                </pic:pic>
              </a:graphicData>
            </a:graphic>
          </wp:inline>
        </w:drawing>
      </w:r>
    </w:p>
    <w:p w14:paraId="79B309ED" w14:textId="77777777" w:rsidR="00221975" w:rsidRDefault="00221975">
      <w:pPr>
        <w:spacing w:line="240" w:lineRule="auto"/>
        <w:jc w:val="left"/>
        <w:rPr>
          <w:rFonts w:asciiTheme="minorHAnsi" w:hAnsiTheme="minorHAnsi" w:cstheme="minorHAnsi"/>
          <w:szCs w:val="22"/>
          <w:lang w:val="de-DE"/>
        </w:rPr>
      </w:pPr>
      <w:r>
        <w:rPr>
          <w:rFonts w:asciiTheme="minorHAnsi" w:hAnsiTheme="minorHAnsi" w:cstheme="minorHAnsi"/>
          <w:szCs w:val="22"/>
          <w:lang w:val="de-DE"/>
        </w:rPr>
        <w:br w:type="page"/>
      </w:r>
    </w:p>
    <w:p w14:paraId="6490C52D" w14:textId="77777777" w:rsidR="001C725E" w:rsidRPr="00221975" w:rsidRDefault="00221975" w:rsidP="00221975">
      <w:pPr>
        <w:pStyle w:val="berschrift2"/>
        <w:numPr>
          <w:ilvl w:val="0"/>
          <w:numId w:val="0"/>
        </w:numPr>
        <w:rPr>
          <w:lang w:val="de-DE"/>
        </w:rPr>
      </w:pPr>
      <w:bookmarkStart w:id="49" w:name="_Toc378320342"/>
      <w:bookmarkStart w:id="50" w:name="_Toc346191224"/>
      <w:bookmarkStart w:id="51" w:name="_Toc330548336"/>
      <w:bookmarkStart w:id="52" w:name="_Toc465170208"/>
      <w:bookmarkStart w:id="53" w:name="_Toc63667678"/>
      <w:r>
        <w:rPr>
          <w:lang w:val="de-DE"/>
        </w:rPr>
        <w:lastRenderedPageBreak/>
        <w:t>3.8</w:t>
      </w:r>
      <w:r>
        <w:rPr>
          <w:lang w:val="de-DE"/>
        </w:rPr>
        <w:tab/>
      </w:r>
      <w:r w:rsidR="001C725E" w:rsidRPr="00221975">
        <w:rPr>
          <w:lang w:val="de-DE"/>
        </w:rPr>
        <w:t xml:space="preserve">Indikationen für </w:t>
      </w:r>
      <w:bookmarkEnd w:id="49"/>
      <w:bookmarkEnd w:id="50"/>
      <w:bookmarkEnd w:id="51"/>
      <w:bookmarkEnd w:id="52"/>
      <w:r w:rsidR="001C725E" w:rsidRPr="00221975">
        <w:rPr>
          <w:lang w:val="de-DE"/>
        </w:rPr>
        <w:t>Stammzell-Transplantation</w:t>
      </w:r>
      <w:bookmarkEnd w:id="53"/>
    </w:p>
    <w:p w14:paraId="20E947C2" w14:textId="77777777" w:rsidR="001C725E" w:rsidRPr="00811922" w:rsidRDefault="001C725E" w:rsidP="00811922">
      <w:pPr>
        <w:spacing w:line="276" w:lineRule="auto"/>
        <w:jc w:val="both"/>
        <w:rPr>
          <w:rFonts w:asciiTheme="minorHAnsi" w:hAnsiTheme="minorHAnsi"/>
          <w:szCs w:val="22"/>
        </w:rPr>
      </w:pPr>
    </w:p>
    <w:p w14:paraId="3072B358" w14:textId="77777777" w:rsidR="001C725E" w:rsidRPr="00811922" w:rsidRDefault="00B84430" w:rsidP="00811922">
      <w:pPr>
        <w:pStyle w:val="Default"/>
        <w:spacing w:line="276" w:lineRule="auto"/>
        <w:jc w:val="both"/>
        <w:rPr>
          <w:rFonts w:asciiTheme="minorHAnsi" w:hAnsiTheme="minorHAnsi"/>
          <w:b/>
          <w:bCs/>
          <w:sz w:val="22"/>
          <w:szCs w:val="22"/>
        </w:rPr>
      </w:pPr>
      <w:r>
        <w:rPr>
          <w:rFonts w:asciiTheme="minorHAnsi" w:hAnsiTheme="minorHAnsi"/>
          <w:b/>
          <w:bCs/>
          <w:sz w:val="22"/>
          <w:szCs w:val="22"/>
        </w:rPr>
        <w:t>Niedriges Risiko</w:t>
      </w:r>
    </w:p>
    <w:p w14:paraId="3B5716F4" w14:textId="77777777" w:rsidR="001C725E" w:rsidRPr="00811922" w:rsidRDefault="001C725E" w:rsidP="00811922">
      <w:pPr>
        <w:pStyle w:val="Default"/>
        <w:spacing w:line="276" w:lineRule="auto"/>
        <w:jc w:val="both"/>
        <w:rPr>
          <w:rFonts w:asciiTheme="minorHAnsi" w:hAnsiTheme="minorHAnsi"/>
          <w:sz w:val="22"/>
          <w:szCs w:val="22"/>
        </w:rPr>
      </w:pPr>
      <w:r w:rsidRPr="00811922">
        <w:rPr>
          <w:rFonts w:asciiTheme="minorHAnsi" w:hAnsiTheme="minorHAnsi"/>
          <w:sz w:val="22"/>
          <w:szCs w:val="22"/>
        </w:rPr>
        <w:t>keine Transplantation in 1. kompl</w:t>
      </w:r>
      <w:r w:rsidR="00B84430">
        <w:rPr>
          <w:rFonts w:asciiTheme="minorHAnsi" w:hAnsiTheme="minorHAnsi"/>
          <w:sz w:val="22"/>
          <w:szCs w:val="22"/>
        </w:rPr>
        <w:t>etter Remission</w:t>
      </w:r>
    </w:p>
    <w:p w14:paraId="17185C45" w14:textId="77777777" w:rsidR="001C725E" w:rsidRPr="00811922" w:rsidRDefault="001C725E" w:rsidP="00B84430">
      <w:pPr>
        <w:pStyle w:val="Default"/>
        <w:spacing w:line="276" w:lineRule="auto"/>
        <w:ind w:left="708" w:hanging="282"/>
        <w:jc w:val="both"/>
        <w:rPr>
          <w:rFonts w:asciiTheme="minorHAnsi" w:hAnsiTheme="minorHAnsi"/>
          <w:sz w:val="22"/>
          <w:szCs w:val="22"/>
        </w:rPr>
      </w:pPr>
      <w:r w:rsidRPr="00811922">
        <w:rPr>
          <w:rFonts w:asciiTheme="minorHAnsi" w:hAnsiTheme="minorHAnsi"/>
          <w:sz w:val="22"/>
          <w:szCs w:val="22"/>
        </w:rPr>
        <w:t xml:space="preserve">1. Akute Promyelozytenleukämie (t (15;17)) </w:t>
      </w:r>
    </w:p>
    <w:p w14:paraId="1C987D70" w14:textId="77777777" w:rsidR="001C725E" w:rsidRPr="00811922" w:rsidRDefault="001C725E" w:rsidP="00B84430">
      <w:pPr>
        <w:pStyle w:val="Default"/>
        <w:spacing w:line="276" w:lineRule="auto"/>
        <w:ind w:left="708" w:hanging="282"/>
        <w:jc w:val="both"/>
        <w:rPr>
          <w:rFonts w:asciiTheme="minorHAnsi" w:hAnsiTheme="minorHAnsi"/>
          <w:sz w:val="22"/>
          <w:szCs w:val="22"/>
        </w:rPr>
      </w:pPr>
      <w:r w:rsidRPr="00811922">
        <w:rPr>
          <w:rFonts w:asciiTheme="minorHAnsi" w:hAnsiTheme="minorHAnsi"/>
          <w:sz w:val="22"/>
          <w:szCs w:val="22"/>
        </w:rPr>
        <w:t xml:space="preserve">2. CBF-Leukämien (t (8;21); inv16) </w:t>
      </w:r>
      <w:r w:rsidRPr="00811922">
        <w:rPr>
          <w:rFonts w:asciiTheme="minorHAnsi" w:hAnsiTheme="minorHAnsi"/>
          <w:b/>
          <w:bCs/>
          <w:sz w:val="22"/>
          <w:szCs w:val="22"/>
        </w:rPr>
        <w:t xml:space="preserve">+ </w:t>
      </w:r>
      <w:r w:rsidRPr="00811922">
        <w:rPr>
          <w:rFonts w:asciiTheme="minorHAnsi" w:hAnsiTheme="minorHAnsi"/>
          <w:sz w:val="22"/>
          <w:szCs w:val="22"/>
        </w:rPr>
        <w:t xml:space="preserve">c-kit Wildtyp </w:t>
      </w:r>
    </w:p>
    <w:p w14:paraId="2110F846" w14:textId="77777777" w:rsidR="001C725E" w:rsidRPr="00811922" w:rsidRDefault="001C725E" w:rsidP="00B84430">
      <w:pPr>
        <w:pStyle w:val="Default"/>
        <w:spacing w:line="276" w:lineRule="auto"/>
        <w:ind w:left="708" w:hanging="282"/>
        <w:jc w:val="both"/>
        <w:rPr>
          <w:rFonts w:asciiTheme="minorHAnsi" w:hAnsiTheme="minorHAnsi"/>
          <w:sz w:val="22"/>
          <w:szCs w:val="22"/>
        </w:rPr>
      </w:pPr>
      <w:r w:rsidRPr="00811922">
        <w:rPr>
          <w:rFonts w:asciiTheme="minorHAnsi" w:hAnsiTheme="minorHAnsi"/>
          <w:sz w:val="22"/>
          <w:szCs w:val="22"/>
        </w:rPr>
        <w:t xml:space="preserve">3. normaler Karyotyp </w:t>
      </w:r>
      <w:r w:rsidRPr="00811922">
        <w:rPr>
          <w:rFonts w:asciiTheme="minorHAnsi" w:hAnsiTheme="minorHAnsi"/>
          <w:b/>
          <w:bCs/>
          <w:sz w:val="22"/>
          <w:szCs w:val="22"/>
        </w:rPr>
        <w:t xml:space="preserve">+ </w:t>
      </w:r>
      <w:r w:rsidRPr="00811922">
        <w:rPr>
          <w:rFonts w:asciiTheme="minorHAnsi" w:hAnsiTheme="minorHAnsi"/>
          <w:sz w:val="22"/>
          <w:szCs w:val="22"/>
        </w:rPr>
        <w:t xml:space="preserve">FLT3-ITD Wildtyp </w:t>
      </w:r>
      <w:r w:rsidRPr="00811922">
        <w:rPr>
          <w:rFonts w:asciiTheme="minorHAnsi" w:hAnsiTheme="minorHAnsi"/>
          <w:b/>
          <w:bCs/>
          <w:sz w:val="22"/>
          <w:szCs w:val="22"/>
        </w:rPr>
        <w:t xml:space="preserve">+ </w:t>
      </w:r>
      <w:r w:rsidRPr="00811922">
        <w:rPr>
          <w:rFonts w:asciiTheme="minorHAnsi" w:hAnsiTheme="minorHAnsi"/>
          <w:sz w:val="22"/>
          <w:szCs w:val="22"/>
        </w:rPr>
        <w:t xml:space="preserve">NPM mutiert </w:t>
      </w:r>
    </w:p>
    <w:p w14:paraId="23114CF4" w14:textId="77777777" w:rsidR="001C725E" w:rsidRPr="00811922" w:rsidRDefault="001C725E" w:rsidP="00B84430">
      <w:pPr>
        <w:pStyle w:val="Default"/>
        <w:spacing w:line="276" w:lineRule="auto"/>
        <w:ind w:left="708" w:hanging="282"/>
        <w:jc w:val="both"/>
        <w:rPr>
          <w:rFonts w:asciiTheme="minorHAnsi" w:hAnsiTheme="minorHAnsi"/>
          <w:sz w:val="22"/>
          <w:szCs w:val="22"/>
        </w:rPr>
      </w:pPr>
      <w:r w:rsidRPr="00811922">
        <w:rPr>
          <w:rFonts w:asciiTheme="minorHAnsi" w:hAnsiTheme="minorHAnsi"/>
          <w:sz w:val="22"/>
          <w:szCs w:val="22"/>
        </w:rPr>
        <w:t>4. normaler Karyotyp</w:t>
      </w:r>
      <w:r w:rsidR="003C1B5D">
        <w:rPr>
          <w:rFonts w:asciiTheme="minorHAnsi" w:hAnsiTheme="minorHAnsi"/>
          <w:sz w:val="22"/>
          <w:szCs w:val="22"/>
        </w:rPr>
        <w:t xml:space="preserve"> </w:t>
      </w:r>
      <w:r w:rsidRPr="00811922">
        <w:rPr>
          <w:rFonts w:asciiTheme="minorHAnsi" w:hAnsiTheme="minorHAnsi"/>
          <w:b/>
          <w:bCs/>
          <w:sz w:val="22"/>
          <w:szCs w:val="22"/>
        </w:rPr>
        <w:t xml:space="preserve">+ </w:t>
      </w:r>
      <w:r w:rsidRPr="00811922">
        <w:rPr>
          <w:rFonts w:asciiTheme="minorHAnsi" w:hAnsiTheme="minorHAnsi"/>
          <w:sz w:val="22"/>
          <w:szCs w:val="22"/>
        </w:rPr>
        <w:t xml:space="preserve">CEBPA mut. (Doppelmutation) </w:t>
      </w:r>
    </w:p>
    <w:p w14:paraId="69C1F6F8" w14:textId="77777777" w:rsidR="001C725E" w:rsidRPr="00811922" w:rsidRDefault="001C725E" w:rsidP="00811922">
      <w:pPr>
        <w:pStyle w:val="Default"/>
        <w:spacing w:line="276" w:lineRule="auto"/>
        <w:jc w:val="both"/>
        <w:rPr>
          <w:rFonts w:asciiTheme="minorHAnsi" w:hAnsiTheme="minorHAnsi"/>
          <w:sz w:val="22"/>
          <w:szCs w:val="22"/>
        </w:rPr>
      </w:pPr>
    </w:p>
    <w:p w14:paraId="512C6920" w14:textId="77777777" w:rsidR="00811922" w:rsidRDefault="001C725E" w:rsidP="00811922">
      <w:pPr>
        <w:pStyle w:val="Default"/>
        <w:spacing w:line="276" w:lineRule="auto"/>
        <w:jc w:val="both"/>
        <w:rPr>
          <w:rFonts w:asciiTheme="minorHAnsi" w:hAnsiTheme="minorHAnsi"/>
          <w:b/>
          <w:bCs/>
          <w:sz w:val="22"/>
          <w:szCs w:val="22"/>
        </w:rPr>
      </w:pPr>
      <w:r w:rsidRPr="00811922">
        <w:rPr>
          <w:rFonts w:asciiTheme="minorHAnsi" w:hAnsiTheme="minorHAnsi"/>
          <w:b/>
          <w:bCs/>
          <w:sz w:val="22"/>
          <w:szCs w:val="22"/>
        </w:rPr>
        <w:t>M</w:t>
      </w:r>
      <w:r w:rsidR="00B84430">
        <w:rPr>
          <w:rFonts w:asciiTheme="minorHAnsi" w:hAnsiTheme="minorHAnsi"/>
          <w:b/>
          <w:bCs/>
          <w:sz w:val="22"/>
          <w:szCs w:val="22"/>
        </w:rPr>
        <w:t>ittleres Risiko</w:t>
      </w:r>
    </w:p>
    <w:p w14:paraId="2FC9D315" w14:textId="77777777" w:rsidR="001C725E" w:rsidRPr="00811922" w:rsidRDefault="001C725E" w:rsidP="00811922">
      <w:pPr>
        <w:pStyle w:val="Default"/>
        <w:spacing w:line="276" w:lineRule="auto"/>
        <w:jc w:val="both"/>
        <w:rPr>
          <w:rFonts w:asciiTheme="minorHAnsi" w:hAnsiTheme="minorHAnsi"/>
          <w:sz w:val="22"/>
          <w:szCs w:val="22"/>
        </w:rPr>
      </w:pPr>
      <w:r w:rsidRPr="00811922">
        <w:rPr>
          <w:rFonts w:asciiTheme="minorHAnsi" w:hAnsiTheme="minorHAnsi"/>
          <w:sz w:val="22"/>
          <w:szCs w:val="22"/>
        </w:rPr>
        <w:t xml:space="preserve">Transplantation in 1. kompletter Remission </w:t>
      </w:r>
    </w:p>
    <w:p w14:paraId="6CB39A07" w14:textId="77777777" w:rsidR="001C725E" w:rsidRPr="00B84430" w:rsidRDefault="002F3DA6" w:rsidP="00B84430">
      <w:pPr>
        <w:pStyle w:val="Default"/>
        <w:spacing w:line="276" w:lineRule="auto"/>
        <w:ind w:left="708" w:hanging="282"/>
        <w:jc w:val="both"/>
        <w:rPr>
          <w:rFonts w:asciiTheme="minorHAnsi" w:hAnsiTheme="minorHAnsi"/>
          <w:sz w:val="22"/>
          <w:szCs w:val="22"/>
        </w:rPr>
      </w:pPr>
      <w:r w:rsidRPr="00B84430">
        <w:rPr>
          <w:rFonts w:asciiTheme="minorHAnsi" w:hAnsiTheme="minorHAnsi"/>
          <w:sz w:val="22"/>
          <w:szCs w:val="22"/>
        </w:rPr>
        <w:t xml:space="preserve">1. </w:t>
      </w:r>
      <w:r w:rsidR="001C725E" w:rsidRPr="00B84430">
        <w:rPr>
          <w:rFonts w:asciiTheme="minorHAnsi" w:hAnsiTheme="minorHAnsi"/>
          <w:sz w:val="22"/>
          <w:szCs w:val="22"/>
        </w:rPr>
        <w:t xml:space="preserve">FLT3 ITD mutiert, niedrige </w:t>
      </w:r>
      <w:r w:rsidRPr="00B84430">
        <w:rPr>
          <w:rFonts w:asciiTheme="minorHAnsi" w:hAnsiTheme="minorHAnsi"/>
          <w:sz w:val="22"/>
          <w:szCs w:val="22"/>
        </w:rPr>
        <w:t>Allel-</w:t>
      </w:r>
      <w:r w:rsidR="001C725E" w:rsidRPr="00B84430">
        <w:rPr>
          <w:rFonts w:asciiTheme="minorHAnsi" w:hAnsiTheme="minorHAnsi"/>
          <w:sz w:val="22"/>
          <w:szCs w:val="22"/>
        </w:rPr>
        <w:t xml:space="preserve">Ratio, NPM mutiert *) </w:t>
      </w:r>
    </w:p>
    <w:p w14:paraId="4128F0BC" w14:textId="77777777" w:rsidR="001C725E" w:rsidRPr="00811922" w:rsidRDefault="002F3DA6" w:rsidP="00B84430">
      <w:pPr>
        <w:pStyle w:val="Default"/>
        <w:spacing w:line="276" w:lineRule="auto"/>
        <w:ind w:left="708" w:hanging="282"/>
        <w:jc w:val="both"/>
        <w:rPr>
          <w:rFonts w:asciiTheme="minorHAnsi" w:hAnsiTheme="minorHAnsi"/>
          <w:sz w:val="22"/>
          <w:szCs w:val="22"/>
        </w:rPr>
      </w:pPr>
      <w:r>
        <w:rPr>
          <w:rFonts w:asciiTheme="minorHAnsi" w:hAnsiTheme="minorHAnsi"/>
          <w:sz w:val="22"/>
          <w:szCs w:val="22"/>
        </w:rPr>
        <w:t>2</w:t>
      </w:r>
      <w:r w:rsidR="001C725E" w:rsidRPr="00811922">
        <w:rPr>
          <w:rFonts w:asciiTheme="minorHAnsi" w:hAnsiTheme="minorHAnsi"/>
          <w:sz w:val="22"/>
          <w:szCs w:val="22"/>
        </w:rPr>
        <w:t xml:space="preserve">. normaler Karyotyp + NPM wt + CEBPA wt </w:t>
      </w:r>
    </w:p>
    <w:p w14:paraId="5AA82F3E" w14:textId="77777777" w:rsidR="001C725E" w:rsidRPr="00811922" w:rsidRDefault="002F3DA6" w:rsidP="00B84430">
      <w:pPr>
        <w:pStyle w:val="Default"/>
        <w:spacing w:line="276" w:lineRule="auto"/>
        <w:ind w:left="708" w:hanging="282"/>
        <w:jc w:val="both"/>
        <w:rPr>
          <w:rFonts w:asciiTheme="minorHAnsi" w:hAnsiTheme="minorHAnsi"/>
          <w:sz w:val="22"/>
          <w:szCs w:val="22"/>
        </w:rPr>
      </w:pPr>
      <w:r>
        <w:rPr>
          <w:rFonts w:asciiTheme="minorHAnsi" w:hAnsiTheme="minorHAnsi"/>
          <w:sz w:val="22"/>
          <w:szCs w:val="22"/>
        </w:rPr>
        <w:t>3</w:t>
      </w:r>
      <w:r w:rsidR="001C725E" w:rsidRPr="00811922">
        <w:rPr>
          <w:rFonts w:asciiTheme="minorHAnsi" w:hAnsiTheme="minorHAnsi"/>
          <w:sz w:val="22"/>
          <w:szCs w:val="22"/>
        </w:rPr>
        <w:t xml:space="preserve">. CBF-Leukämien (t (8;21); inv16) + c-kit Mutation </w:t>
      </w:r>
    </w:p>
    <w:p w14:paraId="01293A4A" w14:textId="77777777" w:rsidR="001C725E" w:rsidRPr="00811922" w:rsidRDefault="002F3DA6" w:rsidP="00B84430">
      <w:pPr>
        <w:pStyle w:val="Default"/>
        <w:spacing w:line="276" w:lineRule="auto"/>
        <w:ind w:left="708" w:hanging="282"/>
        <w:jc w:val="both"/>
        <w:rPr>
          <w:rFonts w:asciiTheme="minorHAnsi" w:hAnsiTheme="minorHAnsi"/>
          <w:sz w:val="22"/>
          <w:szCs w:val="22"/>
        </w:rPr>
      </w:pPr>
      <w:r>
        <w:rPr>
          <w:rFonts w:asciiTheme="minorHAnsi" w:hAnsiTheme="minorHAnsi"/>
          <w:sz w:val="22"/>
          <w:szCs w:val="22"/>
        </w:rPr>
        <w:t>4</w:t>
      </w:r>
      <w:r w:rsidR="001C725E" w:rsidRPr="00811922">
        <w:rPr>
          <w:rFonts w:asciiTheme="minorHAnsi" w:hAnsiTheme="minorHAnsi"/>
          <w:sz w:val="22"/>
          <w:szCs w:val="22"/>
        </w:rPr>
        <w:t>. FLT 3 ITD  mutiert, hohe Allel-Ratio, NPM mutiert</w:t>
      </w:r>
    </w:p>
    <w:p w14:paraId="25ADD76A" w14:textId="77777777" w:rsidR="001C725E" w:rsidRPr="00811922" w:rsidRDefault="002F3DA6" w:rsidP="00B84430">
      <w:pPr>
        <w:pStyle w:val="Default"/>
        <w:spacing w:line="276" w:lineRule="auto"/>
        <w:ind w:left="708" w:hanging="282"/>
        <w:jc w:val="both"/>
        <w:rPr>
          <w:rFonts w:asciiTheme="minorHAnsi" w:hAnsiTheme="minorHAnsi"/>
          <w:sz w:val="22"/>
          <w:szCs w:val="22"/>
        </w:rPr>
      </w:pPr>
      <w:r>
        <w:rPr>
          <w:rFonts w:asciiTheme="minorHAnsi" w:hAnsiTheme="minorHAnsi"/>
          <w:sz w:val="22"/>
          <w:szCs w:val="22"/>
        </w:rPr>
        <w:t>5</w:t>
      </w:r>
      <w:r w:rsidR="001C725E" w:rsidRPr="00811922">
        <w:rPr>
          <w:rFonts w:asciiTheme="minorHAnsi" w:hAnsiTheme="minorHAnsi"/>
          <w:sz w:val="22"/>
          <w:szCs w:val="22"/>
        </w:rPr>
        <w:t xml:space="preserve">. zytogenetische Veränderung ohne hohem Risiko (z.B. +8, t(9;11)) </w:t>
      </w:r>
    </w:p>
    <w:p w14:paraId="192DCFA2" w14:textId="77777777" w:rsidR="001C725E" w:rsidRPr="00811922" w:rsidRDefault="001C725E" w:rsidP="00811922">
      <w:pPr>
        <w:pStyle w:val="Default"/>
        <w:spacing w:line="276" w:lineRule="auto"/>
        <w:jc w:val="both"/>
        <w:rPr>
          <w:rFonts w:asciiTheme="minorHAnsi" w:hAnsiTheme="minorHAnsi"/>
          <w:sz w:val="22"/>
          <w:szCs w:val="22"/>
        </w:rPr>
      </w:pPr>
    </w:p>
    <w:p w14:paraId="0D833BD4" w14:textId="77777777" w:rsidR="00811922" w:rsidRDefault="00B84430" w:rsidP="00811922">
      <w:pPr>
        <w:pStyle w:val="Default"/>
        <w:spacing w:line="276" w:lineRule="auto"/>
        <w:jc w:val="both"/>
        <w:rPr>
          <w:rFonts w:asciiTheme="minorHAnsi" w:hAnsiTheme="minorHAnsi"/>
          <w:b/>
          <w:bCs/>
          <w:sz w:val="22"/>
          <w:szCs w:val="22"/>
        </w:rPr>
      </w:pPr>
      <w:r>
        <w:rPr>
          <w:rFonts w:asciiTheme="minorHAnsi" w:hAnsiTheme="minorHAnsi"/>
          <w:b/>
          <w:bCs/>
          <w:sz w:val="22"/>
          <w:szCs w:val="22"/>
        </w:rPr>
        <w:t>Hohes Risiko</w:t>
      </w:r>
    </w:p>
    <w:p w14:paraId="7E9AF829" w14:textId="77777777" w:rsidR="00811922" w:rsidRPr="00176746" w:rsidRDefault="001C725E" w:rsidP="00811922">
      <w:pPr>
        <w:pStyle w:val="Default"/>
        <w:spacing w:line="276" w:lineRule="auto"/>
        <w:jc w:val="both"/>
        <w:rPr>
          <w:rFonts w:asciiTheme="minorHAnsi" w:hAnsiTheme="minorHAnsi"/>
          <w:color w:val="000000" w:themeColor="text1"/>
          <w:sz w:val="22"/>
          <w:szCs w:val="22"/>
        </w:rPr>
      </w:pPr>
      <w:r w:rsidRPr="00176746">
        <w:rPr>
          <w:rFonts w:asciiTheme="minorHAnsi" w:hAnsiTheme="minorHAnsi"/>
          <w:color w:val="000000" w:themeColor="text1"/>
          <w:sz w:val="22"/>
          <w:szCs w:val="22"/>
        </w:rPr>
        <w:t xml:space="preserve">Transplantation </w:t>
      </w:r>
      <w:r w:rsidR="003C1B5D" w:rsidRPr="00176746">
        <w:rPr>
          <w:rFonts w:asciiTheme="minorHAnsi" w:hAnsiTheme="minorHAnsi"/>
          <w:color w:val="000000" w:themeColor="text1"/>
          <w:sz w:val="22"/>
          <w:szCs w:val="22"/>
        </w:rPr>
        <w:t xml:space="preserve">in 1. </w:t>
      </w:r>
      <w:r w:rsidR="004C6907" w:rsidRPr="00176746">
        <w:rPr>
          <w:rFonts w:asciiTheme="minorHAnsi" w:hAnsiTheme="minorHAnsi"/>
          <w:color w:val="000000" w:themeColor="text1"/>
          <w:sz w:val="22"/>
          <w:szCs w:val="22"/>
        </w:rPr>
        <w:t>k</w:t>
      </w:r>
      <w:r w:rsidR="003C1B5D" w:rsidRPr="00176746">
        <w:rPr>
          <w:rFonts w:asciiTheme="minorHAnsi" w:hAnsiTheme="minorHAnsi"/>
          <w:color w:val="000000" w:themeColor="text1"/>
          <w:sz w:val="22"/>
          <w:szCs w:val="22"/>
        </w:rPr>
        <w:t xml:space="preserve">ompletter Remission </w:t>
      </w:r>
    </w:p>
    <w:p w14:paraId="1A2F31AC" w14:textId="77777777" w:rsidR="001C725E" w:rsidRPr="00176746" w:rsidRDefault="001C725E" w:rsidP="00340F90">
      <w:pPr>
        <w:pStyle w:val="Default"/>
        <w:spacing w:line="276" w:lineRule="auto"/>
        <w:ind w:left="708" w:hanging="282"/>
        <w:jc w:val="both"/>
        <w:rPr>
          <w:rFonts w:asciiTheme="minorHAnsi" w:hAnsiTheme="minorHAnsi"/>
          <w:color w:val="000000" w:themeColor="text1"/>
          <w:sz w:val="22"/>
          <w:szCs w:val="22"/>
        </w:rPr>
      </w:pPr>
      <w:r w:rsidRPr="00176746">
        <w:rPr>
          <w:rFonts w:asciiTheme="minorHAnsi" w:hAnsiTheme="minorHAnsi"/>
          <w:color w:val="000000" w:themeColor="text1"/>
          <w:sz w:val="22"/>
          <w:szCs w:val="22"/>
        </w:rPr>
        <w:t>1. komplexe Zytogenetik</w:t>
      </w:r>
      <w:r w:rsidR="00E834DE" w:rsidRPr="00176746">
        <w:rPr>
          <w:rFonts w:asciiTheme="minorHAnsi" w:hAnsiTheme="minorHAnsi"/>
          <w:color w:val="000000" w:themeColor="text1"/>
          <w:sz w:val="22"/>
          <w:szCs w:val="22"/>
        </w:rPr>
        <w:t>, monosomaler Karyotyp</w:t>
      </w:r>
      <w:r w:rsidR="00340F90" w:rsidRPr="00176746">
        <w:rPr>
          <w:rFonts w:asciiTheme="minorHAnsi" w:hAnsiTheme="minorHAnsi"/>
          <w:color w:val="000000" w:themeColor="text1"/>
          <w:sz w:val="22"/>
          <w:szCs w:val="22"/>
        </w:rPr>
        <w:t xml:space="preserve"> (eine Monosomie, die mindestens mit einer weiteren Monosomie oder strukturellen Chromosomenanomalie assoziiert ist)</w:t>
      </w:r>
    </w:p>
    <w:p w14:paraId="1F915D97" w14:textId="77777777" w:rsidR="001C725E" w:rsidRPr="00176746" w:rsidRDefault="001C725E" w:rsidP="00B84430">
      <w:pPr>
        <w:pStyle w:val="Default"/>
        <w:spacing w:line="276" w:lineRule="auto"/>
        <w:ind w:left="708" w:hanging="282"/>
        <w:jc w:val="both"/>
        <w:rPr>
          <w:rFonts w:asciiTheme="minorHAnsi" w:hAnsiTheme="minorHAnsi"/>
          <w:color w:val="000000" w:themeColor="text1"/>
          <w:sz w:val="22"/>
          <w:szCs w:val="22"/>
        </w:rPr>
      </w:pPr>
      <w:r w:rsidRPr="00176746">
        <w:rPr>
          <w:rFonts w:asciiTheme="minorHAnsi" w:hAnsiTheme="minorHAnsi"/>
          <w:color w:val="000000" w:themeColor="text1"/>
          <w:sz w:val="22"/>
          <w:szCs w:val="22"/>
        </w:rPr>
        <w:t xml:space="preserve">2. -7; 7q-, -5, 5q-, t(6;9), inv3, t(3;3), 11q23(MLL)excl. t(9;11), abn(12p),abn(17p), t(9;22) </w:t>
      </w:r>
    </w:p>
    <w:p w14:paraId="26C035FC" w14:textId="77777777" w:rsidR="001C725E" w:rsidRPr="00176746" w:rsidRDefault="001C725E" w:rsidP="00B84430">
      <w:pPr>
        <w:pStyle w:val="Default"/>
        <w:spacing w:line="276" w:lineRule="auto"/>
        <w:ind w:left="708" w:hanging="282"/>
        <w:jc w:val="both"/>
        <w:rPr>
          <w:rFonts w:asciiTheme="minorHAnsi" w:hAnsiTheme="minorHAnsi"/>
          <w:color w:val="000000" w:themeColor="text1"/>
          <w:sz w:val="22"/>
          <w:szCs w:val="22"/>
        </w:rPr>
      </w:pPr>
      <w:r w:rsidRPr="00176746">
        <w:rPr>
          <w:rFonts w:asciiTheme="minorHAnsi" w:hAnsiTheme="minorHAnsi"/>
          <w:color w:val="000000" w:themeColor="text1"/>
          <w:sz w:val="22"/>
          <w:szCs w:val="22"/>
        </w:rPr>
        <w:t xml:space="preserve">3. FLT3-ITD mutiert,  NPM Wildtyp </w:t>
      </w:r>
    </w:p>
    <w:p w14:paraId="36E3CD01" w14:textId="77777777" w:rsidR="001C725E" w:rsidRPr="00176746" w:rsidRDefault="001C725E" w:rsidP="00B84430">
      <w:pPr>
        <w:pStyle w:val="Default"/>
        <w:spacing w:line="276" w:lineRule="auto"/>
        <w:ind w:left="708" w:hanging="282"/>
        <w:jc w:val="both"/>
        <w:rPr>
          <w:rFonts w:asciiTheme="minorHAnsi" w:hAnsiTheme="minorHAnsi"/>
          <w:color w:val="000000" w:themeColor="text1"/>
          <w:sz w:val="22"/>
          <w:szCs w:val="22"/>
        </w:rPr>
      </w:pPr>
      <w:r w:rsidRPr="00176746">
        <w:rPr>
          <w:rFonts w:asciiTheme="minorHAnsi" w:hAnsiTheme="minorHAnsi"/>
          <w:color w:val="000000" w:themeColor="text1"/>
          <w:sz w:val="22"/>
          <w:szCs w:val="22"/>
        </w:rPr>
        <w:t xml:space="preserve">4. sek. AML nach MDS oder MPN </w:t>
      </w:r>
    </w:p>
    <w:p w14:paraId="5C3C6BA4" w14:textId="77777777" w:rsidR="001C725E" w:rsidRPr="00176746" w:rsidRDefault="001C725E" w:rsidP="00B84430">
      <w:pPr>
        <w:pStyle w:val="Default"/>
        <w:spacing w:line="276" w:lineRule="auto"/>
        <w:ind w:left="708" w:hanging="282"/>
        <w:jc w:val="both"/>
        <w:rPr>
          <w:rFonts w:asciiTheme="minorHAnsi" w:hAnsiTheme="minorHAnsi"/>
          <w:color w:val="000000" w:themeColor="text1"/>
          <w:sz w:val="22"/>
          <w:szCs w:val="22"/>
        </w:rPr>
      </w:pPr>
      <w:r w:rsidRPr="00176746">
        <w:rPr>
          <w:rFonts w:asciiTheme="minorHAnsi" w:hAnsiTheme="minorHAnsi"/>
          <w:color w:val="000000" w:themeColor="text1"/>
          <w:sz w:val="22"/>
          <w:szCs w:val="22"/>
        </w:rPr>
        <w:t xml:space="preserve">5. therapieassoziierte AML (tAML) </w:t>
      </w:r>
    </w:p>
    <w:p w14:paraId="14FA48F9" w14:textId="77777777" w:rsidR="001C725E" w:rsidRPr="00176746" w:rsidRDefault="001C725E" w:rsidP="00B84430">
      <w:pPr>
        <w:pStyle w:val="Default"/>
        <w:spacing w:line="276" w:lineRule="auto"/>
        <w:ind w:left="708" w:hanging="282"/>
        <w:jc w:val="both"/>
        <w:rPr>
          <w:rFonts w:asciiTheme="minorHAnsi" w:hAnsiTheme="minorHAnsi"/>
          <w:color w:val="000000" w:themeColor="text1"/>
          <w:sz w:val="22"/>
          <w:szCs w:val="22"/>
        </w:rPr>
      </w:pPr>
      <w:r w:rsidRPr="00176746">
        <w:rPr>
          <w:rFonts w:asciiTheme="minorHAnsi" w:hAnsiTheme="minorHAnsi"/>
          <w:color w:val="000000" w:themeColor="text1"/>
          <w:sz w:val="22"/>
          <w:szCs w:val="22"/>
        </w:rPr>
        <w:t>6. keine CR nach erster Induktion (primary induction failure)</w:t>
      </w:r>
    </w:p>
    <w:p w14:paraId="60CE3C7E" w14:textId="77777777" w:rsidR="003311BD" w:rsidRPr="00176746" w:rsidRDefault="003311BD" w:rsidP="00B84430">
      <w:pPr>
        <w:pStyle w:val="Default"/>
        <w:spacing w:line="276" w:lineRule="auto"/>
        <w:ind w:left="708" w:hanging="282"/>
        <w:jc w:val="both"/>
        <w:rPr>
          <w:rFonts w:asciiTheme="minorHAnsi" w:hAnsiTheme="minorHAnsi"/>
          <w:color w:val="000000" w:themeColor="text1"/>
          <w:sz w:val="22"/>
          <w:szCs w:val="22"/>
        </w:rPr>
      </w:pPr>
      <w:r w:rsidRPr="00176746">
        <w:rPr>
          <w:rFonts w:asciiTheme="minorHAnsi" w:hAnsiTheme="minorHAnsi"/>
          <w:color w:val="000000" w:themeColor="text1"/>
          <w:sz w:val="22"/>
          <w:szCs w:val="22"/>
        </w:rPr>
        <w:t>7. TP53 Mutation, RUNX 1 Mutation, ASXL1 Mutation</w:t>
      </w:r>
    </w:p>
    <w:p w14:paraId="62F384EA" w14:textId="77777777" w:rsidR="001C725E" w:rsidRPr="00811922" w:rsidRDefault="001C725E" w:rsidP="00811922">
      <w:pPr>
        <w:pStyle w:val="Default"/>
        <w:spacing w:line="276" w:lineRule="auto"/>
        <w:jc w:val="both"/>
        <w:rPr>
          <w:rFonts w:asciiTheme="minorHAnsi" w:hAnsiTheme="minorHAnsi"/>
          <w:sz w:val="22"/>
          <w:szCs w:val="22"/>
        </w:rPr>
      </w:pPr>
    </w:p>
    <w:p w14:paraId="333EE85D" w14:textId="77777777" w:rsidR="001C725E" w:rsidRDefault="001C725E" w:rsidP="00221975">
      <w:pPr>
        <w:pStyle w:val="HTMLVorformatiert"/>
        <w:spacing w:line="276" w:lineRule="auto"/>
        <w:jc w:val="both"/>
        <w:rPr>
          <w:rFonts w:asciiTheme="minorHAnsi" w:hAnsiTheme="minorHAnsi" w:cstheme="minorHAnsi"/>
          <w:sz w:val="18"/>
          <w:szCs w:val="18"/>
          <w:lang w:val="de-AT"/>
        </w:rPr>
      </w:pPr>
      <w:r w:rsidRPr="00811922">
        <w:rPr>
          <w:rFonts w:asciiTheme="minorHAnsi" w:hAnsiTheme="minorHAnsi" w:cstheme="minorHAnsi"/>
          <w:sz w:val="18"/>
          <w:szCs w:val="18"/>
        </w:rPr>
        <w:t xml:space="preserve">*) Da die Bedeutung der FLT3-ITD Allel-Ratio sehr kontrovers diskutiert wird, betrachten wir FLT3-ITD+ AML unabhängig von der Allel-Ratio als Intermediär- (NPM1 mut.) bzw. Hochrisikoerkrankung (NPM1 Wildtyp), und somit in jedem Fall als Transplantationsindikation. </w:t>
      </w:r>
      <w:r w:rsidRPr="00811922">
        <w:rPr>
          <w:rFonts w:asciiTheme="minorHAnsi" w:hAnsiTheme="minorHAnsi" w:cstheme="minorHAnsi"/>
          <w:sz w:val="18"/>
          <w:szCs w:val="18"/>
          <w:lang w:val="en-GB"/>
        </w:rPr>
        <w:t xml:space="preserve">(Balsat et al, J Clin Oncol. </w:t>
      </w:r>
      <w:r w:rsidRPr="00811922">
        <w:rPr>
          <w:rFonts w:asciiTheme="minorHAnsi" w:hAnsiTheme="minorHAnsi" w:cstheme="minorHAnsi"/>
          <w:sz w:val="18"/>
          <w:szCs w:val="18"/>
          <w:lang w:val="en-US"/>
        </w:rPr>
        <w:t xml:space="preserve">2017 Jan 10;35(2):185-193. Epub 2016 Nov 14. Versluis et al, Leukemia 2017, Oran et al, boil blood marrow transplant 2016; Pratz &amp; Levis, How I Treat FLT mutated AML. </w:t>
      </w:r>
      <w:r w:rsidRPr="00811922">
        <w:rPr>
          <w:rFonts w:asciiTheme="minorHAnsi" w:hAnsiTheme="minorHAnsi" w:cstheme="minorHAnsi"/>
          <w:sz w:val="18"/>
          <w:szCs w:val="18"/>
          <w:lang w:val="de-AT"/>
        </w:rPr>
        <w:t xml:space="preserve">Blood 2017 </w:t>
      </w:r>
      <w:r w:rsidR="002F3DA6">
        <w:rPr>
          <w:rFonts w:asciiTheme="minorHAnsi" w:hAnsiTheme="minorHAnsi" w:cstheme="minorHAnsi"/>
          <w:sz w:val="18"/>
          <w:szCs w:val="18"/>
          <w:lang w:val="de-AT"/>
        </w:rPr>
        <w:t>)</w:t>
      </w:r>
    </w:p>
    <w:p w14:paraId="0F650C15" w14:textId="77777777" w:rsidR="00221975" w:rsidRPr="00221975" w:rsidRDefault="00221975" w:rsidP="00221975">
      <w:pPr>
        <w:pStyle w:val="HTMLVorformatiert"/>
        <w:spacing w:line="276" w:lineRule="auto"/>
        <w:jc w:val="both"/>
        <w:rPr>
          <w:rFonts w:asciiTheme="minorHAnsi" w:hAnsiTheme="minorHAnsi" w:cstheme="minorHAnsi"/>
          <w:sz w:val="18"/>
          <w:szCs w:val="18"/>
          <w:lang w:val="de-AT"/>
        </w:rPr>
      </w:pPr>
    </w:p>
    <w:p w14:paraId="328D425E" w14:textId="77777777" w:rsidR="000F5686" w:rsidRDefault="000F5686">
      <w:pPr>
        <w:spacing w:line="240" w:lineRule="auto"/>
        <w:jc w:val="left"/>
        <w:rPr>
          <w:sz w:val="24"/>
          <w:szCs w:val="24"/>
        </w:rPr>
      </w:pPr>
      <w:r>
        <w:rPr>
          <w:sz w:val="24"/>
          <w:szCs w:val="24"/>
        </w:rPr>
        <w:br w:type="page"/>
      </w:r>
    </w:p>
    <w:p w14:paraId="7037E796" w14:textId="77777777" w:rsidR="006D4DAC" w:rsidRPr="00E344D4" w:rsidRDefault="006D4DAC" w:rsidP="007F3064">
      <w:pPr>
        <w:pStyle w:val="berschrift1"/>
      </w:pPr>
      <w:bookmarkStart w:id="54" w:name="_Toc367183618"/>
      <w:bookmarkStart w:id="55" w:name="_Toc367183856"/>
      <w:bookmarkStart w:id="56" w:name="_Toc63667679"/>
      <w:r w:rsidRPr="00E344D4">
        <w:lastRenderedPageBreak/>
        <w:t>4</w:t>
      </w:r>
      <w:r w:rsidRPr="00E344D4">
        <w:tab/>
      </w:r>
      <w:bookmarkEnd w:id="54"/>
      <w:bookmarkEnd w:id="55"/>
      <w:r w:rsidR="0049768A">
        <w:t>Besondere klinische Situationen</w:t>
      </w:r>
      <w:bookmarkEnd w:id="56"/>
      <w:r w:rsidRPr="00E344D4">
        <w:t xml:space="preserve"> </w:t>
      </w:r>
    </w:p>
    <w:p w14:paraId="2BBC64B9" w14:textId="77777777" w:rsidR="00811922" w:rsidRPr="006D3FAC" w:rsidRDefault="006D3FAC" w:rsidP="006D3FAC">
      <w:pPr>
        <w:pStyle w:val="berschrift2"/>
        <w:numPr>
          <w:ilvl w:val="0"/>
          <w:numId w:val="0"/>
        </w:numPr>
        <w:rPr>
          <w:lang w:val="de-DE"/>
        </w:rPr>
      </w:pPr>
      <w:bookmarkStart w:id="57" w:name="_Toc63667680"/>
      <w:r>
        <w:rPr>
          <w:lang w:val="de-DE"/>
        </w:rPr>
        <w:t>4.1</w:t>
      </w:r>
      <w:r>
        <w:rPr>
          <w:lang w:val="de-DE"/>
        </w:rPr>
        <w:tab/>
      </w:r>
      <w:r w:rsidR="00B84430" w:rsidRPr="006D3FAC">
        <w:rPr>
          <w:lang w:val="de-DE"/>
        </w:rPr>
        <w:t>Kontrolle der Leukozytose bei Erst- oder Rezidivdiagnose</w:t>
      </w:r>
      <w:bookmarkEnd w:id="57"/>
    </w:p>
    <w:p w14:paraId="7570D12A" w14:textId="77777777" w:rsidR="00B84430" w:rsidRPr="004139BD" w:rsidRDefault="000F5686" w:rsidP="00811922">
      <w:pPr>
        <w:pStyle w:val="Textkrper-Einzug2"/>
        <w:tabs>
          <w:tab w:val="left" w:pos="5676"/>
        </w:tabs>
        <w:spacing w:after="0" w:line="276" w:lineRule="auto"/>
        <w:ind w:left="0"/>
        <w:jc w:val="both"/>
        <w:rPr>
          <w:rFonts w:asciiTheme="minorHAnsi" w:hAnsiTheme="minorHAnsi" w:cstheme="minorHAnsi"/>
          <w:szCs w:val="22"/>
        </w:rPr>
      </w:pPr>
      <w:r w:rsidRPr="004139BD">
        <w:rPr>
          <w:rFonts w:asciiTheme="minorHAnsi" w:hAnsiTheme="minorHAnsi" w:cstheme="minorHAnsi"/>
          <w:szCs w:val="22"/>
        </w:rPr>
        <w:t>Mit steigender Leukozytenzahl, insbesondere &gt; 100 G/L, steigt das Risiko einer Tumorlyse und Leukostase (pulmonale Infiltrate, retinale u. cerebrale Blutungen). Daher ist b</w:t>
      </w:r>
      <w:r w:rsidR="00B84430" w:rsidRPr="004139BD">
        <w:rPr>
          <w:rFonts w:asciiTheme="minorHAnsi" w:hAnsiTheme="minorHAnsi" w:cstheme="minorHAnsi"/>
          <w:szCs w:val="22"/>
        </w:rPr>
        <w:t xml:space="preserve">ereits bei Leukozytenzahlen &gt; 10 G/L ist mit einer zytoreduktiven Therapie gemäß nachfolgendem Schema zu beginnen. </w:t>
      </w:r>
      <w:r w:rsidRPr="004139BD">
        <w:rPr>
          <w:rFonts w:asciiTheme="minorHAnsi" w:hAnsiTheme="minorHAnsi" w:cstheme="minorHAnsi"/>
          <w:szCs w:val="22"/>
        </w:rPr>
        <w:t xml:space="preserve">Achtung: </w:t>
      </w:r>
      <w:r w:rsidR="00B84430" w:rsidRPr="004139BD">
        <w:rPr>
          <w:rFonts w:asciiTheme="minorHAnsi" w:hAnsiTheme="minorHAnsi" w:cstheme="minorHAnsi"/>
          <w:szCs w:val="22"/>
        </w:rPr>
        <w:t xml:space="preserve">Bei manchen Studien ist ein </w:t>
      </w:r>
      <w:r w:rsidRPr="004139BD">
        <w:rPr>
          <w:rFonts w:asciiTheme="minorHAnsi" w:hAnsiTheme="minorHAnsi" w:cstheme="minorHAnsi"/>
          <w:szCs w:val="22"/>
        </w:rPr>
        <w:t xml:space="preserve">zytoreduktive </w:t>
      </w:r>
      <w:r w:rsidR="00B84430" w:rsidRPr="004139BD">
        <w:rPr>
          <w:rFonts w:asciiTheme="minorHAnsi" w:hAnsiTheme="minorHAnsi" w:cstheme="minorHAnsi"/>
          <w:szCs w:val="22"/>
        </w:rPr>
        <w:t xml:space="preserve">Therapie mit HU für mehr als 5 Tage ein Ausschlussgrund. </w:t>
      </w:r>
    </w:p>
    <w:p w14:paraId="04152ECC" w14:textId="77777777" w:rsidR="00B84430" w:rsidRPr="004139BD" w:rsidRDefault="00B84430" w:rsidP="00811922">
      <w:pPr>
        <w:pStyle w:val="Textkrper-Einzug2"/>
        <w:tabs>
          <w:tab w:val="left" w:pos="5676"/>
        </w:tabs>
        <w:spacing w:after="0" w:line="276" w:lineRule="auto"/>
        <w:ind w:left="0"/>
        <w:jc w:val="both"/>
        <w:rPr>
          <w:rFonts w:asciiTheme="minorHAnsi" w:hAnsiTheme="minorHAnsi" w:cstheme="minorHAnsi"/>
          <w:szCs w:val="22"/>
        </w:rPr>
      </w:pPr>
    </w:p>
    <w:p w14:paraId="3BB1095F" w14:textId="77777777" w:rsidR="00811922" w:rsidRPr="004139BD" w:rsidRDefault="00811922" w:rsidP="00811922">
      <w:pPr>
        <w:pStyle w:val="Textkrper-Einzug2"/>
        <w:tabs>
          <w:tab w:val="left" w:pos="5676"/>
        </w:tabs>
        <w:spacing w:after="0" w:line="276" w:lineRule="auto"/>
        <w:ind w:left="0"/>
        <w:jc w:val="both"/>
        <w:rPr>
          <w:rFonts w:asciiTheme="minorHAnsi" w:hAnsiTheme="minorHAnsi" w:cstheme="minorHAnsi"/>
          <w:b/>
          <w:szCs w:val="22"/>
        </w:rPr>
      </w:pPr>
      <w:r w:rsidRPr="004139BD">
        <w:rPr>
          <w:rFonts w:asciiTheme="minorHAnsi" w:hAnsiTheme="minorHAnsi" w:cstheme="minorHAnsi"/>
          <w:b/>
          <w:szCs w:val="22"/>
        </w:rPr>
        <w:t xml:space="preserve">HU-Schema: </w:t>
      </w:r>
    </w:p>
    <w:p w14:paraId="11C1635F" w14:textId="77777777" w:rsidR="00811922" w:rsidRPr="004139BD" w:rsidRDefault="008B5511" w:rsidP="000F5686">
      <w:pPr>
        <w:pStyle w:val="Textkrper-Einzug2"/>
        <w:tabs>
          <w:tab w:val="left" w:pos="1701"/>
        </w:tabs>
        <w:spacing w:after="0" w:line="276" w:lineRule="auto"/>
        <w:ind w:left="0"/>
        <w:jc w:val="both"/>
        <w:rPr>
          <w:rFonts w:asciiTheme="minorHAnsi" w:hAnsiTheme="minorHAnsi" w:cstheme="minorHAnsi"/>
          <w:szCs w:val="22"/>
        </w:rPr>
      </w:pPr>
      <w:r w:rsidRPr="004139BD">
        <w:rPr>
          <w:rFonts w:asciiTheme="minorHAnsi" w:hAnsiTheme="minorHAnsi" w:cstheme="minorHAnsi"/>
          <w:szCs w:val="22"/>
        </w:rPr>
        <w:t xml:space="preserve">WBC 10-20 G/l:   </w:t>
      </w:r>
      <w:r w:rsidR="000F5686" w:rsidRPr="004139BD">
        <w:rPr>
          <w:rFonts w:asciiTheme="minorHAnsi" w:hAnsiTheme="minorHAnsi" w:cstheme="minorHAnsi"/>
          <w:szCs w:val="22"/>
        </w:rPr>
        <w:tab/>
      </w:r>
      <w:r w:rsidR="00811922" w:rsidRPr="004139BD">
        <w:rPr>
          <w:rFonts w:asciiTheme="minorHAnsi" w:hAnsiTheme="minorHAnsi" w:cstheme="minorHAnsi"/>
          <w:szCs w:val="22"/>
        </w:rPr>
        <w:t>4 Kps bei 80 kg</w:t>
      </w:r>
    </w:p>
    <w:p w14:paraId="430DEF88" w14:textId="77777777" w:rsidR="00811922" w:rsidRPr="004139BD" w:rsidRDefault="00811922" w:rsidP="000F5686">
      <w:pPr>
        <w:pStyle w:val="Textkrper-Einzug2"/>
        <w:tabs>
          <w:tab w:val="left" w:pos="1701"/>
        </w:tabs>
        <w:spacing w:after="0" w:line="276" w:lineRule="auto"/>
        <w:ind w:left="0"/>
        <w:jc w:val="both"/>
        <w:rPr>
          <w:rFonts w:asciiTheme="minorHAnsi" w:hAnsiTheme="minorHAnsi" w:cstheme="minorHAnsi"/>
          <w:szCs w:val="22"/>
        </w:rPr>
      </w:pPr>
      <w:r w:rsidRPr="004139BD">
        <w:rPr>
          <w:rFonts w:asciiTheme="minorHAnsi" w:hAnsiTheme="minorHAnsi" w:cstheme="minorHAnsi"/>
          <w:szCs w:val="22"/>
        </w:rPr>
        <w:t>WBC 20-50 G/l</w:t>
      </w:r>
      <w:r w:rsidR="008B5511" w:rsidRPr="004139BD">
        <w:rPr>
          <w:rFonts w:asciiTheme="minorHAnsi" w:hAnsiTheme="minorHAnsi" w:cstheme="minorHAnsi"/>
          <w:szCs w:val="22"/>
        </w:rPr>
        <w:t>:</w:t>
      </w:r>
      <w:r w:rsidRPr="004139BD">
        <w:rPr>
          <w:rFonts w:asciiTheme="minorHAnsi" w:hAnsiTheme="minorHAnsi" w:cstheme="minorHAnsi"/>
          <w:szCs w:val="22"/>
        </w:rPr>
        <w:t xml:space="preserve"> </w:t>
      </w:r>
      <w:r w:rsidR="008B5511" w:rsidRPr="004139BD">
        <w:rPr>
          <w:rFonts w:asciiTheme="minorHAnsi" w:hAnsiTheme="minorHAnsi" w:cstheme="minorHAnsi"/>
          <w:szCs w:val="22"/>
        </w:rPr>
        <w:t xml:space="preserve">  </w:t>
      </w:r>
      <w:r w:rsidR="000F5686" w:rsidRPr="004139BD">
        <w:rPr>
          <w:rFonts w:asciiTheme="minorHAnsi" w:hAnsiTheme="minorHAnsi" w:cstheme="minorHAnsi"/>
          <w:szCs w:val="22"/>
        </w:rPr>
        <w:tab/>
      </w:r>
      <w:r w:rsidRPr="004139BD">
        <w:rPr>
          <w:rFonts w:asciiTheme="minorHAnsi" w:hAnsiTheme="minorHAnsi" w:cstheme="minorHAnsi"/>
          <w:szCs w:val="22"/>
        </w:rPr>
        <w:t>6 Kps bei 80 kg</w:t>
      </w:r>
    </w:p>
    <w:p w14:paraId="08AAFAD8" w14:textId="77777777" w:rsidR="00FB2D10" w:rsidRPr="004139BD" w:rsidRDefault="00811922" w:rsidP="000F5686">
      <w:pPr>
        <w:pStyle w:val="Textkrper-Einzug2"/>
        <w:tabs>
          <w:tab w:val="left" w:pos="1701"/>
        </w:tabs>
        <w:spacing w:after="0" w:line="276" w:lineRule="auto"/>
        <w:ind w:left="0"/>
        <w:jc w:val="both"/>
        <w:rPr>
          <w:rFonts w:asciiTheme="minorHAnsi" w:hAnsiTheme="minorHAnsi" w:cstheme="minorHAnsi"/>
          <w:szCs w:val="22"/>
        </w:rPr>
      </w:pPr>
      <w:r w:rsidRPr="004139BD">
        <w:rPr>
          <w:rFonts w:asciiTheme="minorHAnsi" w:hAnsiTheme="minorHAnsi" w:cstheme="minorHAnsi"/>
          <w:szCs w:val="22"/>
        </w:rPr>
        <w:t>WBC &gt; 50 G/l</w:t>
      </w:r>
      <w:r w:rsidR="008B5511" w:rsidRPr="004139BD">
        <w:rPr>
          <w:rFonts w:asciiTheme="minorHAnsi" w:hAnsiTheme="minorHAnsi" w:cstheme="minorHAnsi"/>
          <w:szCs w:val="22"/>
        </w:rPr>
        <w:t>:</w:t>
      </w:r>
      <w:r w:rsidRPr="004139BD">
        <w:rPr>
          <w:rFonts w:asciiTheme="minorHAnsi" w:hAnsiTheme="minorHAnsi" w:cstheme="minorHAnsi"/>
          <w:szCs w:val="22"/>
        </w:rPr>
        <w:t xml:space="preserve"> </w:t>
      </w:r>
      <w:r w:rsidR="008B5511" w:rsidRPr="004139BD">
        <w:rPr>
          <w:rFonts w:asciiTheme="minorHAnsi" w:hAnsiTheme="minorHAnsi" w:cstheme="minorHAnsi"/>
          <w:szCs w:val="22"/>
        </w:rPr>
        <w:t xml:space="preserve">  </w:t>
      </w:r>
      <w:r w:rsidR="000F5686" w:rsidRPr="004139BD">
        <w:rPr>
          <w:rFonts w:asciiTheme="minorHAnsi" w:hAnsiTheme="minorHAnsi" w:cstheme="minorHAnsi"/>
          <w:szCs w:val="22"/>
        </w:rPr>
        <w:tab/>
      </w:r>
      <w:r w:rsidRPr="004139BD">
        <w:rPr>
          <w:rFonts w:asciiTheme="minorHAnsi" w:hAnsiTheme="minorHAnsi" w:cstheme="minorHAnsi"/>
          <w:szCs w:val="22"/>
        </w:rPr>
        <w:t>8 Kps bei 80 kg</w:t>
      </w:r>
    </w:p>
    <w:p w14:paraId="2265DA0E" w14:textId="77777777" w:rsidR="000F5686" w:rsidRPr="004139BD" w:rsidRDefault="000F5686" w:rsidP="00811922">
      <w:pPr>
        <w:pStyle w:val="Textkrper-Einzug2"/>
        <w:tabs>
          <w:tab w:val="left" w:pos="5676"/>
        </w:tabs>
        <w:spacing w:after="0" w:line="276" w:lineRule="auto"/>
        <w:ind w:left="0"/>
        <w:jc w:val="both"/>
        <w:rPr>
          <w:rFonts w:asciiTheme="minorHAnsi" w:hAnsiTheme="minorHAnsi" w:cstheme="minorHAnsi"/>
          <w:szCs w:val="22"/>
        </w:rPr>
      </w:pPr>
    </w:p>
    <w:p w14:paraId="386B1DA8" w14:textId="77777777" w:rsidR="00FB2D10" w:rsidRPr="004139BD" w:rsidRDefault="00FB2D10" w:rsidP="00811922">
      <w:pPr>
        <w:pStyle w:val="Textkrper-Einzug2"/>
        <w:tabs>
          <w:tab w:val="left" w:pos="5676"/>
        </w:tabs>
        <w:spacing w:after="0" w:line="276" w:lineRule="auto"/>
        <w:ind w:left="0"/>
        <w:jc w:val="both"/>
        <w:rPr>
          <w:rFonts w:asciiTheme="minorHAnsi" w:hAnsiTheme="minorHAnsi" w:cstheme="minorHAnsi"/>
          <w:szCs w:val="22"/>
        </w:rPr>
      </w:pPr>
      <w:r w:rsidRPr="004139BD">
        <w:rPr>
          <w:rFonts w:asciiTheme="minorHAnsi" w:hAnsiTheme="minorHAnsi" w:cstheme="minorHAnsi"/>
          <w:b/>
          <w:szCs w:val="22"/>
        </w:rPr>
        <w:t>Alternative zu Hydroxyurea</w:t>
      </w:r>
      <w:r w:rsidRPr="004139BD">
        <w:rPr>
          <w:rFonts w:asciiTheme="minorHAnsi" w:hAnsiTheme="minorHAnsi" w:cstheme="minorHAnsi"/>
          <w:szCs w:val="22"/>
        </w:rPr>
        <w:t xml:space="preserve"> b</w:t>
      </w:r>
      <w:r w:rsidR="000F5686" w:rsidRPr="004139BD">
        <w:rPr>
          <w:rFonts w:asciiTheme="minorHAnsi" w:hAnsiTheme="minorHAnsi" w:cstheme="minorHAnsi"/>
          <w:szCs w:val="22"/>
        </w:rPr>
        <w:t>ei schlechtem Allgemeinzustand/</w:t>
      </w:r>
      <w:r w:rsidRPr="004139BD">
        <w:rPr>
          <w:rFonts w:asciiTheme="minorHAnsi" w:hAnsiTheme="minorHAnsi" w:cstheme="minorHAnsi"/>
          <w:szCs w:val="22"/>
        </w:rPr>
        <w:t>nicht möglicher oraler Therapie:</w:t>
      </w:r>
    </w:p>
    <w:p w14:paraId="005D9651" w14:textId="77777777" w:rsidR="00FB2D10" w:rsidRPr="004139BD" w:rsidRDefault="00FB2D10" w:rsidP="00811922">
      <w:pPr>
        <w:pStyle w:val="Textkrper-Einzug2"/>
        <w:tabs>
          <w:tab w:val="left" w:pos="5676"/>
        </w:tabs>
        <w:spacing w:after="0" w:line="276" w:lineRule="auto"/>
        <w:ind w:left="0"/>
        <w:jc w:val="both"/>
        <w:rPr>
          <w:rFonts w:asciiTheme="minorHAnsi" w:hAnsiTheme="minorHAnsi" w:cstheme="minorHAnsi"/>
          <w:szCs w:val="22"/>
        </w:rPr>
      </w:pPr>
      <w:r w:rsidRPr="004139BD">
        <w:rPr>
          <w:rFonts w:asciiTheme="minorHAnsi" w:hAnsiTheme="minorHAnsi" w:cstheme="minorHAnsi"/>
          <w:szCs w:val="22"/>
        </w:rPr>
        <w:t>1000 mg Cytarabin (absolut) i.v. über 1,5 Stunden, ev. Wiederholung je nach Klinik (alternativ: 100 mg Etoposid abs.)</w:t>
      </w:r>
    </w:p>
    <w:p w14:paraId="215C6490" w14:textId="77777777" w:rsidR="000F5686" w:rsidRPr="004139BD" w:rsidRDefault="000F5686" w:rsidP="00811922">
      <w:pPr>
        <w:pStyle w:val="Textkrper-Einzug2"/>
        <w:tabs>
          <w:tab w:val="left" w:pos="5676"/>
        </w:tabs>
        <w:spacing w:after="0" w:line="276" w:lineRule="auto"/>
        <w:ind w:left="0"/>
        <w:jc w:val="both"/>
        <w:rPr>
          <w:rFonts w:asciiTheme="minorHAnsi" w:hAnsiTheme="minorHAnsi" w:cstheme="minorHAnsi"/>
          <w:szCs w:val="22"/>
        </w:rPr>
      </w:pPr>
    </w:p>
    <w:p w14:paraId="708AB88F" w14:textId="77777777" w:rsidR="00FB2D10" w:rsidRPr="004139BD" w:rsidRDefault="000F5686" w:rsidP="00811922">
      <w:pPr>
        <w:pStyle w:val="Textkrper-Einzug2"/>
        <w:tabs>
          <w:tab w:val="left" w:pos="5676"/>
        </w:tabs>
        <w:spacing w:after="0" w:line="276" w:lineRule="auto"/>
        <w:ind w:left="0"/>
        <w:jc w:val="both"/>
        <w:rPr>
          <w:rFonts w:asciiTheme="minorHAnsi" w:hAnsiTheme="minorHAnsi" w:cstheme="minorHAnsi"/>
          <w:b/>
          <w:szCs w:val="22"/>
        </w:rPr>
      </w:pPr>
      <w:r w:rsidRPr="004139BD">
        <w:rPr>
          <w:rFonts w:asciiTheme="minorHAnsi" w:hAnsiTheme="minorHAnsi" w:cstheme="minorHAnsi"/>
          <w:b/>
          <w:szCs w:val="22"/>
        </w:rPr>
        <w:t>Begleittherapie</w:t>
      </w:r>
    </w:p>
    <w:p w14:paraId="14D742C8" w14:textId="77777777" w:rsidR="00811922" w:rsidRPr="004139BD" w:rsidRDefault="00811922" w:rsidP="00811922">
      <w:pPr>
        <w:pStyle w:val="Textkrper-Einzug2"/>
        <w:tabs>
          <w:tab w:val="left" w:pos="5676"/>
        </w:tabs>
        <w:spacing w:after="0" w:line="276" w:lineRule="auto"/>
        <w:ind w:left="0"/>
        <w:jc w:val="both"/>
        <w:rPr>
          <w:rFonts w:asciiTheme="minorHAnsi" w:hAnsiTheme="minorHAnsi" w:cstheme="minorHAnsi"/>
          <w:szCs w:val="22"/>
        </w:rPr>
      </w:pPr>
      <w:r w:rsidRPr="004139BD">
        <w:rPr>
          <w:rFonts w:asciiTheme="minorHAnsi" w:hAnsiTheme="minorHAnsi" w:cstheme="minorHAnsi"/>
          <w:szCs w:val="22"/>
        </w:rPr>
        <w:t>i.v. Flüssigkeitsgabe, Allopurinol, bei hoher Harnsäure Raspuricase täglich zusätzlich bis zur Senkung der Leukozytenzahl &lt; 10 G/l, Zurückhaltung mit Erythrozytenkonzentraten wegen Gefahr der Hyperviskosität!</w:t>
      </w:r>
    </w:p>
    <w:p w14:paraId="2129BDD0" w14:textId="77777777" w:rsidR="00811922" w:rsidRDefault="00811922" w:rsidP="00811922">
      <w:pPr>
        <w:pStyle w:val="Textkrper-Einzug2"/>
        <w:tabs>
          <w:tab w:val="left" w:pos="5676"/>
        </w:tabs>
        <w:spacing w:after="0" w:line="276" w:lineRule="auto"/>
        <w:ind w:left="0"/>
        <w:jc w:val="both"/>
        <w:rPr>
          <w:rFonts w:asciiTheme="minorHAnsi" w:hAnsiTheme="minorHAnsi" w:cstheme="minorHAnsi"/>
          <w:szCs w:val="22"/>
        </w:rPr>
      </w:pPr>
      <w:r w:rsidRPr="004139BD">
        <w:rPr>
          <w:rFonts w:asciiTheme="minorHAnsi" w:hAnsiTheme="minorHAnsi" w:cstheme="minorHAnsi"/>
          <w:szCs w:val="22"/>
        </w:rPr>
        <w:t>Nur bei hochsymptomatischen Patienten (Organinsuffizienz, cerebrale Symptomatik): Leukapherese erwägen, Personal der Zellseparation kontaktieren, allerdings besteht ausserhalb der Kernarbeitszeiten kein Bereitschaftsdienst; Liste der Telefonnummern der DGKS liegt in der Zellseparation</w:t>
      </w:r>
      <w:r w:rsidR="004139BD">
        <w:rPr>
          <w:rFonts w:asciiTheme="minorHAnsi" w:hAnsiTheme="minorHAnsi" w:cstheme="minorHAnsi"/>
          <w:szCs w:val="22"/>
        </w:rPr>
        <w:t xml:space="preserve"> (Elisabethinen)</w:t>
      </w:r>
      <w:r w:rsidRPr="004139BD">
        <w:rPr>
          <w:rFonts w:asciiTheme="minorHAnsi" w:hAnsiTheme="minorHAnsi" w:cstheme="minorHAnsi"/>
          <w:szCs w:val="22"/>
        </w:rPr>
        <w:t xml:space="preserve"> auf.</w:t>
      </w:r>
    </w:p>
    <w:p w14:paraId="59638F28" w14:textId="77777777" w:rsidR="00811922" w:rsidRDefault="00811922" w:rsidP="00811922">
      <w:pPr>
        <w:pStyle w:val="Textkrper-Einzug2"/>
        <w:tabs>
          <w:tab w:val="left" w:pos="5676"/>
        </w:tabs>
        <w:spacing w:after="0" w:line="276" w:lineRule="auto"/>
        <w:ind w:left="0"/>
        <w:jc w:val="both"/>
        <w:rPr>
          <w:rFonts w:asciiTheme="minorHAnsi" w:hAnsiTheme="minorHAnsi" w:cstheme="minorHAnsi"/>
          <w:szCs w:val="22"/>
        </w:rPr>
      </w:pPr>
    </w:p>
    <w:p w14:paraId="5B77CD04" w14:textId="77777777" w:rsidR="00811922" w:rsidRPr="006D3FAC" w:rsidRDefault="006D3FAC" w:rsidP="006D3FAC">
      <w:pPr>
        <w:pStyle w:val="berschrift2"/>
        <w:numPr>
          <w:ilvl w:val="0"/>
          <w:numId w:val="0"/>
        </w:numPr>
        <w:rPr>
          <w:lang w:val="de-DE"/>
        </w:rPr>
      </w:pPr>
      <w:bookmarkStart w:id="58" w:name="_Toc63667681"/>
      <w:r>
        <w:rPr>
          <w:lang w:val="de-DE"/>
        </w:rPr>
        <w:t>4.2</w:t>
      </w:r>
      <w:r>
        <w:rPr>
          <w:lang w:val="de-DE"/>
        </w:rPr>
        <w:tab/>
      </w:r>
      <w:r w:rsidR="00811922" w:rsidRPr="006D3FAC">
        <w:rPr>
          <w:lang w:val="de-DE"/>
        </w:rPr>
        <w:t>Gerinnungsmanag</w:t>
      </w:r>
      <w:r w:rsidR="008B5511" w:rsidRPr="006D3FAC">
        <w:rPr>
          <w:lang w:val="de-DE"/>
        </w:rPr>
        <w:t>e</w:t>
      </w:r>
      <w:r w:rsidR="00811922" w:rsidRPr="006D3FAC">
        <w:rPr>
          <w:lang w:val="de-DE"/>
        </w:rPr>
        <w:t>ment unter Chemotherapie</w:t>
      </w:r>
      <w:bookmarkEnd w:id="58"/>
    </w:p>
    <w:p w14:paraId="1E010A57" w14:textId="77777777" w:rsidR="00811922" w:rsidRPr="006D3FAC" w:rsidRDefault="00811922" w:rsidP="003C629B">
      <w:pPr>
        <w:pStyle w:val="Textkrper-Einzug2"/>
        <w:numPr>
          <w:ilvl w:val="0"/>
          <w:numId w:val="11"/>
        </w:numPr>
        <w:tabs>
          <w:tab w:val="left" w:pos="5676"/>
        </w:tabs>
        <w:spacing w:after="0" w:line="276" w:lineRule="auto"/>
        <w:ind w:left="284" w:hanging="284"/>
        <w:jc w:val="both"/>
        <w:rPr>
          <w:rFonts w:asciiTheme="minorHAnsi" w:hAnsiTheme="minorHAnsi" w:cstheme="minorHAnsi"/>
          <w:szCs w:val="22"/>
          <w:u w:val="single"/>
        </w:rPr>
      </w:pPr>
      <w:r w:rsidRPr="006D3FAC">
        <w:rPr>
          <w:rFonts w:asciiTheme="minorHAnsi" w:hAnsiTheme="minorHAnsi" w:cstheme="minorHAnsi"/>
          <w:szCs w:val="22"/>
          <w:u w:val="single"/>
        </w:rPr>
        <w:t>Fibrinogen</w:t>
      </w:r>
      <w:r w:rsidR="006D3FAC">
        <w:rPr>
          <w:rFonts w:asciiTheme="minorHAnsi" w:hAnsiTheme="minorHAnsi" w:cstheme="minorHAnsi"/>
          <w:szCs w:val="22"/>
          <w:u w:val="single"/>
        </w:rPr>
        <w:t>-S</w:t>
      </w:r>
      <w:r w:rsidRPr="006D3FAC">
        <w:rPr>
          <w:rFonts w:asciiTheme="minorHAnsi" w:hAnsiTheme="minorHAnsi" w:cstheme="minorHAnsi"/>
          <w:szCs w:val="22"/>
          <w:u w:val="single"/>
        </w:rPr>
        <w:t xml:space="preserve">ubstitution (Hämocomplettan): </w:t>
      </w:r>
    </w:p>
    <w:p w14:paraId="28F6770F" w14:textId="77777777" w:rsidR="00811922" w:rsidRPr="008B5511" w:rsidRDefault="00EF0996" w:rsidP="006D3FAC">
      <w:pPr>
        <w:pStyle w:val="Textkrper-Einzug2"/>
        <w:spacing w:after="0" w:line="276" w:lineRule="auto"/>
        <w:ind w:left="284"/>
        <w:jc w:val="both"/>
        <w:rPr>
          <w:rFonts w:asciiTheme="minorHAnsi" w:hAnsiTheme="minorHAnsi" w:cstheme="minorHAnsi"/>
          <w:szCs w:val="22"/>
          <w:lang w:val="de-DE"/>
        </w:rPr>
      </w:pPr>
      <w:r>
        <w:rPr>
          <w:rFonts w:asciiTheme="minorHAnsi" w:hAnsiTheme="minorHAnsi" w:cstheme="minorHAnsi"/>
          <w:szCs w:val="22"/>
          <w:lang w:val="de-DE"/>
        </w:rPr>
        <w:t>Standarddosierung</w:t>
      </w:r>
      <w:r w:rsidR="00811922" w:rsidRPr="008B5511">
        <w:rPr>
          <w:rFonts w:asciiTheme="minorHAnsi" w:hAnsiTheme="minorHAnsi" w:cstheme="minorHAnsi"/>
          <w:szCs w:val="22"/>
          <w:lang w:val="de-DE"/>
        </w:rPr>
        <w:t xml:space="preserve"> 2 – 4 g iv. alle 12 – 24 h </w:t>
      </w:r>
    </w:p>
    <w:p w14:paraId="124250EB" w14:textId="77777777" w:rsidR="00811922" w:rsidRPr="00EF0996" w:rsidRDefault="00811922" w:rsidP="003C629B">
      <w:pPr>
        <w:pStyle w:val="Textkrper-Einzug2"/>
        <w:numPr>
          <w:ilvl w:val="1"/>
          <w:numId w:val="10"/>
        </w:numPr>
        <w:tabs>
          <w:tab w:val="left" w:pos="5676"/>
        </w:tabs>
        <w:spacing w:after="0" w:line="276" w:lineRule="auto"/>
        <w:jc w:val="both"/>
        <w:rPr>
          <w:rFonts w:asciiTheme="minorHAnsi" w:hAnsiTheme="minorHAnsi" w:cstheme="minorHAnsi"/>
          <w:szCs w:val="22"/>
        </w:rPr>
      </w:pPr>
      <w:r w:rsidRPr="00EF0996">
        <w:rPr>
          <w:rFonts w:asciiTheme="minorHAnsi" w:hAnsiTheme="minorHAnsi" w:cstheme="minorHAnsi"/>
          <w:szCs w:val="22"/>
          <w:lang w:val="de-DE"/>
        </w:rPr>
        <w:t>Fibrinogen</w:t>
      </w:r>
      <w:r w:rsidR="00EF0996">
        <w:rPr>
          <w:rFonts w:asciiTheme="minorHAnsi" w:hAnsiTheme="minorHAnsi" w:cstheme="minorHAnsi"/>
          <w:szCs w:val="22"/>
          <w:lang w:val="de-DE"/>
        </w:rPr>
        <w:t>-</w:t>
      </w:r>
      <w:r w:rsidR="00EF0996" w:rsidRPr="00EF0996">
        <w:rPr>
          <w:rFonts w:asciiTheme="minorHAnsi" w:hAnsiTheme="minorHAnsi" w:cstheme="minorHAnsi"/>
          <w:szCs w:val="22"/>
          <w:lang w:val="de-DE"/>
        </w:rPr>
        <w:t>Grenzwert zur Substititon</w:t>
      </w:r>
      <w:r w:rsidRPr="00EF0996">
        <w:rPr>
          <w:rFonts w:asciiTheme="minorHAnsi" w:hAnsiTheme="minorHAnsi" w:cstheme="minorHAnsi"/>
          <w:szCs w:val="22"/>
          <w:lang w:val="de-DE"/>
        </w:rPr>
        <w:t xml:space="preserve">ohne Blutung:   </w:t>
      </w:r>
      <w:r w:rsidR="00EF0996" w:rsidRPr="00EF0996">
        <w:rPr>
          <w:rFonts w:asciiTheme="minorHAnsi" w:hAnsiTheme="minorHAnsi" w:cstheme="minorHAnsi"/>
          <w:szCs w:val="22"/>
          <w:lang w:val="de-DE"/>
        </w:rPr>
        <w:t>&lt;</w:t>
      </w:r>
      <w:r w:rsidRPr="00EF0996">
        <w:rPr>
          <w:rFonts w:asciiTheme="minorHAnsi" w:hAnsiTheme="minorHAnsi" w:cstheme="minorHAnsi"/>
          <w:szCs w:val="22"/>
          <w:lang w:val="de-DE"/>
        </w:rPr>
        <w:t>80 mg/dl</w:t>
      </w:r>
    </w:p>
    <w:p w14:paraId="15271261" w14:textId="77777777" w:rsidR="00811922" w:rsidRPr="00AB2C42" w:rsidRDefault="00811922" w:rsidP="003C629B">
      <w:pPr>
        <w:pStyle w:val="Textkrper-Einzug2"/>
        <w:numPr>
          <w:ilvl w:val="1"/>
          <w:numId w:val="10"/>
        </w:numPr>
        <w:tabs>
          <w:tab w:val="left" w:pos="5676"/>
        </w:tabs>
        <w:spacing w:after="0" w:line="276" w:lineRule="auto"/>
        <w:jc w:val="both"/>
        <w:rPr>
          <w:rFonts w:asciiTheme="minorHAnsi" w:hAnsiTheme="minorHAnsi" w:cstheme="minorHAnsi"/>
          <w:szCs w:val="22"/>
        </w:rPr>
      </w:pPr>
      <w:r w:rsidRPr="00AB2C42">
        <w:rPr>
          <w:rFonts w:asciiTheme="minorHAnsi" w:hAnsiTheme="minorHAnsi" w:cstheme="minorHAnsi"/>
          <w:szCs w:val="22"/>
          <w:lang w:val="de-DE"/>
        </w:rPr>
        <w:t xml:space="preserve">bei leichten Blutungen:   </w:t>
      </w:r>
      <w:r w:rsidR="00EF0996">
        <w:rPr>
          <w:rFonts w:asciiTheme="minorHAnsi" w:hAnsiTheme="minorHAnsi" w:cstheme="minorHAnsi"/>
          <w:szCs w:val="22"/>
          <w:lang w:val="de-DE"/>
        </w:rPr>
        <w:t>&lt;</w:t>
      </w:r>
      <w:r w:rsidRPr="00AB2C42">
        <w:rPr>
          <w:rFonts w:asciiTheme="minorHAnsi" w:hAnsiTheme="minorHAnsi" w:cstheme="minorHAnsi"/>
          <w:szCs w:val="22"/>
          <w:lang w:val="de-DE"/>
        </w:rPr>
        <w:t>100 mg/dl</w:t>
      </w:r>
    </w:p>
    <w:p w14:paraId="16F8BFE6" w14:textId="77777777" w:rsidR="00811922" w:rsidRPr="007811AD" w:rsidRDefault="00811922" w:rsidP="003C629B">
      <w:pPr>
        <w:pStyle w:val="Textkrper-Einzug2"/>
        <w:numPr>
          <w:ilvl w:val="1"/>
          <w:numId w:val="10"/>
        </w:numPr>
        <w:tabs>
          <w:tab w:val="left" w:pos="5676"/>
        </w:tabs>
        <w:spacing w:after="0" w:line="276" w:lineRule="auto"/>
        <w:jc w:val="both"/>
        <w:rPr>
          <w:rFonts w:asciiTheme="minorHAnsi" w:hAnsiTheme="minorHAnsi" w:cstheme="minorHAnsi"/>
          <w:szCs w:val="22"/>
        </w:rPr>
      </w:pPr>
      <w:r w:rsidRPr="00AB2C42">
        <w:rPr>
          <w:rFonts w:asciiTheme="minorHAnsi" w:hAnsiTheme="minorHAnsi" w:cstheme="minorHAnsi"/>
          <w:szCs w:val="22"/>
          <w:lang w:val="de-DE"/>
        </w:rPr>
        <w:t xml:space="preserve">bei lebensbedrohlichen Blutungen: </w:t>
      </w:r>
      <w:r w:rsidR="00EF0996">
        <w:rPr>
          <w:rFonts w:asciiTheme="minorHAnsi" w:hAnsiTheme="minorHAnsi" w:cstheme="minorHAnsi"/>
          <w:szCs w:val="22"/>
          <w:lang w:val="de-DE"/>
        </w:rPr>
        <w:t>&lt;</w:t>
      </w:r>
      <w:r w:rsidRPr="00AB2C42">
        <w:rPr>
          <w:rFonts w:asciiTheme="minorHAnsi" w:hAnsiTheme="minorHAnsi" w:cstheme="minorHAnsi"/>
          <w:szCs w:val="22"/>
          <w:lang w:val="de-DE"/>
        </w:rPr>
        <w:t>150 mg/dl</w:t>
      </w:r>
    </w:p>
    <w:p w14:paraId="5FE697EB" w14:textId="77777777" w:rsidR="007811AD" w:rsidRPr="007E2283" w:rsidRDefault="007811AD" w:rsidP="007811AD">
      <w:pPr>
        <w:pStyle w:val="Textkrper-Einzug2"/>
        <w:tabs>
          <w:tab w:val="left" w:pos="5676"/>
        </w:tabs>
        <w:spacing w:after="0" w:line="276" w:lineRule="auto"/>
        <w:ind w:left="1440"/>
        <w:jc w:val="both"/>
        <w:rPr>
          <w:rFonts w:asciiTheme="minorHAnsi" w:hAnsiTheme="minorHAnsi" w:cstheme="minorHAnsi"/>
          <w:szCs w:val="22"/>
        </w:rPr>
      </w:pPr>
    </w:p>
    <w:p w14:paraId="2C5F0982" w14:textId="77777777" w:rsidR="00811922" w:rsidRPr="006D3FAC" w:rsidRDefault="00811922" w:rsidP="003C629B">
      <w:pPr>
        <w:pStyle w:val="Textkrper-Einzug2"/>
        <w:numPr>
          <w:ilvl w:val="0"/>
          <w:numId w:val="11"/>
        </w:numPr>
        <w:tabs>
          <w:tab w:val="left" w:pos="5676"/>
        </w:tabs>
        <w:spacing w:after="0" w:line="276" w:lineRule="auto"/>
        <w:ind w:left="284" w:hanging="284"/>
        <w:jc w:val="both"/>
        <w:rPr>
          <w:rFonts w:asciiTheme="minorHAnsi" w:hAnsiTheme="minorHAnsi" w:cstheme="minorHAnsi"/>
          <w:szCs w:val="22"/>
          <w:u w:val="single"/>
        </w:rPr>
      </w:pPr>
      <w:r w:rsidRPr="006D3FAC">
        <w:rPr>
          <w:rFonts w:asciiTheme="minorHAnsi" w:hAnsiTheme="minorHAnsi" w:cstheme="minorHAnsi"/>
          <w:szCs w:val="22"/>
          <w:u w:val="single"/>
        </w:rPr>
        <w:t>Fresh frozen Plasma</w:t>
      </w:r>
    </w:p>
    <w:p w14:paraId="54FC92B9" w14:textId="77777777" w:rsidR="00811922" w:rsidRDefault="00811922" w:rsidP="006D3FAC">
      <w:pPr>
        <w:pStyle w:val="Textkrper-Einzug2"/>
        <w:spacing w:after="0" w:line="276" w:lineRule="auto"/>
        <w:ind w:left="284"/>
        <w:jc w:val="both"/>
        <w:rPr>
          <w:rFonts w:asciiTheme="minorHAnsi" w:hAnsiTheme="minorHAnsi" w:cstheme="minorHAnsi"/>
          <w:szCs w:val="22"/>
          <w:lang w:val="de-DE"/>
        </w:rPr>
      </w:pPr>
      <w:r>
        <w:rPr>
          <w:rFonts w:asciiTheme="minorHAnsi" w:hAnsiTheme="minorHAnsi" w:cstheme="minorHAnsi"/>
          <w:szCs w:val="22"/>
          <w:lang w:val="de-DE"/>
        </w:rPr>
        <w:t>Indikation: Verbrauch an Gerinnungsfaktoren</w:t>
      </w:r>
      <w:r w:rsidR="00EF0996">
        <w:rPr>
          <w:rFonts w:asciiTheme="minorHAnsi" w:hAnsiTheme="minorHAnsi" w:cstheme="minorHAnsi"/>
          <w:szCs w:val="22"/>
          <w:lang w:val="de-DE"/>
        </w:rPr>
        <w:t xml:space="preserve"> (PTZ-Abfall &lt; 20%, INR &gt; 2)</w:t>
      </w:r>
      <w:r>
        <w:rPr>
          <w:rFonts w:asciiTheme="minorHAnsi" w:hAnsiTheme="minorHAnsi" w:cstheme="minorHAnsi"/>
          <w:szCs w:val="22"/>
          <w:lang w:val="de-DE"/>
        </w:rPr>
        <w:t xml:space="preserve"> </w:t>
      </w:r>
      <w:r w:rsidRPr="005F3CC3">
        <w:rPr>
          <w:rFonts w:asciiTheme="minorHAnsi" w:hAnsiTheme="minorHAnsi" w:cstheme="minorHAnsi"/>
          <w:b/>
          <w:szCs w:val="22"/>
          <w:lang w:val="de-DE"/>
        </w:rPr>
        <w:t>und</w:t>
      </w:r>
      <w:r>
        <w:rPr>
          <w:rFonts w:asciiTheme="minorHAnsi" w:hAnsiTheme="minorHAnsi" w:cstheme="minorHAnsi"/>
          <w:szCs w:val="22"/>
          <w:lang w:val="de-DE"/>
        </w:rPr>
        <w:t xml:space="preserve"> Blutungszeichen</w:t>
      </w:r>
    </w:p>
    <w:p w14:paraId="78959C85" w14:textId="77777777" w:rsidR="007811AD" w:rsidRDefault="007811AD" w:rsidP="007811AD">
      <w:pPr>
        <w:pStyle w:val="Textkrper-Einzug2"/>
        <w:spacing w:after="0" w:line="276" w:lineRule="auto"/>
        <w:ind w:left="284"/>
        <w:jc w:val="both"/>
        <w:rPr>
          <w:rFonts w:asciiTheme="minorHAnsi" w:hAnsiTheme="minorHAnsi" w:cstheme="minorHAnsi"/>
          <w:szCs w:val="22"/>
          <w:lang w:val="de-DE"/>
        </w:rPr>
      </w:pPr>
    </w:p>
    <w:p w14:paraId="1EA287F0" w14:textId="77777777" w:rsidR="00811922" w:rsidRPr="006D3FAC" w:rsidRDefault="006D3FAC" w:rsidP="003C629B">
      <w:pPr>
        <w:pStyle w:val="Textkrper-Einzug2"/>
        <w:numPr>
          <w:ilvl w:val="0"/>
          <w:numId w:val="11"/>
        </w:numPr>
        <w:tabs>
          <w:tab w:val="left" w:pos="5676"/>
        </w:tabs>
        <w:spacing w:after="0" w:line="276" w:lineRule="auto"/>
        <w:ind w:left="284" w:hanging="284"/>
        <w:jc w:val="both"/>
        <w:rPr>
          <w:rFonts w:asciiTheme="minorHAnsi" w:hAnsiTheme="minorHAnsi" w:cstheme="minorHAnsi"/>
          <w:szCs w:val="22"/>
          <w:u w:val="single"/>
        </w:rPr>
      </w:pPr>
      <w:r>
        <w:rPr>
          <w:rFonts w:asciiTheme="minorHAnsi" w:hAnsiTheme="minorHAnsi" w:cstheme="minorHAnsi"/>
          <w:szCs w:val="22"/>
          <w:u w:val="single"/>
        </w:rPr>
        <w:t>Thrombozytensubstitution</w:t>
      </w:r>
    </w:p>
    <w:p w14:paraId="5C45D222" w14:textId="77777777" w:rsidR="00EF0996" w:rsidRDefault="00EF0996" w:rsidP="006D3FAC">
      <w:pPr>
        <w:pStyle w:val="Textkrper-Einzug2"/>
        <w:spacing w:after="0" w:line="276" w:lineRule="auto"/>
        <w:ind w:left="284"/>
        <w:jc w:val="both"/>
        <w:rPr>
          <w:rFonts w:asciiTheme="minorHAnsi" w:hAnsiTheme="minorHAnsi" w:cstheme="minorHAnsi"/>
          <w:szCs w:val="22"/>
        </w:rPr>
      </w:pPr>
      <w:r>
        <w:rPr>
          <w:rFonts w:asciiTheme="minorHAnsi" w:hAnsiTheme="minorHAnsi" w:cstheme="minorHAnsi"/>
          <w:szCs w:val="22"/>
        </w:rPr>
        <w:t>Bei Blutungen ist ein Thrombozyten-Zielwert von mindestens 30 G/L bei leichten Blutungen und 50-70 G/L bei schweren Blutungen anzustreben.</w:t>
      </w:r>
    </w:p>
    <w:p w14:paraId="7D9B5B48" w14:textId="77777777" w:rsidR="00EA2FC9" w:rsidRDefault="00EA2FC9" w:rsidP="00EF0996">
      <w:pPr>
        <w:pStyle w:val="Textkrper-Einzug2"/>
        <w:tabs>
          <w:tab w:val="left" w:pos="5676"/>
        </w:tabs>
        <w:spacing w:line="276" w:lineRule="auto"/>
        <w:ind w:left="284"/>
        <w:jc w:val="both"/>
        <w:rPr>
          <w:rFonts w:asciiTheme="minorHAnsi" w:hAnsiTheme="minorHAnsi" w:cstheme="minorHAnsi"/>
          <w:szCs w:val="22"/>
        </w:rPr>
      </w:pPr>
    </w:p>
    <w:p w14:paraId="4C09DFCD" w14:textId="77777777" w:rsidR="00EA2FC9" w:rsidRDefault="00EA2FC9" w:rsidP="00EF0996">
      <w:pPr>
        <w:pStyle w:val="Textkrper-Einzug2"/>
        <w:tabs>
          <w:tab w:val="left" w:pos="5676"/>
        </w:tabs>
        <w:spacing w:line="276" w:lineRule="auto"/>
        <w:ind w:left="284"/>
        <w:jc w:val="both"/>
        <w:rPr>
          <w:rFonts w:asciiTheme="minorHAnsi" w:hAnsiTheme="minorHAnsi" w:cstheme="minorHAnsi"/>
          <w:szCs w:val="22"/>
        </w:rPr>
      </w:pPr>
    </w:p>
    <w:p w14:paraId="31DBA50C" w14:textId="77777777" w:rsidR="00EA2FC9" w:rsidRDefault="00EA2FC9" w:rsidP="00EF0996">
      <w:pPr>
        <w:pStyle w:val="Textkrper-Einzug2"/>
        <w:tabs>
          <w:tab w:val="left" w:pos="5676"/>
        </w:tabs>
        <w:spacing w:line="276" w:lineRule="auto"/>
        <w:ind w:left="284"/>
        <w:jc w:val="both"/>
        <w:rPr>
          <w:rFonts w:asciiTheme="minorHAnsi" w:hAnsiTheme="minorHAnsi" w:cstheme="minorHAnsi"/>
          <w:szCs w:val="22"/>
        </w:rPr>
      </w:pPr>
    </w:p>
    <w:p w14:paraId="52579493" w14:textId="77777777" w:rsidR="00EA2FC9" w:rsidRDefault="00EA2FC9" w:rsidP="00EF0996">
      <w:pPr>
        <w:pStyle w:val="Textkrper-Einzug2"/>
        <w:tabs>
          <w:tab w:val="left" w:pos="5676"/>
        </w:tabs>
        <w:spacing w:line="276" w:lineRule="auto"/>
        <w:ind w:left="284"/>
        <w:jc w:val="both"/>
        <w:rPr>
          <w:rFonts w:asciiTheme="minorHAnsi" w:hAnsiTheme="minorHAnsi" w:cstheme="minorHAnsi"/>
          <w:szCs w:val="22"/>
        </w:rPr>
      </w:pPr>
    </w:p>
    <w:p w14:paraId="04EBB5BB" w14:textId="77777777" w:rsidR="00EA2FC9" w:rsidRDefault="00EA2FC9" w:rsidP="00EF0996">
      <w:pPr>
        <w:pStyle w:val="Textkrper-Einzug2"/>
        <w:tabs>
          <w:tab w:val="left" w:pos="5676"/>
        </w:tabs>
        <w:spacing w:line="276" w:lineRule="auto"/>
        <w:ind w:left="284"/>
        <w:jc w:val="both"/>
        <w:rPr>
          <w:rFonts w:asciiTheme="minorHAnsi" w:hAnsiTheme="minorHAnsi" w:cstheme="minorHAnsi"/>
          <w:szCs w:val="22"/>
        </w:rPr>
      </w:pPr>
    </w:p>
    <w:p w14:paraId="61A770BE" w14:textId="77777777" w:rsidR="00EF0996" w:rsidRPr="008B5511" w:rsidRDefault="00EF0996" w:rsidP="00EF0996">
      <w:pPr>
        <w:pStyle w:val="Textkrper-Einzug2"/>
        <w:tabs>
          <w:tab w:val="left" w:pos="5676"/>
        </w:tabs>
        <w:spacing w:line="276" w:lineRule="auto"/>
        <w:ind w:left="284"/>
        <w:jc w:val="both"/>
        <w:rPr>
          <w:rFonts w:asciiTheme="minorHAnsi" w:hAnsiTheme="minorHAnsi" w:cstheme="minorHAnsi"/>
          <w:szCs w:val="22"/>
        </w:rPr>
      </w:pPr>
      <w:r>
        <w:rPr>
          <w:rFonts w:asciiTheme="minorHAnsi" w:hAnsiTheme="minorHAnsi" w:cstheme="minorHAnsi"/>
          <w:szCs w:val="22"/>
        </w:rPr>
        <w:lastRenderedPageBreak/>
        <w:t xml:space="preserve">Bei geplanten Eingriffen gelten folgende </w:t>
      </w:r>
      <w:r w:rsidR="006D3FAC">
        <w:rPr>
          <w:rFonts w:asciiTheme="minorHAnsi" w:hAnsiTheme="minorHAnsi" w:cstheme="minorHAnsi"/>
          <w:szCs w:val="22"/>
        </w:rPr>
        <w:t>Thrombozyten-</w:t>
      </w:r>
      <w:r>
        <w:rPr>
          <w:rFonts w:asciiTheme="minorHAnsi" w:hAnsiTheme="minorHAnsi" w:cstheme="minorHAnsi"/>
          <w:szCs w:val="22"/>
        </w:rPr>
        <w:t xml:space="preserve">Grenzwerte: </w:t>
      </w:r>
    </w:p>
    <w:tbl>
      <w:tblPr>
        <w:tblW w:w="0" w:type="auto"/>
        <w:tblInd w:w="142" w:type="dxa"/>
        <w:tblCellMar>
          <w:left w:w="0" w:type="dxa"/>
          <w:right w:w="0" w:type="dxa"/>
        </w:tblCellMar>
        <w:tblLook w:val="0600" w:firstRow="0" w:lastRow="0" w:firstColumn="0" w:lastColumn="0" w:noHBand="1" w:noVBand="1"/>
      </w:tblPr>
      <w:tblGrid>
        <w:gridCol w:w="5566"/>
        <w:gridCol w:w="3759"/>
      </w:tblGrid>
      <w:tr w:rsidR="00811922" w:rsidRPr="007E2283" w14:paraId="3D2B3D7F" w14:textId="77777777" w:rsidTr="006D3FAC">
        <w:trPr>
          <w:trHeight w:val="187"/>
        </w:trPr>
        <w:tc>
          <w:tcPr>
            <w:tcW w:w="5670" w:type="dxa"/>
            <w:tcBorders>
              <w:top w:val="single" w:sz="12" w:space="0" w:color="000000"/>
              <w:left w:val="single" w:sz="12" w:space="0" w:color="000000"/>
              <w:bottom w:val="single" w:sz="12" w:space="0" w:color="000000"/>
              <w:right w:val="single" w:sz="12" w:space="0" w:color="000000"/>
            </w:tcBorders>
            <w:shd w:val="clear" w:color="auto" w:fill="D9D9D9"/>
            <w:tcMar>
              <w:top w:w="74" w:type="dxa"/>
              <w:left w:w="142" w:type="dxa"/>
              <w:bottom w:w="74" w:type="dxa"/>
              <w:right w:w="142" w:type="dxa"/>
            </w:tcMar>
            <w:vAlign w:val="center"/>
            <w:hideMark/>
          </w:tcPr>
          <w:p w14:paraId="6F9D107F" w14:textId="77777777" w:rsidR="00811922" w:rsidRPr="006D3FAC" w:rsidRDefault="00811922" w:rsidP="006D3FAC">
            <w:pPr>
              <w:pStyle w:val="Textkrper-Einzug2"/>
              <w:tabs>
                <w:tab w:val="left" w:pos="5676"/>
              </w:tabs>
              <w:spacing w:after="0" w:line="240" w:lineRule="auto"/>
              <w:jc w:val="both"/>
              <w:rPr>
                <w:rFonts w:asciiTheme="minorHAnsi" w:hAnsiTheme="minorHAnsi" w:cstheme="minorHAnsi"/>
              </w:rPr>
            </w:pPr>
            <w:r w:rsidRPr="006D3FAC">
              <w:rPr>
                <w:rFonts w:asciiTheme="minorHAnsi" w:hAnsiTheme="minorHAnsi" w:cstheme="minorHAnsi"/>
                <w:b/>
                <w:bCs/>
                <w:lang w:val="de-DE"/>
              </w:rPr>
              <w:t>Klinische Situation</w:t>
            </w:r>
          </w:p>
        </w:tc>
        <w:tc>
          <w:tcPr>
            <w:tcW w:w="3828" w:type="dxa"/>
            <w:tcBorders>
              <w:top w:val="single" w:sz="12" w:space="0" w:color="000000"/>
              <w:left w:val="single" w:sz="12" w:space="0" w:color="000000"/>
              <w:bottom w:val="single" w:sz="12" w:space="0" w:color="000000"/>
              <w:right w:val="single" w:sz="12" w:space="0" w:color="000000"/>
            </w:tcBorders>
            <w:shd w:val="clear" w:color="auto" w:fill="D9D9D9"/>
            <w:tcMar>
              <w:top w:w="74" w:type="dxa"/>
              <w:left w:w="142" w:type="dxa"/>
              <w:bottom w:w="74" w:type="dxa"/>
              <w:right w:w="142" w:type="dxa"/>
            </w:tcMar>
            <w:vAlign w:val="center"/>
            <w:hideMark/>
          </w:tcPr>
          <w:p w14:paraId="778ED26B" w14:textId="77777777" w:rsidR="00811922" w:rsidRPr="006D3FAC" w:rsidRDefault="00811922" w:rsidP="006D3FAC">
            <w:pPr>
              <w:pStyle w:val="Textkrper-Einzug2"/>
              <w:tabs>
                <w:tab w:val="left" w:pos="5676"/>
              </w:tabs>
              <w:spacing w:after="0" w:line="240" w:lineRule="auto"/>
              <w:jc w:val="both"/>
              <w:rPr>
                <w:rFonts w:asciiTheme="minorHAnsi" w:hAnsiTheme="minorHAnsi" w:cstheme="minorHAnsi"/>
              </w:rPr>
            </w:pPr>
            <w:r w:rsidRPr="006D3FAC">
              <w:rPr>
                <w:rFonts w:asciiTheme="minorHAnsi" w:hAnsiTheme="minorHAnsi" w:cstheme="minorHAnsi"/>
                <w:b/>
                <w:bCs/>
                <w:lang w:val="de-DE"/>
              </w:rPr>
              <w:t>Grenzwert für Substitution</w:t>
            </w:r>
          </w:p>
        </w:tc>
      </w:tr>
      <w:tr w:rsidR="00811922" w:rsidRPr="007E2283" w14:paraId="7601E276" w14:textId="77777777" w:rsidTr="006D3FAC">
        <w:trPr>
          <w:trHeight w:val="165"/>
        </w:trPr>
        <w:tc>
          <w:tcPr>
            <w:tcW w:w="5670" w:type="dxa"/>
            <w:tcBorders>
              <w:top w:val="single" w:sz="12" w:space="0" w:color="000000"/>
              <w:left w:val="single" w:sz="12" w:space="0" w:color="000000"/>
              <w:bottom w:val="single" w:sz="12" w:space="0" w:color="000000"/>
              <w:right w:val="single" w:sz="12" w:space="0" w:color="000000"/>
            </w:tcBorders>
            <w:shd w:val="clear" w:color="auto" w:fill="auto"/>
            <w:tcMar>
              <w:top w:w="74" w:type="dxa"/>
              <w:left w:w="142" w:type="dxa"/>
              <w:bottom w:w="74" w:type="dxa"/>
              <w:right w:w="142" w:type="dxa"/>
            </w:tcMar>
            <w:vAlign w:val="center"/>
            <w:hideMark/>
          </w:tcPr>
          <w:p w14:paraId="3EE2F6E5" w14:textId="77777777" w:rsidR="00811922" w:rsidRPr="006D3FAC" w:rsidRDefault="00811922" w:rsidP="006D3FAC">
            <w:pPr>
              <w:pStyle w:val="Textkrper-Einzug2"/>
              <w:tabs>
                <w:tab w:val="left" w:pos="5676"/>
              </w:tabs>
              <w:spacing w:after="0" w:line="240" w:lineRule="auto"/>
              <w:ind w:left="142"/>
              <w:jc w:val="both"/>
              <w:rPr>
                <w:rFonts w:asciiTheme="minorHAnsi" w:hAnsiTheme="minorHAnsi" w:cstheme="minorHAnsi"/>
              </w:rPr>
            </w:pPr>
            <w:r w:rsidRPr="006D3FAC">
              <w:rPr>
                <w:rFonts w:asciiTheme="minorHAnsi" w:hAnsiTheme="minorHAnsi" w:cstheme="minorHAnsi"/>
                <w:lang w:val="de-DE"/>
              </w:rPr>
              <w:t>Akute Thrombozytopenie unter Chemotherapie ohne zusätzliche Risikofaktoren</w:t>
            </w:r>
          </w:p>
        </w:tc>
        <w:tc>
          <w:tcPr>
            <w:tcW w:w="3828" w:type="dxa"/>
            <w:tcBorders>
              <w:top w:val="single" w:sz="12" w:space="0" w:color="000000"/>
              <w:left w:val="single" w:sz="12" w:space="0" w:color="000000"/>
              <w:bottom w:val="single" w:sz="12" w:space="0" w:color="000000"/>
              <w:right w:val="single" w:sz="12" w:space="0" w:color="000000"/>
            </w:tcBorders>
            <w:shd w:val="clear" w:color="auto" w:fill="auto"/>
            <w:tcMar>
              <w:top w:w="74" w:type="dxa"/>
              <w:left w:w="142" w:type="dxa"/>
              <w:bottom w:w="74" w:type="dxa"/>
              <w:right w:w="142" w:type="dxa"/>
            </w:tcMar>
            <w:vAlign w:val="center"/>
            <w:hideMark/>
          </w:tcPr>
          <w:p w14:paraId="24268D27" w14:textId="77777777" w:rsidR="00811922" w:rsidRPr="006D3FAC" w:rsidRDefault="00811922" w:rsidP="006D3FAC">
            <w:pPr>
              <w:pStyle w:val="Textkrper-Einzug2"/>
              <w:tabs>
                <w:tab w:val="left" w:pos="5676"/>
              </w:tabs>
              <w:spacing w:after="0" w:line="240" w:lineRule="auto"/>
              <w:jc w:val="both"/>
              <w:rPr>
                <w:rFonts w:asciiTheme="minorHAnsi" w:hAnsiTheme="minorHAnsi" w:cstheme="minorHAnsi"/>
              </w:rPr>
            </w:pPr>
            <w:r w:rsidRPr="006D3FAC">
              <w:rPr>
                <w:rFonts w:asciiTheme="minorHAnsi" w:hAnsiTheme="minorHAnsi" w:cstheme="minorHAnsi"/>
                <w:lang w:val="de-DE"/>
              </w:rPr>
              <w:t>&lt; 10 G/L</w:t>
            </w:r>
          </w:p>
        </w:tc>
      </w:tr>
      <w:tr w:rsidR="00811922" w:rsidRPr="007E2283" w14:paraId="767AAB85" w14:textId="77777777" w:rsidTr="00EA2FC9">
        <w:trPr>
          <w:trHeight w:val="359"/>
        </w:trPr>
        <w:tc>
          <w:tcPr>
            <w:tcW w:w="5670" w:type="dxa"/>
            <w:tcBorders>
              <w:top w:val="single" w:sz="12" w:space="0" w:color="000000"/>
              <w:left w:val="single" w:sz="12" w:space="0" w:color="000000"/>
              <w:bottom w:val="single" w:sz="12" w:space="0" w:color="000000"/>
              <w:right w:val="single" w:sz="12" w:space="0" w:color="000000"/>
            </w:tcBorders>
            <w:shd w:val="clear" w:color="auto" w:fill="auto"/>
            <w:tcMar>
              <w:top w:w="74" w:type="dxa"/>
              <w:left w:w="142" w:type="dxa"/>
              <w:bottom w:w="74" w:type="dxa"/>
              <w:right w:w="142" w:type="dxa"/>
            </w:tcMar>
            <w:vAlign w:val="center"/>
            <w:hideMark/>
          </w:tcPr>
          <w:p w14:paraId="4159CC24" w14:textId="77777777" w:rsidR="00811922" w:rsidRPr="006D3FAC" w:rsidRDefault="00811922" w:rsidP="006D3FAC">
            <w:pPr>
              <w:pStyle w:val="Textkrper-Einzug2"/>
              <w:tabs>
                <w:tab w:val="left" w:pos="5676"/>
              </w:tabs>
              <w:spacing w:after="0" w:line="240" w:lineRule="auto"/>
              <w:ind w:left="142"/>
              <w:jc w:val="both"/>
              <w:rPr>
                <w:rFonts w:asciiTheme="minorHAnsi" w:hAnsiTheme="minorHAnsi" w:cstheme="minorHAnsi"/>
              </w:rPr>
            </w:pPr>
            <w:r w:rsidRPr="006D3FAC">
              <w:rPr>
                <w:rFonts w:asciiTheme="minorHAnsi" w:hAnsiTheme="minorHAnsi" w:cstheme="minorHAnsi"/>
                <w:lang w:val="de-DE"/>
              </w:rPr>
              <w:t>Akute Thrombozytopenie unter Chemotherapie mit zusätzlichen Risikofaktoren (z.B. Fieber, Infektion)</w:t>
            </w:r>
          </w:p>
        </w:tc>
        <w:tc>
          <w:tcPr>
            <w:tcW w:w="3828" w:type="dxa"/>
            <w:tcBorders>
              <w:top w:val="single" w:sz="12" w:space="0" w:color="000000"/>
              <w:left w:val="single" w:sz="12" w:space="0" w:color="000000"/>
              <w:bottom w:val="single" w:sz="12" w:space="0" w:color="000000"/>
              <w:right w:val="single" w:sz="12" w:space="0" w:color="000000"/>
            </w:tcBorders>
            <w:shd w:val="clear" w:color="auto" w:fill="auto"/>
            <w:tcMar>
              <w:top w:w="74" w:type="dxa"/>
              <w:left w:w="142" w:type="dxa"/>
              <w:bottom w:w="74" w:type="dxa"/>
              <w:right w:w="142" w:type="dxa"/>
            </w:tcMar>
            <w:vAlign w:val="center"/>
            <w:hideMark/>
          </w:tcPr>
          <w:p w14:paraId="2CF963E9" w14:textId="77777777" w:rsidR="00811922" w:rsidRPr="006D3FAC" w:rsidRDefault="00811922" w:rsidP="006D3FAC">
            <w:pPr>
              <w:pStyle w:val="Textkrper-Einzug2"/>
              <w:tabs>
                <w:tab w:val="left" w:pos="5676"/>
              </w:tabs>
              <w:spacing w:after="0" w:line="240" w:lineRule="auto"/>
              <w:jc w:val="both"/>
              <w:rPr>
                <w:rFonts w:asciiTheme="minorHAnsi" w:hAnsiTheme="minorHAnsi" w:cstheme="minorHAnsi"/>
              </w:rPr>
            </w:pPr>
            <w:r w:rsidRPr="006D3FAC">
              <w:rPr>
                <w:rFonts w:asciiTheme="minorHAnsi" w:hAnsiTheme="minorHAnsi" w:cstheme="minorHAnsi"/>
                <w:lang w:val="de-DE"/>
              </w:rPr>
              <w:t>&lt; 20 G/L</w:t>
            </w:r>
          </w:p>
        </w:tc>
      </w:tr>
      <w:tr w:rsidR="00811922" w:rsidRPr="007E2283" w14:paraId="21C3E9B5" w14:textId="77777777" w:rsidTr="00EA2FC9">
        <w:trPr>
          <w:trHeight w:val="411"/>
        </w:trPr>
        <w:tc>
          <w:tcPr>
            <w:tcW w:w="5670" w:type="dxa"/>
            <w:tcBorders>
              <w:top w:val="single" w:sz="12" w:space="0" w:color="000000"/>
              <w:left w:val="single" w:sz="12" w:space="0" w:color="000000"/>
              <w:bottom w:val="single" w:sz="12" w:space="0" w:color="000000"/>
              <w:right w:val="single" w:sz="12" w:space="0" w:color="000000"/>
            </w:tcBorders>
            <w:shd w:val="clear" w:color="auto" w:fill="auto"/>
            <w:tcMar>
              <w:top w:w="74" w:type="dxa"/>
              <w:left w:w="142" w:type="dxa"/>
              <w:bottom w:w="74" w:type="dxa"/>
              <w:right w:w="142" w:type="dxa"/>
            </w:tcMar>
            <w:vAlign w:val="center"/>
            <w:hideMark/>
          </w:tcPr>
          <w:p w14:paraId="5B131144" w14:textId="77777777" w:rsidR="00811922" w:rsidRPr="006D3FAC" w:rsidRDefault="00811922" w:rsidP="006D3FAC">
            <w:pPr>
              <w:pStyle w:val="Textkrper-Einzug2"/>
              <w:tabs>
                <w:tab w:val="left" w:pos="5676"/>
              </w:tabs>
              <w:spacing w:after="0" w:line="240" w:lineRule="auto"/>
              <w:ind w:left="142"/>
              <w:jc w:val="both"/>
              <w:rPr>
                <w:rFonts w:asciiTheme="minorHAnsi" w:hAnsiTheme="minorHAnsi" w:cstheme="minorHAnsi"/>
              </w:rPr>
            </w:pPr>
            <w:r w:rsidRPr="006D3FAC">
              <w:rPr>
                <w:rFonts w:asciiTheme="minorHAnsi" w:hAnsiTheme="minorHAnsi" w:cstheme="minorHAnsi"/>
                <w:lang w:val="de-DE"/>
              </w:rPr>
              <w:t>Knochenmarkpunktion</w:t>
            </w:r>
          </w:p>
        </w:tc>
        <w:tc>
          <w:tcPr>
            <w:tcW w:w="3828" w:type="dxa"/>
            <w:tcBorders>
              <w:top w:val="single" w:sz="12" w:space="0" w:color="000000"/>
              <w:left w:val="single" w:sz="12" w:space="0" w:color="000000"/>
              <w:bottom w:val="single" w:sz="12" w:space="0" w:color="000000"/>
              <w:right w:val="single" w:sz="12" w:space="0" w:color="000000"/>
            </w:tcBorders>
            <w:shd w:val="clear" w:color="auto" w:fill="auto"/>
            <w:tcMar>
              <w:top w:w="74" w:type="dxa"/>
              <w:left w:w="142" w:type="dxa"/>
              <w:bottom w:w="74" w:type="dxa"/>
              <w:right w:w="142" w:type="dxa"/>
            </w:tcMar>
            <w:vAlign w:val="center"/>
            <w:hideMark/>
          </w:tcPr>
          <w:p w14:paraId="058A329A" w14:textId="77777777" w:rsidR="00811922" w:rsidRPr="006D3FAC" w:rsidRDefault="00811922" w:rsidP="006D3FAC">
            <w:pPr>
              <w:pStyle w:val="Textkrper-Einzug2"/>
              <w:tabs>
                <w:tab w:val="left" w:pos="5676"/>
              </w:tabs>
              <w:spacing w:after="0" w:line="240" w:lineRule="auto"/>
              <w:jc w:val="both"/>
              <w:rPr>
                <w:rFonts w:asciiTheme="minorHAnsi" w:hAnsiTheme="minorHAnsi" w:cstheme="minorHAnsi"/>
              </w:rPr>
            </w:pPr>
            <w:r w:rsidRPr="006D3FAC">
              <w:rPr>
                <w:rFonts w:asciiTheme="minorHAnsi" w:hAnsiTheme="minorHAnsi" w:cstheme="minorHAnsi"/>
                <w:lang w:val="de-DE"/>
              </w:rPr>
              <w:t xml:space="preserve">Keine Transfusion </w:t>
            </w:r>
            <w:r w:rsidR="00EA2FC9" w:rsidRPr="006D3FAC">
              <w:rPr>
                <w:rFonts w:asciiTheme="minorHAnsi" w:hAnsiTheme="minorHAnsi" w:cstheme="minorHAnsi"/>
                <w:lang w:val="de-DE"/>
              </w:rPr>
              <w:t>a</w:t>
            </w:r>
            <w:r w:rsidRPr="006D3FAC">
              <w:rPr>
                <w:rFonts w:asciiTheme="minorHAnsi" w:hAnsiTheme="minorHAnsi" w:cstheme="minorHAnsi"/>
                <w:lang w:val="de-DE"/>
              </w:rPr>
              <w:t>uch bei niedrigen Werten notwendig</w:t>
            </w:r>
          </w:p>
        </w:tc>
      </w:tr>
      <w:tr w:rsidR="00811922" w:rsidRPr="007E2283" w14:paraId="4BED0DF9" w14:textId="77777777" w:rsidTr="00EA2FC9">
        <w:trPr>
          <w:trHeight w:val="297"/>
        </w:trPr>
        <w:tc>
          <w:tcPr>
            <w:tcW w:w="5670" w:type="dxa"/>
            <w:tcBorders>
              <w:top w:val="single" w:sz="12" w:space="0" w:color="000000"/>
              <w:left w:val="single" w:sz="12" w:space="0" w:color="000000"/>
              <w:bottom w:val="single" w:sz="12" w:space="0" w:color="000000"/>
              <w:right w:val="single" w:sz="12" w:space="0" w:color="000000"/>
            </w:tcBorders>
            <w:shd w:val="clear" w:color="auto" w:fill="auto"/>
            <w:tcMar>
              <w:top w:w="74" w:type="dxa"/>
              <w:left w:w="142" w:type="dxa"/>
              <w:bottom w:w="74" w:type="dxa"/>
              <w:right w:w="142" w:type="dxa"/>
            </w:tcMar>
            <w:vAlign w:val="center"/>
            <w:hideMark/>
          </w:tcPr>
          <w:p w14:paraId="73E97B39" w14:textId="77777777" w:rsidR="00811922" w:rsidRPr="006D3FAC" w:rsidRDefault="00811922" w:rsidP="006D3FAC">
            <w:pPr>
              <w:pStyle w:val="Textkrper-Einzug2"/>
              <w:tabs>
                <w:tab w:val="left" w:pos="5676"/>
              </w:tabs>
              <w:spacing w:after="0" w:line="240" w:lineRule="auto"/>
              <w:ind w:left="142"/>
              <w:jc w:val="both"/>
              <w:rPr>
                <w:rFonts w:asciiTheme="minorHAnsi" w:hAnsiTheme="minorHAnsi" w:cstheme="minorHAnsi"/>
              </w:rPr>
            </w:pPr>
            <w:r w:rsidRPr="006D3FAC">
              <w:rPr>
                <w:rFonts w:asciiTheme="minorHAnsi" w:hAnsiTheme="minorHAnsi" w:cstheme="minorHAnsi"/>
                <w:lang w:val="de-DE"/>
              </w:rPr>
              <w:t>Lumbalpunktion in vitaler Indikation</w:t>
            </w:r>
          </w:p>
        </w:tc>
        <w:tc>
          <w:tcPr>
            <w:tcW w:w="3828" w:type="dxa"/>
            <w:tcBorders>
              <w:top w:val="single" w:sz="12" w:space="0" w:color="000000"/>
              <w:left w:val="single" w:sz="12" w:space="0" w:color="000000"/>
              <w:bottom w:val="single" w:sz="12" w:space="0" w:color="000000"/>
              <w:right w:val="single" w:sz="12" w:space="0" w:color="000000"/>
            </w:tcBorders>
            <w:shd w:val="clear" w:color="auto" w:fill="auto"/>
            <w:tcMar>
              <w:top w:w="74" w:type="dxa"/>
              <w:left w:w="142" w:type="dxa"/>
              <w:bottom w:w="74" w:type="dxa"/>
              <w:right w:w="142" w:type="dxa"/>
            </w:tcMar>
            <w:vAlign w:val="center"/>
            <w:hideMark/>
          </w:tcPr>
          <w:p w14:paraId="5F293BEE" w14:textId="77777777" w:rsidR="00811922" w:rsidRPr="006D3FAC" w:rsidRDefault="00811922" w:rsidP="006D3FAC">
            <w:pPr>
              <w:pStyle w:val="Textkrper-Einzug2"/>
              <w:tabs>
                <w:tab w:val="left" w:pos="5676"/>
              </w:tabs>
              <w:spacing w:after="0" w:line="240" w:lineRule="auto"/>
              <w:jc w:val="both"/>
              <w:rPr>
                <w:rFonts w:asciiTheme="minorHAnsi" w:hAnsiTheme="minorHAnsi" w:cstheme="minorHAnsi"/>
              </w:rPr>
            </w:pPr>
            <w:r w:rsidRPr="006D3FAC">
              <w:rPr>
                <w:rFonts w:asciiTheme="minorHAnsi" w:hAnsiTheme="minorHAnsi" w:cstheme="minorHAnsi"/>
                <w:lang w:val="de-DE"/>
              </w:rPr>
              <w:t>&lt; 20 G/L</w:t>
            </w:r>
          </w:p>
        </w:tc>
      </w:tr>
      <w:tr w:rsidR="00811922" w:rsidRPr="007E2283" w14:paraId="2A78AC4A" w14:textId="77777777" w:rsidTr="00EA2FC9">
        <w:trPr>
          <w:trHeight w:val="243"/>
        </w:trPr>
        <w:tc>
          <w:tcPr>
            <w:tcW w:w="5670" w:type="dxa"/>
            <w:tcBorders>
              <w:top w:val="single" w:sz="12" w:space="0" w:color="000000"/>
              <w:left w:val="single" w:sz="12" w:space="0" w:color="000000"/>
              <w:bottom w:val="single" w:sz="12" w:space="0" w:color="000000"/>
              <w:right w:val="single" w:sz="12" w:space="0" w:color="000000"/>
            </w:tcBorders>
            <w:shd w:val="clear" w:color="auto" w:fill="auto"/>
            <w:tcMar>
              <w:top w:w="74" w:type="dxa"/>
              <w:left w:w="142" w:type="dxa"/>
              <w:bottom w:w="74" w:type="dxa"/>
              <w:right w:w="142" w:type="dxa"/>
            </w:tcMar>
            <w:vAlign w:val="center"/>
            <w:hideMark/>
          </w:tcPr>
          <w:p w14:paraId="603DF49A" w14:textId="77777777" w:rsidR="00811922" w:rsidRPr="006D3FAC" w:rsidRDefault="00811922" w:rsidP="006D3FAC">
            <w:pPr>
              <w:pStyle w:val="Textkrper-Einzug2"/>
              <w:tabs>
                <w:tab w:val="left" w:pos="5676"/>
              </w:tabs>
              <w:spacing w:after="0" w:line="240" w:lineRule="auto"/>
              <w:ind w:left="142"/>
              <w:jc w:val="both"/>
              <w:rPr>
                <w:rFonts w:asciiTheme="minorHAnsi" w:hAnsiTheme="minorHAnsi" w:cstheme="minorHAnsi"/>
              </w:rPr>
            </w:pPr>
            <w:r w:rsidRPr="006D3FAC">
              <w:rPr>
                <w:rFonts w:asciiTheme="minorHAnsi" w:hAnsiTheme="minorHAnsi" w:cstheme="minorHAnsi"/>
                <w:lang w:val="de-DE"/>
              </w:rPr>
              <w:t>Elektive Lumbalpunktion, t</w:t>
            </w:r>
            <w:r w:rsidRPr="006D3FAC">
              <w:rPr>
                <w:rFonts w:asciiTheme="minorHAnsi" w:hAnsiTheme="minorHAnsi" w:cstheme="minorHAnsi"/>
              </w:rPr>
              <w:t xml:space="preserve">ranskutane Leberpunktion </w:t>
            </w:r>
          </w:p>
        </w:tc>
        <w:tc>
          <w:tcPr>
            <w:tcW w:w="3828" w:type="dxa"/>
            <w:tcBorders>
              <w:top w:val="single" w:sz="12" w:space="0" w:color="000000"/>
              <w:left w:val="single" w:sz="12" w:space="0" w:color="000000"/>
              <w:bottom w:val="single" w:sz="12" w:space="0" w:color="000000"/>
              <w:right w:val="single" w:sz="12" w:space="0" w:color="000000"/>
            </w:tcBorders>
            <w:shd w:val="clear" w:color="auto" w:fill="auto"/>
            <w:tcMar>
              <w:top w:w="74" w:type="dxa"/>
              <w:left w:w="142" w:type="dxa"/>
              <w:bottom w:w="74" w:type="dxa"/>
              <w:right w:w="142" w:type="dxa"/>
            </w:tcMar>
            <w:vAlign w:val="center"/>
            <w:hideMark/>
          </w:tcPr>
          <w:p w14:paraId="43DDAE68" w14:textId="77777777" w:rsidR="00811922" w:rsidRPr="006D3FAC" w:rsidRDefault="00811922" w:rsidP="006D3FAC">
            <w:pPr>
              <w:pStyle w:val="Textkrper-Einzug2"/>
              <w:tabs>
                <w:tab w:val="left" w:pos="5676"/>
              </w:tabs>
              <w:spacing w:after="0" w:line="240" w:lineRule="auto"/>
              <w:jc w:val="both"/>
              <w:rPr>
                <w:rFonts w:asciiTheme="minorHAnsi" w:hAnsiTheme="minorHAnsi" w:cstheme="minorHAnsi"/>
              </w:rPr>
            </w:pPr>
            <w:r w:rsidRPr="006D3FAC">
              <w:rPr>
                <w:rFonts w:asciiTheme="minorHAnsi" w:hAnsiTheme="minorHAnsi" w:cstheme="minorHAnsi"/>
                <w:lang w:val="de-DE"/>
              </w:rPr>
              <w:t>&lt; 50 G/L</w:t>
            </w:r>
          </w:p>
        </w:tc>
      </w:tr>
    </w:tbl>
    <w:p w14:paraId="72766AEC" w14:textId="77777777" w:rsidR="00811922" w:rsidRDefault="00811922" w:rsidP="00811922">
      <w:pPr>
        <w:pStyle w:val="Textkrper-Einzug2"/>
        <w:tabs>
          <w:tab w:val="left" w:pos="5676"/>
        </w:tabs>
        <w:spacing w:line="276" w:lineRule="auto"/>
        <w:jc w:val="both"/>
        <w:rPr>
          <w:rFonts w:asciiTheme="minorHAnsi" w:hAnsiTheme="minorHAnsi" w:cstheme="minorHAnsi"/>
          <w:szCs w:val="22"/>
        </w:rPr>
      </w:pPr>
    </w:p>
    <w:p w14:paraId="43F0C9FC" w14:textId="77777777" w:rsidR="00811922" w:rsidRPr="006D3FAC" w:rsidRDefault="006D3FAC" w:rsidP="006D3FAC">
      <w:pPr>
        <w:pStyle w:val="berschrift2"/>
        <w:numPr>
          <w:ilvl w:val="0"/>
          <w:numId w:val="0"/>
        </w:numPr>
        <w:rPr>
          <w:lang w:val="de-DE"/>
        </w:rPr>
      </w:pPr>
      <w:bookmarkStart w:id="59" w:name="_Toc63667682"/>
      <w:r>
        <w:rPr>
          <w:lang w:val="de-DE"/>
        </w:rPr>
        <w:t>4.3</w:t>
      </w:r>
      <w:r>
        <w:rPr>
          <w:lang w:val="de-DE"/>
        </w:rPr>
        <w:tab/>
      </w:r>
      <w:r w:rsidR="00811922" w:rsidRPr="006D3FAC">
        <w:rPr>
          <w:lang w:val="de-DE"/>
        </w:rPr>
        <w:t>Abklärung bei Verdacht auf genetische Prädisposition</w:t>
      </w:r>
      <w:r w:rsidR="00F435F0" w:rsidRPr="006D3FAC">
        <w:rPr>
          <w:lang w:val="de-DE"/>
        </w:rPr>
        <w:t xml:space="preserve"> der AML</w:t>
      </w:r>
      <w:r w:rsidR="00811922" w:rsidRPr="006D3FAC">
        <w:rPr>
          <w:lang w:val="de-DE"/>
        </w:rPr>
        <w:t>:</w:t>
      </w:r>
      <w:bookmarkEnd w:id="59"/>
    </w:p>
    <w:p w14:paraId="078191E8" w14:textId="77777777" w:rsidR="00811922" w:rsidRPr="006D3FAC" w:rsidRDefault="00811922" w:rsidP="00811922">
      <w:pPr>
        <w:pStyle w:val="Textkrper-Einzug2"/>
        <w:tabs>
          <w:tab w:val="left" w:pos="5676"/>
        </w:tabs>
        <w:spacing w:after="0" w:line="276" w:lineRule="auto"/>
        <w:ind w:left="0"/>
        <w:jc w:val="both"/>
        <w:rPr>
          <w:rFonts w:asciiTheme="minorHAnsi" w:hAnsiTheme="minorHAnsi" w:cstheme="minorHAnsi"/>
          <w:b/>
          <w:szCs w:val="22"/>
          <w:u w:val="single"/>
        </w:rPr>
      </w:pPr>
      <w:r w:rsidRPr="006D3FAC">
        <w:rPr>
          <w:rFonts w:asciiTheme="minorHAnsi" w:hAnsiTheme="minorHAnsi" w:cstheme="minorHAnsi"/>
          <w:b/>
          <w:szCs w:val="22"/>
          <w:u w:val="single"/>
        </w:rPr>
        <w:t xml:space="preserve">Kriterien: </w:t>
      </w:r>
    </w:p>
    <w:p w14:paraId="10C71E17" w14:textId="77777777" w:rsidR="00811922" w:rsidRPr="00012721" w:rsidRDefault="00811922" w:rsidP="003C629B">
      <w:pPr>
        <w:pStyle w:val="Textkrper-Einzug2"/>
        <w:numPr>
          <w:ilvl w:val="0"/>
          <w:numId w:val="12"/>
        </w:numPr>
        <w:tabs>
          <w:tab w:val="left" w:pos="5676"/>
        </w:tabs>
        <w:spacing w:after="0" w:line="276" w:lineRule="auto"/>
        <w:jc w:val="both"/>
        <w:rPr>
          <w:rFonts w:asciiTheme="minorHAnsi" w:hAnsiTheme="minorHAnsi" w:cstheme="minorHAnsi"/>
          <w:szCs w:val="22"/>
        </w:rPr>
      </w:pPr>
      <w:r w:rsidRPr="007315CF">
        <w:rPr>
          <w:rFonts w:asciiTheme="minorHAnsi" w:hAnsiTheme="minorHAnsi" w:cstheme="minorHAnsi"/>
          <w:szCs w:val="22"/>
        </w:rPr>
        <w:t xml:space="preserve">2 oder mehr Fälle mit AML/MDS in </w:t>
      </w:r>
      <w:r w:rsidRPr="00012721">
        <w:rPr>
          <w:rFonts w:asciiTheme="minorHAnsi" w:hAnsiTheme="minorHAnsi" w:cstheme="minorHAnsi"/>
          <w:szCs w:val="22"/>
        </w:rPr>
        <w:t>der Familie</w:t>
      </w:r>
    </w:p>
    <w:p w14:paraId="41DA23A9" w14:textId="77777777" w:rsidR="00811922" w:rsidRPr="00012721" w:rsidRDefault="00811922" w:rsidP="003C629B">
      <w:pPr>
        <w:pStyle w:val="Textkrper-Einzug2"/>
        <w:numPr>
          <w:ilvl w:val="0"/>
          <w:numId w:val="12"/>
        </w:numPr>
        <w:tabs>
          <w:tab w:val="left" w:pos="5676"/>
        </w:tabs>
        <w:spacing w:after="0" w:line="276" w:lineRule="auto"/>
        <w:jc w:val="both"/>
        <w:rPr>
          <w:rFonts w:asciiTheme="minorHAnsi" w:hAnsiTheme="minorHAnsi" w:cstheme="minorHAnsi"/>
          <w:szCs w:val="22"/>
        </w:rPr>
      </w:pPr>
      <w:r w:rsidRPr="00012721">
        <w:rPr>
          <w:rFonts w:asciiTheme="minorHAnsi" w:hAnsiTheme="minorHAnsi" w:cstheme="minorHAnsi"/>
          <w:szCs w:val="22"/>
        </w:rPr>
        <w:t>MDS/ Akute Leukämie und ungeklärte Zytopenien/ Aplastische Anämien in der Familie</w:t>
      </w:r>
    </w:p>
    <w:p w14:paraId="6896D2EC" w14:textId="77777777" w:rsidR="00811922" w:rsidRPr="00811922" w:rsidRDefault="00811922" w:rsidP="008B5511">
      <w:pPr>
        <w:autoSpaceDE w:val="0"/>
        <w:autoSpaceDN w:val="0"/>
        <w:adjustRightInd w:val="0"/>
        <w:spacing w:line="240" w:lineRule="auto"/>
        <w:ind w:left="708"/>
        <w:jc w:val="left"/>
        <w:rPr>
          <w:rFonts w:asciiTheme="minorHAnsi" w:hAnsiTheme="minorHAnsi" w:cstheme="minorHAnsi"/>
          <w:sz w:val="18"/>
          <w:szCs w:val="18"/>
          <w:lang w:eastAsia="de-AT"/>
        </w:rPr>
      </w:pPr>
      <w:r w:rsidRPr="00811922">
        <w:rPr>
          <w:rFonts w:asciiTheme="minorHAnsi" w:hAnsiTheme="minorHAnsi" w:cstheme="minorHAnsi"/>
          <w:szCs w:val="22"/>
          <w:lang w:val="en-GB"/>
        </w:rPr>
        <w:t>MDS/ AL und Organsystemmanifestationen passend zu HMMS (</w:t>
      </w:r>
      <w:r w:rsidRPr="00811922">
        <w:rPr>
          <w:rFonts w:asciiTheme="minorHAnsi" w:hAnsiTheme="minorHAnsi" w:cstheme="minorHAnsi"/>
          <w:szCs w:val="22"/>
          <w:lang w:val="en-GB" w:eastAsia="de-AT"/>
        </w:rPr>
        <w:t xml:space="preserve">hereditary myeloid malignancy syndromes) – </w:t>
      </w:r>
      <w:r w:rsidRPr="008B5511">
        <w:rPr>
          <w:rFonts w:asciiTheme="minorHAnsi" w:hAnsiTheme="minorHAnsi" w:cstheme="minorHAnsi"/>
          <w:i/>
          <w:sz w:val="20"/>
          <w:lang w:val="en-GB" w:eastAsia="de-AT"/>
        </w:rPr>
        <w:t xml:space="preserve">siehe </w:t>
      </w:r>
      <w:r w:rsidRPr="00811922">
        <w:rPr>
          <w:rFonts w:asciiTheme="minorHAnsi" w:hAnsiTheme="minorHAnsi" w:cstheme="minorHAnsi"/>
          <w:i/>
          <w:sz w:val="20"/>
          <w:lang w:val="en-GB" w:eastAsia="de-AT"/>
        </w:rPr>
        <w:t>Churpek JE, Godley LA. How I diagnose and manage individuals at risk for inherited myeloid malignancies. Blood. 2016;128(14):1800- 1813</w:t>
      </w:r>
      <w:r w:rsidRPr="007315CF">
        <w:rPr>
          <w:rFonts w:asciiTheme="minorHAnsi" w:hAnsiTheme="minorHAnsi" w:cstheme="minorHAnsi"/>
          <w:sz w:val="20"/>
          <w:lang w:val="en-GB" w:eastAsia="de-AT"/>
        </w:rPr>
        <w:t>.</w:t>
      </w:r>
      <w:r w:rsidRPr="00012721">
        <w:rPr>
          <w:rFonts w:asciiTheme="minorHAnsi" w:hAnsiTheme="minorHAnsi" w:cstheme="minorHAnsi"/>
          <w:szCs w:val="22"/>
          <w:lang w:eastAsia="de-AT"/>
        </w:rPr>
        <w:t xml:space="preserve"> </w:t>
      </w:r>
    </w:p>
    <w:p w14:paraId="7D26A157" w14:textId="77777777" w:rsidR="00811922" w:rsidRPr="007315CF" w:rsidRDefault="00811922" w:rsidP="003C629B">
      <w:pPr>
        <w:pStyle w:val="Textkrper-Einzug2"/>
        <w:numPr>
          <w:ilvl w:val="0"/>
          <w:numId w:val="12"/>
        </w:numPr>
        <w:tabs>
          <w:tab w:val="left" w:pos="5676"/>
        </w:tabs>
        <w:spacing w:after="0" w:line="276" w:lineRule="auto"/>
        <w:jc w:val="both"/>
        <w:rPr>
          <w:rFonts w:asciiTheme="minorHAnsi" w:hAnsiTheme="minorHAnsi" w:cstheme="minorHAnsi"/>
          <w:szCs w:val="22"/>
        </w:rPr>
      </w:pPr>
      <w:r w:rsidRPr="00811922">
        <w:rPr>
          <w:rFonts w:asciiTheme="minorHAnsi" w:hAnsiTheme="minorHAnsi" w:cstheme="minorHAnsi"/>
          <w:szCs w:val="22"/>
        </w:rPr>
        <w:t>Patient mit multiplen malignen Erkrankungen</w:t>
      </w:r>
    </w:p>
    <w:p w14:paraId="4E087F3D" w14:textId="77777777" w:rsidR="00811922" w:rsidRPr="00012721" w:rsidRDefault="00811922" w:rsidP="003C629B">
      <w:pPr>
        <w:pStyle w:val="Textkrper-Einzug2"/>
        <w:numPr>
          <w:ilvl w:val="0"/>
          <w:numId w:val="12"/>
        </w:numPr>
        <w:tabs>
          <w:tab w:val="left" w:pos="5676"/>
        </w:tabs>
        <w:spacing w:after="0" w:line="276" w:lineRule="auto"/>
        <w:jc w:val="both"/>
        <w:rPr>
          <w:rFonts w:asciiTheme="minorHAnsi" w:hAnsiTheme="minorHAnsi" w:cstheme="minorHAnsi"/>
          <w:szCs w:val="22"/>
        </w:rPr>
      </w:pPr>
      <w:r w:rsidRPr="00012721">
        <w:rPr>
          <w:rFonts w:asciiTheme="minorHAnsi" w:hAnsiTheme="minorHAnsi" w:cstheme="minorHAnsi"/>
          <w:szCs w:val="22"/>
        </w:rPr>
        <w:t>Patient mit RUNX1-, GATA 2- und biallelischer CEBPA- Mutation</w:t>
      </w:r>
    </w:p>
    <w:p w14:paraId="37063215" w14:textId="77777777" w:rsidR="00811922" w:rsidRPr="007315CF" w:rsidRDefault="00811922" w:rsidP="00811922">
      <w:pPr>
        <w:pStyle w:val="Listenabsatz"/>
        <w:autoSpaceDE w:val="0"/>
        <w:autoSpaceDN w:val="0"/>
        <w:adjustRightInd w:val="0"/>
        <w:spacing w:line="240" w:lineRule="auto"/>
        <w:jc w:val="left"/>
        <w:rPr>
          <w:rFonts w:asciiTheme="minorHAnsi" w:hAnsiTheme="minorHAnsi" w:cstheme="minorHAnsi"/>
          <w:szCs w:val="22"/>
          <w:lang w:eastAsia="de-AT"/>
        </w:rPr>
      </w:pPr>
    </w:p>
    <w:p w14:paraId="03BC3131" w14:textId="77777777" w:rsidR="00811922" w:rsidRDefault="00811922" w:rsidP="008B5511">
      <w:pPr>
        <w:autoSpaceDE w:val="0"/>
        <w:autoSpaceDN w:val="0"/>
        <w:adjustRightInd w:val="0"/>
        <w:spacing w:line="240" w:lineRule="auto"/>
        <w:jc w:val="left"/>
        <w:rPr>
          <w:rFonts w:asciiTheme="minorHAnsi" w:hAnsiTheme="minorHAnsi" w:cstheme="minorHAnsi"/>
          <w:szCs w:val="22"/>
          <w:lang w:eastAsia="de-AT"/>
        </w:rPr>
      </w:pPr>
      <w:r w:rsidRPr="008B5511">
        <w:rPr>
          <w:rFonts w:asciiTheme="minorHAnsi" w:hAnsiTheme="minorHAnsi" w:cstheme="minorHAnsi"/>
          <w:szCs w:val="22"/>
          <w:lang w:eastAsia="de-AT"/>
        </w:rPr>
        <w:t>Zuweisung zur Beratung an das Institut für Humangenetik, Kepler-Universitätsklinik Linz</w:t>
      </w:r>
    </w:p>
    <w:p w14:paraId="65B7C4F1" w14:textId="77777777" w:rsidR="00F80C40" w:rsidRDefault="00F80C40" w:rsidP="008B5511">
      <w:pPr>
        <w:autoSpaceDE w:val="0"/>
        <w:autoSpaceDN w:val="0"/>
        <w:adjustRightInd w:val="0"/>
        <w:spacing w:line="240" w:lineRule="auto"/>
        <w:jc w:val="left"/>
        <w:rPr>
          <w:rFonts w:asciiTheme="minorHAnsi" w:hAnsiTheme="minorHAnsi" w:cstheme="minorHAnsi"/>
          <w:szCs w:val="22"/>
          <w:lang w:eastAsia="de-AT"/>
        </w:rPr>
      </w:pPr>
    </w:p>
    <w:p w14:paraId="560B4ED4" w14:textId="77777777" w:rsidR="000F5686" w:rsidRDefault="000F5686">
      <w:pPr>
        <w:spacing w:line="240" w:lineRule="auto"/>
        <w:jc w:val="left"/>
        <w:rPr>
          <w:rFonts w:asciiTheme="minorHAnsi" w:hAnsiTheme="minorHAnsi" w:cstheme="minorHAnsi"/>
          <w:szCs w:val="22"/>
        </w:rPr>
      </w:pPr>
      <w:r>
        <w:rPr>
          <w:rFonts w:asciiTheme="minorHAnsi" w:hAnsiTheme="minorHAnsi" w:cstheme="minorHAnsi"/>
          <w:szCs w:val="22"/>
        </w:rPr>
        <w:br w:type="page"/>
      </w:r>
    </w:p>
    <w:p w14:paraId="0ADC0FD5" w14:textId="77777777" w:rsidR="006D4DAC" w:rsidRPr="00E344D4" w:rsidRDefault="00534643" w:rsidP="00534643">
      <w:pPr>
        <w:pStyle w:val="berschrift1"/>
      </w:pPr>
      <w:bookmarkStart w:id="60" w:name="_Toc367183619"/>
      <w:bookmarkStart w:id="61" w:name="_Toc367183857"/>
      <w:bookmarkStart w:id="62" w:name="_Toc63667683"/>
      <w:r>
        <w:lastRenderedPageBreak/>
        <w:t>5</w:t>
      </w:r>
      <w:r>
        <w:tab/>
      </w:r>
      <w:r w:rsidR="0049768A">
        <w:t xml:space="preserve">Verlaufskontrolle und </w:t>
      </w:r>
      <w:r w:rsidR="006D4DAC" w:rsidRPr="00E344D4">
        <w:t>Nachsorge</w:t>
      </w:r>
      <w:bookmarkEnd w:id="60"/>
      <w:bookmarkEnd w:id="61"/>
      <w:bookmarkEnd w:id="62"/>
    </w:p>
    <w:p w14:paraId="375818AD" w14:textId="77777777" w:rsidR="00ED656A" w:rsidRPr="006D3FAC" w:rsidRDefault="00ED656A" w:rsidP="006D3FAC">
      <w:pPr>
        <w:pStyle w:val="berschrift2"/>
        <w:numPr>
          <w:ilvl w:val="0"/>
          <w:numId w:val="0"/>
        </w:numPr>
        <w:rPr>
          <w:lang w:val="de-DE"/>
        </w:rPr>
      </w:pPr>
      <w:bookmarkStart w:id="63" w:name="_Toc63667684"/>
      <w:bookmarkStart w:id="64" w:name="_Toc378320347"/>
      <w:bookmarkStart w:id="65" w:name="_Toc346191226"/>
      <w:bookmarkStart w:id="66" w:name="_Toc330548338"/>
      <w:bookmarkStart w:id="67" w:name="_Toc465170214"/>
      <w:bookmarkStart w:id="68" w:name="_Toc367183620"/>
      <w:bookmarkStart w:id="69" w:name="_Toc367183858"/>
      <w:r w:rsidRPr="006D3FAC">
        <w:rPr>
          <w:lang w:val="de-DE"/>
        </w:rPr>
        <w:t>5.1</w:t>
      </w:r>
      <w:r w:rsidRPr="006D3FAC">
        <w:rPr>
          <w:lang w:val="de-DE"/>
        </w:rPr>
        <w:tab/>
        <w:t xml:space="preserve">Molekulares Monitoring </w:t>
      </w:r>
      <w:r w:rsidR="00E94351">
        <w:rPr>
          <w:lang w:val="de-DE"/>
        </w:rPr>
        <w:t>mittels</w:t>
      </w:r>
      <w:r w:rsidRPr="006D3FAC">
        <w:rPr>
          <w:lang w:val="de-DE"/>
        </w:rPr>
        <w:t xml:space="preserve"> MRD-Analyse</w:t>
      </w:r>
      <w:bookmarkEnd w:id="63"/>
    </w:p>
    <w:p w14:paraId="49B76476" w14:textId="77777777" w:rsidR="000F5686" w:rsidRDefault="000F5686" w:rsidP="00ED656A">
      <w:pPr>
        <w:autoSpaceDE w:val="0"/>
        <w:autoSpaceDN w:val="0"/>
        <w:adjustRightInd w:val="0"/>
        <w:spacing w:line="276" w:lineRule="auto"/>
        <w:jc w:val="left"/>
        <w:rPr>
          <w:rFonts w:asciiTheme="minorHAnsi" w:hAnsiTheme="minorHAnsi" w:cstheme="minorHAnsi"/>
          <w:b/>
          <w:szCs w:val="22"/>
          <w:lang w:eastAsia="de-AT"/>
        </w:rPr>
      </w:pPr>
    </w:p>
    <w:p w14:paraId="1B95E4E0" w14:textId="77777777" w:rsidR="00ED656A" w:rsidRPr="006D3FAC" w:rsidRDefault="004B2BC0" w:rsidP="00ED656A">
      <w:pPr>
        <w:autoSpaceDE w:val="0"/>
        <w:autoSpaceDN w:val="0"/>
        <w:adjustRightInd w:val="0"/>
        <w:spacing w:line="276" w:lineRule="auto"/>
        <w:jc w:val="left"/>
        <w:rPr>
          <w:rFonts w:asciiTheme="minorHAnsi" w:hAnsiTheme="minorHAnsi" w:cstheme="minorHAnsi"/>
          <w:b/>
          <w:szCs w:val="22"/>
          <w:u w:val="single"/>
          <w:lang w:eastAsia="de-AT"/>
        </w:rPr>
      </w:pPr>
      <w:r w:rsidRPr="006D3FAC">
        <w:rPr>
          <w:rFonts w:asciiTheme="minorHAnsi" w:hAnsiTheme="minorHAnsi" w:cstheme="minorHAnsi"/>
          <w:b/>
          <w:szCs w:val="22"/>
          <w:u w:val="single"/>
          <w:lang w:eastAsia="de-AT"/>
        </w:rPr>
        <w:t>MRD-</w:t>
      </w:r>
      <w:r w:rsidR="006D3FAC" w:rsidRPr="006D3FAC">
        <w:rPr>
          <w:rFonts w:asciiTheme="minorHAnsi" w:hAnsiTheme="minorHAnsi" w:cstheme="minorHAnsi"/>
          <w:b/>
          <w:szCs w:val="22"/>
          <w:u w:val="single"/>
          <w:lang w:eastAsia="de-AT"/>
        </w:rPr>
        <w:t>Marker</w:t>
      </w:r>
    </w:p>
    <w:p w14:paraId="607A2F54" w14:textId="77777777" w:rsidR="00466735" w:rsidRPr="008E7CA7" w:rsidRDefault="00466735" w:rsidP="003C629B">
      <w:pPr>
        <w:pStyle w:val="Textkrper-Einzug2"/>
        <w:numPr>
          <w:ilvl w:val="0"/>
          <w:numId w:val="15"/>
        </w:numPr>
        <w:spacing w:after="0" w:line="276" w:lineRule="auto"/>
        <w:ind w:left="284" w:hanging="284"/>
        <w:jc w:val="both"/>
        <w:rPr>
          <w:rFonts w:asciiTheme="minorHAnsi" w:hAnsiTheme="minorHAnsi" w:cstheme="minorHAnsi"/>
          <w:szCs w:val="22"/>
        </w:rPr>
      </w:pPr>
      <w:r w:rsidRPr="008E7CA7">
        <w:rPr>
          <w:rFonts w:asciiTheme="minorHAnsi" w:hAnsiTheme="minorHAnsi" w:cstheme="minorHAnsi"/>
          <w:szCs w:val="22"/>
        </w:rPr>
        <w:t>6% RUNX1/RUNX1T1 quantitativ bei t(8;21)</w:t>
      </w:r>
    </w:p>
    <w:p w14:paraId="4A768E12" w14:textId="77777777" w:rsidR="00466735" w:rsidRPr="008E7CA7" w:rsidRDefault="00466735" w:rsidP="003C629B">
      <w:pPr>
        <w:pStyle w:val="Textkrper-Einzug2"/>
        <w:numPr>
          <w:ilvl w:val="0"/>
          <w:numId w:val="15"/>
        </w:numPr>
        <w:spacing w:after="0" w:line="276" w:lineRule="auto"/>
        <w:ind w:left="284" w:hanging="284"/>
        <w:jc w:val="both"/>
        <w:rPr>
          <w:rFonts w:asciiTheme="minorHAnsi" w:hAnsiTheme="minorHAnsi" w:cstheme="minorHAnsi"/>
          <w:szCs w:val="22"/>
        </w:rPr>
      </w:pPr>
      <w:r w:rsidRPr="008E7CA7">
        <w:rPr>
          <w:rFonts w:asciiTheme="minorHAnsi" w:hAnsiTheme="minorHAnsi" w:cstheme="minorHAnsi"/>
          <w:szCs w:val="22"/>
        </w:rPr>
        <w:t>7% CBFB/MYH11 quantitativ bei inv(16)</w:t>
      </w:r>
    </w:p>
    <w:p w14:paraId="4135193D" w14:textId="77777777" w:rsidR="00466735" w:rsidRPr="008E7CA7" w:rsidRDefault="00466735" w:rsidP="003C629B">
      <w:pPr>
        <w:pStyle w:val="Textkrper-Einzug2"/>
        <w:numPr>
          <w:ilvl w:val="0"/>
          <w:numId w:val="15"/>
        </w:numPr>
        <w:spacing w:after="0" w:line="276" w:lineRule="auto"/>
        <w:ind w:left="284" w:hanging="284"/>
        <w:jc w:val="both"/>
        <w:rPr>
          <w:rFonts w:asciiTheme="minorHAnsi" w:hAnsiTheme="minorHAnsi" w:cstheme="minorHAnsi"/>
          <w:szCs w:val="22"/>
        </w:rPr>
      </w:pPr>
      <w:r w:rsidRPr="008E7CA7">
        <w:rPr>
          <w:rFonts w:asciiTheme="minorHAnsi" w:hAnsiTheme="minorHAnsi" w:cstheme="minorHAnsi"/>
          <w:szCs w:val="22"/>
        </w:rPr>
        <w:t>7% PML/RARA quantitativ bei APL t(15;17)</w:t>
      </w:r>
    </w:p>
    <w:p w14:paraId="2D1604B0" w14:textId="77777777" w:rsidR="00466735" w:rsidRPr="008E7CA7" w:rsidRDefault="00466735" w:rsidP="003C629B">
      <w:pPr>
        <w:pStyle w:val="Textkrper-Einzug2"/>
        <w:numPr>
          <w:ilvl w:val="0"/>
          <w:numId w:val="15"/>
        </w:numPr>
        <w:spacing w:after="0" w:line="276" w:lineRule="auto"/>
        <w:ind w:left="284" w:hanging="284"/>
        <w:jc w:val="both"/>
        <w:rPr>
          <w:rFonts w:asciiTheme="minorHAnsi" w:hAnsiTheme="minorHAnsi" w:cstheme="minorHAnsi"/>
          <w:szCs w:val="22"/>
        </w:rPr>
      </w:pPr>
      <w:r w:rsidRPr="008E7CA7">
        <w:rPr>
          <w:rFonts w:asciiTheme="minorHAnsi" w:hAnsiTheme="minorHAnsi" w:cstheme="minorHAnsi"/>
          <w:szCs w:val="22"/>
        </w:rPr>
        <w:t>25% (50% CN-AML) NPM1 Exon12 Mutation quantitativ</w:t>
      </w:r>
    </w:p>
    <w:p w14:paraId="40BEB160" w14:textId="77777777" w:rsidR="00466735" w:rsidRPr="008E7CA7" w:rsidRDefault="00466735" w:rsidP="003C629B">
      <w:pPr>
        <w:pStyle w:val="Textkrper-Einzug2"/>
        <w:numPr>
          <w:ilvl w:val="0"/>
          <w:numId w:val="15"/>
        </w:numPr>
        <w:spacing w:after="0" w:line="276" w:lineRule="auto"/>
        <w:ind w:left="284" w:hanging="284"/>
        <w:jc w:val="both"/>
        <w:rPr>
          <w:rFonts w:asciiTheme="minorHAnsi" w:hAnsiTheme="minorHAnsi" w:cstheme="minorHAnsi"/>
          <w:szCs w:val="22"/>
        </w:rPr>
      </w:pPr>
      <w:r w:rsidRPr="008E7CA7">
        <w:rPr>
          <w:rFonts w:asciiTheme="minorHAnsi" w:hAnsiTheme="minorHAnsi" w:cstheme="minorHAnsi"/>
          <w:szCs w:val="22"/>
        </w:rPr>
        <w:t>90% WT1 Überexpression quantitativ (cave: Expression auch in normaler Hämatopoese, daher wird Knochenmark nicht negativ!)</w:t>
      </w:r>
    </w:p>
    <w:p w14:paraId="6EA776C1" w14:textId="77777777" w:rsidR="00466735" w:rsidRPr="008E7CA7" w:rsidRDefault="00466735" w:rsidP="003C629B">
      <w:pPr>
        <w:pStyle w:val="Textkrper-Einzug2"/>
        <w:numPr>
          <w:ilvl w:val="0"/>
          <w:numId w:val="15"/>
        </w:numPr>
        <w:spacing w:after="0" w:line="276" w:lineRule="auto"/>
        <w:ind w:left="284" w:hanging="284"/>
        <w:jc w:val="both"/>
        <w:rPr>
          <w:rFonts w:asciiTheme="minorHAnsi" w:hAnsiTheme="minorHAnsi" w:cstheme="minorHAnsi"/>
          <w:szCs w:val="22"/>
        </w:rPr>
      </w:pPr>
      <w:r w:rsidRPr="008E7CA7">
        <w:rPr>
          <w:rFonts w:asciiTheme="minorHAnsi" w:hAnsiTheme="minorHAnsi" w:cstheme="minorHAnsi"/>
          <w:szCs w:val="22"/>
        </w:rPr>
        <w:t>Translokationen aus der Multiplex-PCR nicht quantitativ (positiv/negativ)</w:t>
      </w:r>
    </w:p>
    <w:p w14:paraId="2983C3E0" w14:textId="77777777" w:rsidR="000F5686" w:rsidRDefault="000F5686" w:rsidP="00ED656A">
      <w:pPr>
        <w:autoSpaceDE w:val="0"/>
        <w:autoSpaceDN w:val="0"/>
        <w:adjustRightInd w:val="0"/>
        <w:spacing w:line="276" w:lineRule="auto"/>
        <w:jc w:val="left"/>
        <w:rPr>
          <w:rFonts w:asciiTheme="minorHAnsi" w:hAnsiTheme="minorHAnsi" w:cstheme="minorHAnsi"/>
          <w:b/>
          <w:szCs w:val="22"/>
          <w:lang w:eastAsia="de-AT"/>
        </w:rPr>
      </w:pPr>
    </w:p>
    <w:p w14:paraId="3EFE224C" w14:textId="77777777" w:rsidR="00ED656A" w:rsidRPr="006D3FAC" w:rsidRDefault="00ED656A" w:rsidP="00ED656A">
      <w:pPr>
        <w:autoSpaceDE w:val="0"/>
        <w:autoSpaceDN w:val="0"/>
        <w:adjustRightInd w:val="0"/>
        <w:spacing w:line="276" w:lineRule="auto"/>
        <w:jc w:val="left"/>
        <w:rPr>
          <w:rFonts w:asciiTheme="minorHAnsi" w:hAnsiTheme="minorHAnsi" w:cstheme="minorHAnsi"/>
          <w:b/>
          <w:szCs w:val="22"/>
          <w:u w:val="single"/>
          <w:lang w:eastAsia="de-AT"/>
        </w:rPr>
      </w:pPr>
      <w:r w:rsidRPr="006D3FAC">
        <w:rPr>
          <w:rFonts w:asciiTheme="minorHAnsi" w:hAnsiTheme="minorHAnsi" w:cstheme="minorHAnsi"/>
          <w:b/>
          <w:szCs w:val="22"/>
          <w:u w:val="single"/>
          <w:lang w:eastAsia="de-AT"/>
        </w:rPr>
        <w:t>Kein</w:t>
      </w:r>
      <w:r w:rsidR="004B2BC0" w:rsidRPr="006D3FAC">
        <w:rPr>
          <w:rFonts w:asciiTheme="minorHAnsi" w:hAnsiTheme="minorHAnsi" w:cstheme="minorHAnsi"/>
          <w:b/>
          <w:szCs w:val="22"/>
          <w:u w:val="single"/>
          <w:lang w:eastAsia="de-AT"/>
        </w:rPr>
        <w:t>e</w:t>
      </w:r>
      <w:r w:rsidRPr="006D3FAC">
        <w:rPr>
          <w:rFonts w:asciiTheme="minorHAnsi" w:hAnsiTheme="minorHAnsi" w:cstheme="minorHAnsi"/>
          <w:b/>
          <w:szCs w:val="22"/>
          <w:u w:val="single"/>
          <w:lang w:eastAsia="de-AT"/>
        </w:rPr>
        <w:t xml:space="preserve"> MRD-Marker</w:t>
      </w:r>
      <w:r w:rsidR="004B2BC0" w:rsidRPr="006D3FAC">
        <w:rPr>
          <w:rFonts w:asciiTheme="minorHAnsi" w:hAnsiTheme="minorHAnsi" w:cstheme="minorHAnsi"/>
          <w:b/>
          <w:szCs w:val="22"/>
          <w:u w:val="single"/>
          <w:lang w:eastAsia="de-AT"/>
        </w:rPr>
        <w:t xml:space="preserve"> sind</w:t>
      </w:r>
      <w:r w:rsidRPr="006D3FAC">
        <w:rPr>
          <w:rFonts w:asciiTheme="minorHAnsi" w:hAnsiTheme="minorHAnsi" w:cstheme="minorHAnsi"/>
          <w:b/>
          <w:szCs w:val="22"/>
          <w:u w:val="single"/>
          <w:lang w:eastAsia="de-AT"/>
        </w:rPr>
        <w:t>:</w:t>
      </w:r>
    </w:p>
    <w:p w14:paraId="367680BF" w14:textId="77777777" w:rsidR="00466735" w:rsidRPr="00176746" w:rsidRDefault="00466735" w:rsidP="00466735">
      <w:pPr>
        <w:pStyle w:val="Textkrper-Einzug2"/>
        <w:spacing w:after="0" w:line="276" w:lineRule="auto"/>
        <w:ind w:left="0"/>
        <w:jc w:val="both"/>
        <w:rPr>
          <w:rFonts w:asciiTheme="minorHAnsi" w:hAnsiTheme="minorHAnsi" w:cstheme="minorHAnsi"/>
          <w:color w:val="000000" w:themeColor="text1"/>
          <w:szCs w:val="22"/>
        </w:rPr>
      </w:pPr>
      <w:r w:rsidRPr="008E7CA7">
        <w:rPr>
          <w:rFonts w:asciiTheme="minorHAnsi" w:hAnsiTheme="minorHAnsi" w:cstheme="minorHAnsi"/>
          <w:szCs w:val="22"/>
        </w:rPr>
        <w:t xml:space="preserve">Flt3/ITD </w:t>
      </w:r>
      <w:r w:rsidRPr="00176746">
        <w:rPr>
          <w:rFonts w:asciiTheme="minorHAnsi" w:hAnsiTheme="minorHAnsi" w:cstheme="minorHAnsi"/>
          <w:color w:val="000000" w:themeColor="text1"/>
          <w:szCs w:val="22"/>
        </w:rPr>
        <w:t>nur bei Diagnose und Rezidiv</w:t>
      </w:r>
    </w:p>
    <w:p w14:paraId="7B35EFA2" w14:textId="77777777" w:rsidR="00466735" w:rsidRPr="00176746" w:rsidRDefault="00466735" w:rsidP="00466735">
      <w:pPr>
        <w:pStyle w:val="Textkrper-Einzug2"/>
        <w:spacing w:after="0" w:line="276" w:lineRule="auto"/>
        <w:ind w:left="0"/>
        <w:jc w:val="both"/>
        <w:rPr>
          <w:rFonts w:asciiTheme="minorHAnsi" w:hAnsiTheme="minorHAnsi" w:cstheme="minorHAnsi"/>
          <w:color w:val="000000" w:themeColor="text1"/>
          <w:szCs w:val="22"/>
        </w:rPr>
      </w:pPr>
      <w:r w:rsidRPr="00176746">
        <w:rPr>
          <w:rFonts w:asciiTheme="minorHAnsi" w:hAnsiTheme="minorHAnsi" w:cstheme="minorHAnsi"/>
          <w:color w:val="000000" w:themeColor="text1"/>
          <w:szCs w:val="22"/>
        </w:rPr>
        <w:t>CEBPA, DNMT3A, ASXL1, IDH… nur bei Diagnose</w:t>
      </w:r>
      <w:r w:rsidR="004C6907" w:rsidRPr="00176746">
        <w:rPr>
          <w:rFonts w:asciiTheme="minorHAnsi" w:hAnsiTheme="minorHAnsi" w:cstheme="minorHAnsi"/>
          <w:color w:val="000000" w:themeColor="text1"/>
          <w:szCs w:val="22"/>
        </w:rPr>
        <w:t xml:space="preserve"> (in Ausnahmefällen nach Rücksprache mit den Molekularbiologen NGS im Verlauf; bei Rezidiv NGS wiederholen, um ev. therapeutisches Target nachzuweisen)</w:t>
      </w:r>
    </w:p>
    <w:p w14:paraId="5F37084B" w14:textId="77777777" w:rsidR="00ED656A" w:rsidRDefault="00ED656A" w:rsidP="00ED656A">
      <w:pPr>
        <w:autoSpaceDE w:val="0"/>
        <w:autoSpaceDN w:val="0"/>
        <w:adjustRightInd w:val="0"/>
        <w:spacing w:line="276" w:lineRule="auto"/>
        <w:jc w:val="left"/>
        <w:rPr>
          <w:rFonts w:asciiTheme="minorHAnsi" w:hAnsiTheme="minorHAnsi" w:cstheme="minorHAnsi"/>
          <w:szCs w:val="22"/>
          <w:lang w:eastAsia="de-AT"/>
        </w:rPr>
      </w:pPr>
    </w:p>
    <w:p w14:paraId="5D461B8E" w14:textId="77777777" w:rsidR="00466735" w:rsidRDefault="00466735" w:rsidP="00466735">
      <w:pPr>
        <w:pStyle w:val="Textkrper-Einzug2"/>
        <w:spacing w:after="0" w:line="276" w:lineRule="auto"/>
        <w:ind w:left="0"/>
        <w:jc w:val="both"/>
        <w:rPr>
          <w:rFonts w:asciiTheme="minorHAnsi" w:hAnsiTheme="minorHAnsi" w:cstheme="minorHAnsi"/>
          <w:szCs w:val="22"/>
        </w:rPr>
      </w:pPr>
      <w:r>
        <w:rPr>
          <w:rFonts w:asciiTheme="minorHAnsi" w:hAnsiTheme="minorHAnsi" w:cstheme="minorHAnsi"/>
          <w:szCs w:val="22"/>
        </w:rPr>
        <w:t>Grundsätzlich wird die MRD-Bewertung nur aus dem Knochenmark durchgeführt. Das Therapieansprechen kann nur bewertet werden, wenn der Stand der Therapie auf dem Anforderungsschein angegeben ist.</w:t>
      </w:r>
    </w:p>
    <w:p w14:paraId="659C0F85" w14:textId="77777777" w:rsidR="00466735" w:rsidRPr="008E7CA7" w:rsidRDefault="00466735" w:rsidP="00466735">
      <w:pPr>
        <w:pStyle w:val="Textkrper-Einzug2"/>
        <w:spacing w:after="0" w:line="276" w:lineRule="auto"/>
        <w:ind w:left="0"/>
        <w:jc w:val="both"/>
        <w:rPr>
          <w:rFonts w:asciiTheme="minorHAnsi" w:hAnsiTheme="minorHAnsi" w:cstheme="minorHAnsi"/>
          <w:szCs w:val="22"/>
        </w:rPr>
      </w:pPr>
      <w:r w:rsidRPr="008E7CA7">
        <w:rPr>
          <w:rFonts w:asciiTheme="minorHAnsi" w:hAnsiTheme="minorHAnsi" w:cstheme="minorHAnsi"/>
          <w:szCs w:val="22"/>
        </w:rPr>
        <w:t>Grundsätzlich werden alle Marker, die bei einem Patienten vorhanden sind, parallel für die MRD-Analyse eingesetzt.</w:t>
      </w:r>
    </w:p>
    <w:p w14:paraId="2F0C419A" w14:textId="77777777" w:rsidR="006D3FAC" w:rsidRDefault="006D3FAC" w:rsidP="00466735">
      <w:pPr>
        <w:pStyle w:val="Textkrper-Einzug2"/>
        <w:spacing w:after="0" w:line="276" w:lineRule="auto"/>
        <w:ind w:left="0"/>
        <w:jc w:val="both"/>
        <w:rPr>
          <w:rFonts w:asciiTheme="minorHAnsi" w:hAnsiTheme="minorHAnsi" w:cstheme="minorHAnsi"/>
          <w:szCs w:val="22"/>
        </w:rPr>
      </w:pPr>
    </w:p>
    <w:p w14:paraId="043D7416" w14:textId="77777777" w:rsidR="00E94351" w:rsidRDefault="006D3FAC" w:rsidP="00466735">
      <w:pPr>
        <w:pStyle w:val="Textkrper-Einzug2"/>
        <w:spacing w:after="0" w:line="276" w:lineRule="auto"/>
        <w:ind w:left="0"/>
        <w:jc w:val="both"/>
        <w:rPr>
          <w:rFonts w:asciiTheme="minorHAnsi" w:hAnsiTheme="minorHAnsi" w:cstheme="minorHAnsi"/>
          <w:szCs w:val="22"/>
        </w:rPr>
      </w:pPr>
      <w:r>
        <w:rPr>
          <w:rFonts w:asciiTheme="minorHAnsi" w:hAnsiTheme="minorHAnsi" w:cstheme="minorHAnsi"/>
          <w:szCs w:val="22"/>
        </w:rPr>
        <w:t>Die auf den folgenden Seiten dargestellte</w:t>
      </w:r>
      <w:r w:rsidR="00466735" w:rsidRPr="008E7CA7">
        <w:rPr>
          <w:rFonts w:asciiTheme="minorHAnsi" w:hAnsiTheme="minorHAnsi" w:cstheme="minorHAnsi"/>
          <w:szCs w:val="22"/>
        </w:rPr>
        <w:t xml:space="preserve"> Sequenz ist als Minimalanforderung zu verstehen. Grundsätzlich können, je nach individueller Risikoabschätzung, zusätzliche MRD-Bestimmungen aus Blut und/oder Knochenmark angefordert werden.</w:t>
      </w:r>
    </w:p>
    <w:p w14:paraId="449B19E1" w14:textId="77777777" w:rsidR="00E94351" w:rsidRDefault="00E94351">
      <w:pPr>
        <w:spacing w:line="240" w:lineRule="auto"/>
        <w:jc w:val="left"/>
        <w:rPr>
          <w:rFonts w:asciiTheme="minorHAnsi" w:hAnsiTheme="minorHAnsi" w:cstheme="minorHAnsi"/>
          <w:szCs w:val="22"/>
        </w:rPr>
      </w:pPr>
      <w:r>
        <w:rPr>
          <w:rFonts w:asciiTheme="minorHAnsi" w:hAnsiTheme="minorHAnsi" w:cstheme="minorHAnsi"/>
          <w:szCs w:val="22"/>
        </w:rPr>
        <w:br w:type="page"/>
      </w:r>
    </w:p>
    <w:p w14:paraId="0D3C94D3" w14:textId="77777777" w:rsidR="00466735" w:rsidRPr="00E94351" w:rsidRDefault="00E94351" w:rsidP="00466735">
      <w:pPr>
        <w:pStyle w:val="Textkrper-Einzug2"/>
        <w:spacing w:after="0" w:line="276" w:lineRule="auto"/>
        <w:ind w:left="0"/>
        <w:jc w:val="both"/>
        <w:rPr>
          <w:rFonts w:asciiTheme="minorHAnsi" w:hAnsiTheme="minorHAnsi" w:cstheme="minorHAnsi"/>
          <w:b/>
          <w:szCs w:val="22"/>
        </w:rPr>
      </w:pPr>
      <w:r w:rsidRPr="00E94351">
        <w:rPr>
          <w:rFonts w:asciiTheme="minorHAnsi" w:hAnsiTheme="minorHAnsi" w:cstheme="minorHAnsi"/>
          <w:b/>
          <w:szCs w:val="22"/>
        </w:rPr>
        <w:lastRenderedPageBreak/>
        <w:t>Flow Chart: Molekulares Monitoring der Akuten myeloischen Leukämie</w:t>
      </w:r>
    </w:p>
    <w:p w14:paraId="68260C16" w14:textId="77777777" w:rsidR="00466735" w:rsidRDefault="00466735" w:rsidP="00466735">
      <w:pPr>
        <w:pStyle w:val="Textkrper-Einzug2"/>
        <w:spacing w:after="0" w:line="276" w:lineRule="auto"/>
        <w:ind w:left="0"/>
        <w:jc w:val="both"/>
        <w:rPr>
          <w:rFonts w:asciiTheme="minorHAnsi" w:hAnsiTheme="minorHAnsi" w:cstheme="minorHAnsi"/>
          <w:szCs w:val="22"/>
        </w:rPr>
      </w:pPr>
    </w:p>
    <w:p w14:paraId="16AA92FE" w14:textId="77777777" w:rsidR="00466735" w:rsidRDefault="00466735" w:rsidP="00466735">
      <w:pPr>
        <w:rPr>
          <w:rFonts w:cs="Arial"/>
          <w:szCs w:val="22"/>
        </w:rPr>
      </w:pPr>
      <w:r>
        <w:rPr>
          <w:rFonts w:cs="Arial"/>
          <w:noProof/>
          <w:szCs w:val="22"/>
          <w:lang w:eastAsia="de-AT"/>
        </w:rPr>
        <w:drawing>
          <wp:inline distT="0" distB="0" distL="0" distR="0" wp14:anchorId="2091BCAA" wp14:editId="11FF8DC4">
            <wp:extent cx="4954781" cy="764078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lekulare MRD Visio.gif"/>
                    <pic:cNvPicPr/>
                  </pic:nvPicPr>
                  <pic:blipFill>
                    <a:blip r:embed="rId37">
                      <a:extLst>
                        <a:ext uri="{28A0092B-C50C-407E-A947-70E740481C1C}">
                          <a14:useLocalDpi xmlns:a14="http://schemas.microsoft.com/office/drawing/2010/main" val="0"/>
                        </a:ext>
                      </a:extLst>
                    </a:blip>
                    <a:stretch>
                      <a:fillRect/>
                    </a:stretch>
                  </pic:blipFill>
                  <pic:spPr>
                    <a:xfrm>
                      <a:off x="0" y="0"/>
                      <a:ext cx="5013131" cy="7730763"/>
                    </a:xfrm>
                    <a:prstGeom prst="rect">
                      <a:avLst/>
                    </a:prstGeom>
                  </pic:spPr>
                </pic:pic>
              </a:graphicData>
            </a:graphic>
          </wp:inline>
        </w:drawing>
      </w:r>
    </w:p>
    <w:p w14:paraId="28D5DC70" w14:textId="77777777" w:rsidR="006D3FAC" w:rsidRDefault="006D3FAC" w:rsidP="00466735">
      <w:pPr>
        <w:pStyle w:val="Textkrper-Einzug2"/>
        <w:spacing w:after="0" w:line="276" w:lineRule="auto"/>
        <w:ind w:left="0"/>
        <w:jc w:val="both"/>
        <w:rPr>
          <w:rFonts w:asciiTheme="minorHAnsi" w:hAnsiTheme="minorHAnsi" w:cstheme="minorHAnsi"/>
          <w:b/>
          <w:szCs w:val="22"/>
          <w:u w:val="single"/>
        </w:rPr>
      </w:pPr>
    </w:p>
    <w:p w14:paraId="2F767713" w14:textId="77777777" w:rsidR="00E94351" w:rsidRPr="00E94351" w:rsidRDefault="00E94351">
      <w:pPr>
        <w:spacing w:line="240" w:lineRule="auto"/>
        <w:jc w:val="left"/>
        <w:rPr>
          <w:rFonts w:asciiTheme="minorHAnsi" w:hAnsiTheme="minorHAnsi" w:cstheme="minorHAnsi"/>
          <w:szCs w:val="22"/>
        </w:rPr>
      </w:pPr>
      <w:r w:rsidRPr="00E94351">
        <w:rPr>
          <w:rFonts w:asciiTheme="minorHAnsi" w:hAnsiTheme="minorHAnsi" w:cstheme="minorHAnsi"/>
          <w:szCs w:val="22"/>
        </w:rPr>
        <w:t>Legende auf der nachfolgenden Seite</w:t>
      </w:r>
      <w:r w:rsidRPr="00E94351">
        <w:rPr>
          <w:rFonts w:asciiTheme="minorHAnsi" w:hAnsiTheme="minorHAnsi" w:cstheme="minorHAnsi"/>
          <w:szCs w:val="22"/>
        </w:rPr>
        <w:br w:type="page"/>
      </w:r>
    </w:p>
    <w:p w14:paraId="6EC2EB31" w14:textId="77777777" w:rsidR="00466735" w:rsidRPr="00E94351" w:rsidRDefault="00466735" w:rsidP="00E94351">
      <w:pPr>
        <w:pStyle w:val="Textkrper-Einzug2"/>
        <w:spacing w:after="0" w:line="276" w:lineRule="auto"/>
        <w:ind w:left="0"/>
        <w:jc w:val="both"/>
        <w:rPr>
          <w:rFonts w:asciiTheme="minorHAnsi" w:hAnsiTheme="minorHAnsi" w:cstheme="minorHAnsi"/>
          <w:b/>
          <w:szCs w:val="22"/>
        </w:rPr>
      </w:pPr>
      <w:r w:rsidRPr="00E94351">
        <w:rPr>
          <w:rFonts w:asciiTheme="minorHAnsi" w:hAnsiTheme="minorHAnsi" w:cstheme="minorHAnsi"/>
          <w:b/>
          <w:szCs w:val="22"/>
        </w:rPr>
        <w:lastRenderedPageBreak/>
        <w:t>Definitionen</w:t>
      </w:r>
      <w:r w:rsidR="00E94351">
        <w:rPr>
          <w:rFonts w:asciiTheme="minorHAnsi" w:hAnsiTheme="minorHAnsi" w:cstheme="minorHAnsi"/>
          <w:b/>
          <w:szCs w:val="22"/>
        </w:rPr>
        <w:t xml:space="preserve"> (a</w:t>
      </w:r>
      <w:r w:rsidR="00E94351" w:rsidRPr="00E94351">
        <w:rPr>
          <w:rFonts w:asciiTheme="minorHAnsi" w:hAnsiTheme="minorHAnsi" w:cstheme="minorHAnsi"/>
          <w:b/>
          <w:szCs w:val="22"/>
        </w:rPr>
        <w:t>daptiert nach Schuurhuis G et.al.: Blood 2018)</w:t>
      </w:r>
    </w:p>
    <w:p w14:paraId="46C5A818" w14:textId="77777777" w:rsidR="00466735" w:rsidRPr="00C5252D" w:rsidRDefault="00466735" w:rsidP="00466735">
      <w:pPr>
        <w:rPr>
          <w:rFonts w:cs="Arial"/>
          <w:sz w:val="4"/>
          <w:szCs w:val="4"/>
        </w:rPr>
      </w:pPr>
    </w:p>
    <w:p w14:paraId="27CE6CC6" w14:textId="77777777" w:rsidR="00466735" w:rsidRPr="00E94351" w:rsidRDefault="00466735" w:rsidP="00466735">
      <w:pPr>
        <w:pStyle w:val="Textkrper-Einzug2"/>
        <w:spacing w:after="0" w:line="276" w:lineRule="auto"/>
        <w:ind w:left="0"/>
        <w:jc w:val="both"/>
        <w:rPr>
          <w:rFonts w:asciiTheme="minorHAnsi" w:hAnsiTheme="minorHAnsi" w:cstheme="minorHAnsi"/>
          <w:b/>
          <w:szCs w:val="22"/>
          <w:u w:val="single"/>
        </w:rPr>
      </w:pPr>
      <w:r w:rsidRPr="00E94351">
        <w:rPr>
          <w:rFonts w:asciiTheme="minorHAnsi" w:hAnsiTheme="minorHAnsi" w:cstheme="minorHAnsi"/>
          <w:b/>
          <w:szCs w:val="22"/>
          <w:u w:val="single"/>
        </w:rPr>
        <w:t>Therapieansprechen:</w:t>
      </w:r>
    </w:p>
    <w:p w14:paraId="352FA96B" w14:textId="77777777" w:rsidR="00466735" w:rsidRPr="00C5252D" w:rsidRDefault="00466735" w:rsidP="003C629B">
      <w:pPr>
        <w:pStyle w:val="Textkrper-Einzug2"/>
        <w:numPr>
          <w:ilvl w:val="0"/>
          <w:numId w:val="16"/>
        </w:numPr>
        <w:spacing w:after="0" w:line="276" w:lineRule="auto"/>
        <w:ind w:left="284" w:hanging="284"/>
        <w:jc w:val="both"/>
        <w:rPr>
          <w:rFonts w:asciiTheme="minorHAnsi" w:hAnsiTheme="minorHAnsi" w:cstheme="minorHAnsi"/>
          <w:szCs w:val="22"/>
        </w:rPr>
      </w:pPr>
      <w:r w:rsidRPr="006D3FAC">
        <w:rPr>
          <w:rFonts w:asciiTheme="minorHAnsi" w:hAnsiTheme="minorHAnsi" w:cstheme="minorHAnsi"/>
          <w:szCs w:val="22"/>
          <w:u w:val="single"/>
        </w:rPr>
        <w:t>optimal 1:</w:t>
      </w:r>
      <w:r w:rsidRPr="00C5252D">
        <w:rPr>
          <w:rFonts w:asciiTheme="minorHAnsi" w:hAnsiTheme="minorHAnsi" w:cstheme="minorHAnsi"/>
          <w:szCs w:val="22"/>
        </w:rPr>
        <w:tab/>
      </w:r>
      <w:r>
        <w:rPr>
          <w:rFonts w:asciiTheme="minorHAnsi" w:hAnsiTheme="minorHAnsi" w:cstheme="minorHAnsi"/>
          <w:szCs w:val="22"/>
        </w:rPr>
        <w:t>NPM1+Translokationen</w:t>
      </w:r>
      <w:r w:rsidRPr="00C5252D">
        <w:rPr>
          <w:rFonts w:asciiTheme="minorHAnsi" w:hAnsiTheme="minorHAnsi" w:cstheme="minorHAnsi"/>
          <w:szCs w:val="22"/>
        </w:rPr>
        <w:t xml:space="preserve"> </w:t>
      </w:r>
      <w:r>
        <w:rPr>
          <w:rFonts w:asciiTheme="minorHAnsi" w:hAnsiTheme="minorHAnsi" w:cstheme="minorHAnsi"/>
          <w:szCs w:val="22"/>
        </w:rPr>
        <w:t xml:space="preserve">: </w:t>
      </w:r>
      <w:r w:rsidRPr="00C5252D">
        <w:rPr>
          <w:rFonts w:asciiTheme="minorHAnsi" w:hAnsiTheme="minorHAnsi" w:cstheme="minorHAnsi"/>
          <w:szCs w:val="22"/>
        </w:rPr>
        <w:t>PB negativ und KM &gt;3log Reduktion oder negativ</w:t>
      </w:r>
    </w:p>
    <w:p w14:paraId="00833E46" w14:textId="77777777" w:rsidR="00466735" w:rsidRPr="00C5252D" w:rsidRDefault="00466735" w:rsidP="006D3FAC">
      <w:pPr>
        <w:pStyle w:val="Textkrper-Einzug2"/>
        <w:spacing w:after="0" w:line="276" w:lineRule="auto"/>
        <w:ind w:left="992" w:firstLine="424"/>
        <w:jc w:val="both"/>
        <w:rPr>
          <w:rFonts w:asciiTheme="minorHAnsi" w:hAnsiTheme="minorHAnsi" w:cstheme="minorHAnsi"/>
          <w:szCs w:val="22"/>
        </w:rPr>
      </w:pPr>
      <w:r w:rsidRPr="00C5252D">
        <w:rPr>
          <w:rFonts w:asciiTheme="minorHAnsi" w:hAnsiTheme="minorHAnsi" w:cstheme="minorHAnsi"/>
          <w:szCs w:val="22"/>
        </w:rPr>
        <w:t>WT1:</w:t>
      </w:r>
      <w:r w:rsidRPr="00C5252D">
        <w:rPr>
          <w:rFonts w:asciiTheme="minorHAnsi" w:hAnsiTheme="minorHAnsi" w:cstheme="minorHAnsi"/>
          <w:szCs w:val="22"/>
        </w:rPr>
        <w:tab/>
        <w:t>PB ≤0,006% und KM ≤0,02% oder &gt;8Ct Reduktion KM</w:t>
      </w:r>
    </w:p>
    <w:p w14:paraId="45F8B316" w14:textId="77777777" w:rsidR="00466735" w:rsidRPr="00C5252D" w:rsidRDefault="00466735" w:rsidP="003C629B">
      <w:pPr>
        <w:pStyle w:val="Textkrper-Einzug2"/>
        <w:numPr>
          <w:ilvl w:val="0"/>
          <w:numId w:val="16"/>
        </w:numPr>
        <w:spacing w:after="0" w:line="276" w:lineRule="auto"/>
        <w:ind w:left="284" w:hanging="284"/>
        <w:jc w:val="both"/>
        <w:rPr>
          <w:rFonts w:asciiTheme="minorHAnsi" w:hAnsiTheme="minorHAnsi" w:cstheme="minorHAnsi"/>
          <w:szCs w:val="22"/>
        </w:rPr>
      </w:pPr>
      <w:r w:rsidRPr="006D3FAC">
        <w:rPr>
          <w:rFonts w:asciiTheme="minorHAnsi" w:hAnsiTheme="minorHAnsi" w:cstheme="minorHAnsi"/>
          <w:szCs w:val="22"/>
          <w:u w:val="single"/>
        </w:rPr>
        <w:t>warning 1</w:t>
      </w:r>
      <w:r w:rsidRPr="00C5252D">
        <w:rPr>
          <w:rFonts w:asciiTheme="minorHAnsi" w:hAnsiTheme="minorHAnsi" w:cstheme="minorHAnsi"/>
          <w:szCs w:val="22"/>
        </w:rPr>
        <w:t>:</w:t>
      </w:r>
      <w:r w:rsidRPr="00C5252D">
        <w:rPr>
          <w:rFonts w:asciiTheme="minorHAnsi" w:hAnsiTheme="minorHAnsi" w:cstheme="minorHAnsi"/>
          <w:szCs w:val="22"/>
        </w:rPr>
        <w:tab/>
      </w:r>
      <w:r>
        <w:rPr>
          <w:rFonts w:asciiTheme="minorHAnsi" w:hAnsiTheme="minorHAnsi" w:cstheme="minorHAnsi"/>
          <w:szCs w:val="22"/>
        </w:rPr>
        <w:t>NPM1+Translokationen</w:t>
      </w:r>
      <w:r w:rsidRPr="00C5252D">
        <w:rPr>
          <w:rFonts w:asciiTheme="minorHAnsi" w:hAnsiTheme="minorHAnsi" w:cstheme="minorHAnsi"/>
          <w:szCs w:val="22"/>
        </w:rPr>
        <w:t xml:space="preserve"> </w:t>
      </w:r>
      <w:r>
        <w:rPr>
          <w:rFonts w:asciiTheme="minorHAnsi" w:hAnsiTheme="minorHAnsi" w:cstheme="minorHAnsi"/>
          <w:szCs w:val="22"/>
        </w:rPr>
        <w:t xml:space="preserve">: </w:t>
      </w:r>
      <w:r w:rsidRPr="00C5252D">
        <w:rPr>
          <w:rFonts w:asciiTheme="minorHAnsi" w:hAnsiTheme="minorHAnsi" w:cstheme="minorHAnsi"/>
          <w:szCs w:val="22"/>
        </w:rPr>
        <w:t>PB positiv und/oder KM &lt;3log Reduktion</w:t>
      </w:r>
    </w:p>
    <w:p w14:paraId="70FB1A8C" w14:textId="77777777" w:rsidR="00466735" w:rsidRPr="00C5252D" w:rsidRDefault="00466735" w:rsidP="006D3FAC">
      <w:pPr>
        <w:pStyle w:val="Textkrper-Einzug2"/>
        <w:spacing w:after="0" w:line="276" w:lineRule="auto"/>
        <w:ind w:left="992" w:firstLine="424"/>
        <w:jc w:val="both"/>
        <w:rPr>
          <w:rFonts w:asciiTheme="minorHAnsi" w:hAnsiTheme="minorHAnsi" w:cstheme="minorHAnsi"/>
          <w:szCs w:val="22"/>
        </w:rPr>
      </w:pPr>
      <w:r w:rsidRPr="00C5252D">
        <w:rPr>
          <w:rFonts w:asciiTheme="minorHAnsi" w:hAnsiTheme="minorHAnsi" w:cstheme="minorHAnsi"/>
          <w:szCs w:val="22"/>
        </w:rPr>
        <w:t>WT1:</w:t>
      </w:r>
      <w:r w:rsidRPr="00C5252D">
        <w:rPr>
          <w:rFonts w:asciiTheme="minorHAnsi" w:hAnsiTheme="minorHAnsi" w:cstheme="minorHAnsi"/>
          <w:szCs w:val="22"/>
        </w:rPr>
        <w:tab/>
        <w:t>PB ≤0,02% und/oder KM ≤0,1% oder 5-8Ct Reduktion KM</w:t>
      </w:r>
    </w:p>
    <w:p w14:paraId="6C366411" w14:textId="77777777" w:rsidR="00466735" w:rsidRPr="00C5252D" w:rsidRDefault="00466735" w:rsidP="003C629B">
      <w:pPr>
        <w:pStyle w:val="Textkrper-Einzug2"/>
        <w:numPr>
          <w:ilvl w:val="0"/>
          <w:numId w:val="16"/>
        </w:numPr>
        <w:spacing w:after="0" w:line="276" w:lineRule="auto"/>
        <w:ind w:left="284" w:hanging="284"/>
        <w:jc w:val="both"/>
        <w:rPr>
          <w:rFonts w:asciiTheme="minorHAnsi" w:hAnsiTheme="minorHAnsi" w:cstheme="minorHAnsi"/>
          <w:szCs w:val="22"/>
        </w:rPr>
      </w:pPr>
      <w:r w:rsidRPr="006D3FAC">
        <w:rPr>
          <w:rFonts w:asciiTheme="minorHAnsi" w:hAnsiTheme="minorHAnsi" w:cstheme="minorHAnsi"/>
          <w:szCs w:val="22"/>
          <w:u w:val="single"/>
        </w:rPr>
        <w:t>failure1:</w:t>
      </w:r>
      <w:r w:rsidRPr="00C5252D">
        <w:rPr>
          <w:rFonts w:asciiTheme="minorHAnsi" w:hAnsiTheme="minorHAnsi" w:cstheme="minorHAnsi"/>
          <w:szCs w:val="22"/>
        </w:rPr>
        <w:tab/>
      </w:r>
      <w:r>
        <w:rPr>
          <w:rFonts w:asciiTheme="minorHAnsi" w:hAnsiTheme="minorHAnsi" w:cstheme="minorHAnsi"/>
          <w:szCs w:val="22"/>
        </w:rPr>
        <w:t>NPM1+Translokationen</w:t>
      </w:r>
      <w:r w:rsidRPr="00C5252D">
        <w:rPr>
          <w:rFonts w:asciiTheme="minorHAnsi" w:hAnsiTheme="minorHAnsi" w:cstheme="minorHAnsi"/>
          <w:szCs w:val="22"/>
        </w:rPr>
        <w:t xml:space="preserve"> </w:t>
      </w:r>
      <w:r>
        <w:rPr>
          <w:rFonts w:asciiTheme="minorHAnsi" w:hAnsiTheme="minorHAnsi" w:cstheme="minorHAnsi"/>
          <w:szCs w:val="22"/>
        </w:rPr>
        <w:t xml:space="preserve">: </w:t>
      </w:r>
      <w:r w:rsidRPr="00C5252D">
        <w:rPr>
          <w:rFonts w:asciiTheme="minorHAnsi" w:hAnsiTheme="minorHAnsi" w:cstheme="minorHAnsi"/>
          <w:szCs w:val="22"/>
        </w:rPr>
        <w:t>PB positiv und KM &lt;1log Reduktion</w:t>
      </w:r>
    </w:p>
    <w:p w14:paraId="7DA9E013" w14:textId="77777777" w:rsidR="00466735" w:rsidRPr="00C5252D" w:rsidRDefault="00466735" w:rsidP="006D3FAC">
      <w:pPr>
        <w:pStyle w:val="Textkrper-Einzug2"/>
        <w:spacing w:after="0" w:line="276" w:lineRule="auto"/>
        <w:ind w:left="992" w:firstLine="424"/>
        <w:jc w:val="both"/>
        <w:rPr>
          <w:rFonts w:asciiTheme="minorHAnsi" w:hAnsiTheme="minorHAnsi" w:cstheme="minorHAnsi"/>
          <w:szCs w:val="22"/>
        </w:rPr>
      </w:pPr>
      <w:r w:rsidRPr="00C5252D">
        <w:rPr>
          <w:rFonts w:asciiTheme="minorHAnsi" w:hAnsiTheme="minorHAnsi" w:cstheme="minorHAnsi"/>
          <w:szCs w:val="22"/>
        </w:rPr>
        <w:t>WT1:</w:t>
      </w:r>
      <w:r w:rsidRPr="00C5252D">
        <w:rPr>
          <w:rFonts w:asciiTheme="minorHAnsi" w:hAnsiTheme="minorHAnsi" w:cstheme="minorHAnsi"/>
          <w:szCs w:val="22"/>
        </w:rPr>
        <w:tab/>
        <w:t>PB &gt;0,02% und KM &gt;0,1% oder &lt;5Ct Reduktion KM</w:t>
      </w:r>
    </w:p>
    <w:p w14:paraId="79063B80" w14:textId="77777777" w:rsidR="00466735" w:rsidRPr="00C5252D" w:rsidRDefault="00466735" w:rsidP="00466735">
      <w:pPr>
        <w:pStyle w:val="Textkrper-Einzug2"/>
        <w:spacing w:after="0" w:line="276" w:lineRule="auto"/>
        <w:ind w:left="284" w:hanging="284"/>
        <w:jc w:val="both"/>
        <w:rPr>
          <w:rFonts w:asciiTheme="minorHAnsi" w:hAnsiTheme="minorHAnsi" w:cstheme="minorHAnsi"/>
          <w:sz w:val="20"/>
        </w:rPr>
      </w:pPr>
    </w:p>
    <w:p w14:paraId="7F258E6A" w14:textId="77777777" w:rsidR="00466735" w:rsidRPr="00C5252D" w:rsidRDefault="00466735" w:rsidP="003C629B">
      <w:pPr>
        <w:pStyle w:val="Textkrper-Einzug2"/>
        <w:numPr>
          <w:ilvl w:val="0"/>
          <w:numId w:val="16"/>
        </w:numPr>
        <w:spacing w:after="0" w:line="276" w:lineRule="auto"/>
        <w:ind w:left="284" w:hanging="284"/>
        <w:jc w:val="both"/>
        <w:rPr>
          <w:rFonts w:asciiTheme="minorHAnsi" w:hAnsiTheme="minorHAnsi" w:cstheme="minorHAnsi"/>
          <w:szCs w:val="22"/>
        </w:rPr>
      </w:pPr>
      <w:r w:rsidRPr="006D3FAC">
        <w:rPr>
          <w:rFonts w:asciiTheme="minorHAnsi" w:hAnsiTheme="minorHAnsi" w:cstheme="minorHAnsi"/>
          <w:szCs w:val="22"/>
          <w:u w:val="single"/>
        </w:rPr>
        <w:t>optimal 2</w:t>
      </w:r>
      <w:r w:rsidRPr="00C5252D">
        <w:rPr>
          <w:rFonts w:asciiTheme="minorHAnsi" w:hAnsiTheme="minorHAnsi" w:cstheme="minorHAnsi"/>
          <w:szCs w:val="22"/>
        </w:rPr>
        <w:t>:</w:t>
      </w:r>
      <w:r w:rsidRPr="00C5252D">
        <w:rPr>
          <w:rFonts w:asciiTheme="minorHAnsi" w:hAnsiTheme="minorHAnsi" w:cstheme="minorHAnsi"/>
          <w:szCs w:val="22"/>
        </w:rPr>
        <w:tab/>
      </w:r>
      <w:r>
        <w:rPr>
          <w:rFonts w:asciiTheme="minorHAnsi" w:hAnsiTheme="minorHAnsi" w:cstheme="minorHAnsi"/>
          <w:szCs w:val="22"/>
        </w:rPr>
        <w:t>NPM1+Translokationen</w:t>
      </w:r>
      <w:r w:rsidRPr="00C5252D">
        <w:rPr>
          <w:rFonts w:asciiTheme="minorHAnsi" w:hAnsiTheme="minorHAnsi" w:cstheme="minorHAnsi"/>
          <w:szCs w:val="22"/>
        </w:rPr>
        <w:t xml:space="preserve"> </w:t>
      </w:r>
      <w:r>
        <w:rPr>
          <w:rFonts w:asciiTheme="minorHAnsi" w:hAnsiTheme="minorHAnsi" w:cstheme="minorHAnsi"/>
          <w:szCs w:val="22"/>
        </w:rPr>
        <w:t xml:space="preserve">: </w:t>
      </w:r>
      <w:r w:rsidRPr="00C5252D">
        <w:rPr>
          <w:rFonts w:asciiTheme="minorHAnsi" w:hAnsiTheme="minorHAnsi" w:cstheme="minorHAnsi"/>
          <w:szCs w:val="22"/>
        </w:rPr>
        <w:t>PB und KM negativ</w:t>
      </w:r>
    </w:p>
    <w:p w14:paraId="5ED56E85" w14:textId="77777777" w:rsidR="00466735" w:rsidRPr="00C5252D" w:rsidRDefault="00466735" w:rsidP="006D3FAC">
      <w:pPr>
        <w:pStyle w:val="Textkrper-Einzug2"/>
        <w:spacing w:after="0" w:line="276" w:lineRule="auto"/>
        <w:ind w:left="992" w:firstLine="424"/>
        <w:jc w:val="both"/>
        <w:rPr>
          <w:rFonts w:asciiTheme="minorHAnsi" w:hAnsiTheme="minorHAnsi" w:cstheme="minorHAnsi"/>
          <w:szCs w:val="22"/>
        </w:rPr>
      </w:pPr>
      <w:r w:rsidRPr="00C5252D">
        <w:rPr>
          <w:rFonts w:asciiTheme="minorHAnsi" w:hAnsiTheme="minorHAnsi" w:cstheme="minorHAnsi"/>
          <w:szCs w:val="22"/>
        </w:rPr>
        <w:t>WT1:</w:t>
      </w:r>
      <w:r w:rsidRPr="00C5252D">
        <w:rPr>
          <w:rFonts w:asciiTheme="minorHAnsi" w:hAnsiTheme="minorHAnsi" w:cstheme="minorHAnsi"/>
          <w:szCs w:val="22"/>
        </w:rPr>
        <w:tab/>
        <w:t>PB ≤0,006% und KM ≤0,02%</w:t>
      </w:r>
    </w:p>
    <w:p w14:paraId="3CFDC174" w14:textId="77777777" w:rsidR="00466735" w:rsidRPr="00C5252D" w:rsidRDefault="00466735" w:rsidP="003C629B">
      <w:pPr>
        <w:pStyle w:val="Textkrper-Einzug2"/>
        <w:numPr>
          <w:ilvl w:val="0"/>
          <w:numId w:val="16"/>
        </w:numPr>
        <w:spacing w:after="0" w:line="276" w:lineRule="auto"/>
        <w:ind w:left="284" w:hanging="284"/>
        <w:jc w:val="both"/>
        <w:rPr>
          <w:rFonts w:asciiTheme="minorHAnsi" w:hAnsiTheme="minorHAnsi" w:cstheme="minorHAnsi"/>
          <w:szCs w:val="22"/>
        </w:rPr>
      </w:pPr>
      <w:r w:rsidRPr="006D3FAC">
        <w:rPr>
          <w:rFonts w:asciiTheme="minorHAnsi" w:hAnsiTheme="minorHAnsi" w:cstheme="minorHAnsi"/>
          <w:szCs w:val="22"/>
          <w:u w:val="single"/>
        </w:rPr>
        <w:t>warning 2:</w:t>
      </w:r>
      <w:r w:rsidRPr="00C5252D">
        <w:rPr>
          <w:rFonts w:asciiTheme="minorHAnsi" w:hAnsiTheme="minorHAnsi" w:cstheme="minorHAnsi"/>
          <w:szCs w:val="22"/>
        </w:rPr>
        <w:tab/>
      </w:r>
      <w:r>
        <w:rPr>
          <w:rFonts w:asciiTheme="minorHAnsi" w:hAnsiTheme="minorHAnsi" w:cstheme="minorHAnsi"/>
          <w:szCs w:val="22"/>
        </w:rPr>
        <w:t>NPM1+Translokationen</w:t>
      </w:r>
      <w:r w:rsidRPr="00C5252D">
        <w:rPr>
          <w:rFonts w:asciiTheme="minorHAnsi" w:hAnsiTheme="minorHAnsi" w:cstheme="minorHAnsi"/>
          <w:szCs w:val="22"/>
        </w:rPr>
        <w:t xml:space="preserve"> </w:t>
      </w:r>
      <w:r>
        <w:rPr>
          <w:rFonts w:asciiTheme="minorHAnsi" w:hAnsiTheme="minorHAnsi" w:cstheme="minorHAnsi"/>
          <w:szCs w:val="22"/>
        </w:rPr>
        <w:t xml:space="preserve">: </w:t>
      </w:r>
      <w:r w:rsidRPr="00C5252D">
        <w:rPr>
          <w:rFonts w:asciiTheme="minorHAnsi" w:hAnsiTheme="minorHAnsi" w:cstheme="minorHAnsi"/>
          <w:szCs w:val="22"/>
        </w:rPr>
        <w:t>PB negativ und KM &gt;3log Reduktion</w:t>
      </w:r>
    </w:p>
    <w:p w14:paraId="6DF35083" w14:textId="77777777" w:rsidR="00466735" w:rsidRPr="00C5252D" w:rsidRDefault="00466735" w:rsidP="006D3FAC">
      <w:pPr>
        <w:pStyle w:val="Textkrper-Einzug2"/>
        <w:spacing w:after="0" w:line="276" w:lineRule="auto"/>
        <w:ind w:left="992" w:firstLine="424"/>
        <w:jc w:val="both"/>
        <w:rPr>
          <w:rFonts w:asciiTheme="minorHAnsi" w:hAnsiTheme="minorHAnsi" w:cstheme="minorHAnsi"/>
          <w:szCs w:val="22"/>
        </w:rPr>
      </w:pPr>
      <w:r w:rsidRPr="00C5252D">
        <w:rPr>
          <w:rFonts w:asciiTheme="minorHAnsi" w:hAnsiTheme="minorHAnsi" w:cstheme="minorHAnsi"/>
          <w:szCs w:val="22"/>
        </w:rPr>
        <w:t>WT1:</w:t>
      </w:r>
      <w:r w:rsidRPr="00C5252D">
        <w:rPr>
          <w:rFonts w:asciiTheme="minorHAnsi" w:hAnsiTheme="minorHAnsi" w:cstheme="minorHAnsi"/>
          <w:szCs w:val="22"/>
        </w:rPr>
        <w:tab/>
        <w:t>PB ≤0,02% und/oder KM ≤0,1%</w:t>
      </w:r>
    </w:p>
    <w:p w14:paraId="2A649579" w14:textId="77777777" w:rsidR="00466735" w:rsidRPr="00C5252D" w:rsidRDefault="00466735" w:rsidP="003C629B">
      <w:pPr>
        <w:pStyle w:val="Textkrper-Einzug2"/>
        <w:numPr>
          <w:ilvl w:val="0"/>
          <w:numId w:val="16"/>
        </w:numPr>
        <w:spacing w:after="0" w:line="276" w:lineRule="auto"/>
        <w:ind w:left="284" w:hanging="284"/>
        <w:jc w:val="both"/>
        <w:rPr>
          <w:rFonts w:asciiTheme="minorHAnsi" w:hAnsiTheme="minorHAnsi" w:cstheme="minorHAnsi"/>
          <w:szCs w:val="22"/>
        </w:rPr>
      </w:pPr>
      <w:r w:rsidRPr="006D3FAC">
        <w:rPr>
          <w:rFonts w:asciiTheme="minorHAnsi" w:hAnsiTheme="minorHAnsi" w:cstheme="minorHAnsi"/>
          <w:szCs w:val="22"/>
          <w:u w:val="single"/>
        </w:rPr>
        <w:t>failure 2:</w:t>
      </w:r>
      <w:r w:rsidRPr="00C5252D">
        <w:rPr>
          <w:rFonts w:asciiTheme="minorHAnsi" w:hAnsiTheme="minorHAnsi" w:cstheme="minorHAnsi"/>
          <w:szCs w:val="22"/>
        </w:rPr>
        <w:tab/>
      </w:r>
      <w:r>
        <w:rPr>
          <w:rFonts w:asciiTheme="minorHAnsi" w:hAnsiTheme="minorHAnsi" w:cstheme="minorHAnsi"/>
          <w:szCs w:val="22"/>
        </w:rPr>
        <w:t>NPM1+Translokationen</w:t>
      </w:r>
      <w:r w:rsidRPr="00C5252D">
        <w:rPr>
          <w:rFonts w:asciiTheme="minorHAnsi" w:hAnsiTheme="minorHAnsi" w:cstheme="minorHAnsi"/>
          <w:szCs w:val="22"/>
        </w:rPr>
        <w:t xml:space="preserve"> </w:t>
      </w:r>
      <w:r>
        <w:rPr>
          <w:rFonts w:asciiTheme="minorHAnsi" w:hAnsiTheme="minorHAnsi" w:cstheme="minorHAnsi"/>
          <w:szCs w:val="22"/>
        </w:rPr>
        <w:t xml:space="preserve">: </w:t>
      </w:r>
      <w:r w:rsidRPr="00C5252D">
        <w:rPr>
          <w:rFonts w:asciiTheme="minorHAnsi" w:hAnsiTheme="minorHAnsi" w:cstheme="minorHAnsi"/>
          <w:szCs w:val="22"/>
        </w:rPr>
        <w:t>PB positiv und/oder KM &lt;3log Reduktion</w:t>
      </w:r>
    </w:p>
    <w:p w14:paraId="6FC6FB60" w14:textId="77777777" w:rsidR="006D3FAC" w:rsidRDefault="00466735" w:rsidP="006D3FAC">
      <w:pPr>
        <w:pStyle w:val="Textkrper-Einzug2"/>
        <w:spacing w:after="0" w:line="276" w:lineRule="auto"/>
        <w:ind w:left="992" w:firstLine="424"/>
        <w:jc w:val="both"/>
        <w:rPr>
          <w:rFonts w:asciiTheme="minorHAnsi" w:hAnsiTheme="minorHAnsi" w:cstheme="minorHAnsi"/>
          <w:szCs w:val="22"/>
        </w:rPr>
      </w:pPr>
      <w:r w:rsidRPr="00C5252D">
        <w:rPr>
          <w:rFonts w:asciiTheme="minorHAnsi" w:hAnsiTheme="minorHAnsi" w:cstheme="minorHAnsi"/>
          <w:szCs w:val="22"/>
        </w:rPr>
        <w:t>WT1:</w:t>
      </w:r>
      <w:r w:rsidRPr="00C5252D">
        <w:rPr>
          <w:rFonts w:asciiTheme="minorHAnsi" w:hAnsiTheme="minorHAnsi" w:cstheme="minorHAnsi"/>
          <w:szCs w:val="22"/>
        </w:rPr>
        <w:tab/>
        <w:t>PB &gt;0,02% und/oder KM &gt;0,1%</w:t>
      </w:r>
    </w:p>
    <w:p w14:paraId="3FA68976" w14:textId="77777777" w:rsidR="00E94351" w:rsidRDefault="00E94351" w:rsidP="00466735">
      <w:pPr>
        <w:pStyle w:val="Textkrper-Einzug2"/>
        <w:spacing w:after="0" w:line="276" w:lineRule="auto"/>
        <w:ind w:left="0"/>
        <w:jc w:val="both"/>
        <w:rPr>
          <w:rFonts w:asciiTheme="minorHAnsi" w:hAnsiTheme="minorHAnsi" w:cstheme="minorHAnsi"/>
          <w:b/>
          <w:szCs w:val="22"/>
          <w:u w:val="single"/>
        </w:rPr>
      </w:pPr>
    </w:p>
    <w:p w14:paraId="72F449CF" w14:textId="77777777" w:rsidR="00466735" w:rsidRPr="00E94351" w:rsidRDefault="00E94351" w:rsidP="00466735">
      <w:pPr>
        <w:pStyle w:val="Textkrper-Einzug2"/>
        <w:spacing w:after="0" w:line="276" w:lineRule="auto"/>
        <w:ind w:left="0"/>
        <w:jc w:val="both"/>
        <w:rPr>
          <w:rFonts w:asciiTheme="minorHAnsi" w:hAnsiTheme="minorHAnsi" w:cstheme="minorHAnsi"/>
          <w:b/>
          <w:szCs w:val="22"/>
          <w:u w:val="single"/>
        </w:rPr>
      </w:pPr>
      <w:r w:rsidRPr="00E94351">
        <w:rPr>
          <w:rFonts w:asciiTheme="minorHAnsi" w:hAnsiTheme="minorHAnsi" w:cstheme="minorHAnsi"/>
          <w:b/>
          <w:szCs w:val="22"/>
          <w:u w:val="single"/>
        </w:rPr>
        <w:t>Minimal Residual Disease (</w:t>
      </w:r>
      <w:r w:rsidR="006D3FAC" w:rsidRPr="00E94351">
        <w:rPr>
          <w:rFonts w:asciiTheme="minorHAnsi" w:hAnsiTheme="minorHAnsi" w:cstheme="minorHAnsi"/>
          <w:b/>
          <w:szCs w:val="22"/>
          <w:u w:val="single"/>
        </w:rPr>
        <w:t>MRD</w:t>
      </w:r>
      <w:r w:rsidRPr="00E94351">
        <w:rPr>
          <w:rFonts w:asciiTheme="minorHAnsi" w:hAnsiTheme="minorHAnsi" w:cstheme="minorHAnsi"/>
          <w:b/>
          <w:szCs w:val="22"/>
          <w:u w:val="single"/>
        </w:rPr>
        <w:t>)</w:t>
      </w:r>
    </w:p>
    <w:p w14:paraId="20C07127" w14:textId="77777777" w:rsidR="00E94351" w:rsidRPr="00C5252D" w:rsidRDefault="00E94351" w:rsidP="00466735">
      <w:pPr>
        <w:pStyle w:val="Textkrper-Einzug2"/>
        <w:spacing w:after="0" w:line="276" w:lineRule="auto"/>
        <w:ind w:left="0"/>
        <w:jc w:val="both"/>
        <w:rPr>
          <w:rFonts w:asciiTheme="minorHAnsi" w:hAnsiTheme="minorHAnsi" w:cstheme="minorHAnsi"/>
          <w:b/>
          <w:szCs w:val="22"/>
        </w:rPr>
      </w:pPr>
    </w:p>
    <w:p w14:paraId="11C1AED3" w14:textId="77777777" w:rsidR="00466735" w:rsidRPr="00E94351" w:rsidRDefault="00466735" w:rsidP="003C629B">
      <w:pPr>
        <w:pStyle w:val="Textkrper-Einzug2"/>
        <w:numPr>
          <w:ilvl w:val="0"/>
          <w:numId w:val="17"/>
        </w:numPr>
        <w:spacing w:after="0" w:line="276" w:lineRule="auto"/>
        <w:ind w:left="284" w:hanging="284"/>
        <w:jc w:val="both"/>
        <w:rPr>
          <w:rFonts w:asciiTheme="minorHAnsi" w:hAnsiTheme="minorHAnsi" w:cstheme="minorHAnsi"/>
          <w:b/>
          <w:szCs w:val="22"/>
        </w:rPr>
      </w:pPr>
      <w:r w:rsidRPr="00E94351">
        <w:rPr>
          <w:rFonts w:asciiTheme="minorHAnsi" w:hAnsiTheme="minorHAnsi" w:cstheme="minorHAnsi"/>
          <w:b/>
          <w:szCs w:val="22"/>
        </w:rPr>
        <w:t>Molekulare Remission (CR</w:t>
      </w:r>
      <w:r w:rsidRPr="00E94351">
        <w:rPr>
          <w:rFonts w:asciiTheme="minorHAnsi" w:hAnsiTheme="minorHAnsi" w:cstheme="minorHAnsi"/>
          <w:b/>
          <w:szCs w:val="22"/>
          <w:vertAlign w:val="subscript"/>
        </w:rPr>
        <w:t>MRD-</w:t>
      </w:r>
      <w:r w:rsidR="006D3FAC" w:rsidRPr="00E94351">
        <w:rPr>
          <w:rFonts w:asciiTheme="minorHAnsi" w:hAnsiTheme="minorHAnsi" w:cstheme="minorHAnsi"/>
          <w:b/>
          <w:szCs w:val="22"/>
        </w:rPr>
        <w:t>)</w:t>
      </w:r>
    </w:p>
    <w:p w14:paraId="4E5C9D55" w14:textId="77777777" w:rsidR="00466735" w:rsidRDefault="00466735" w:rsidP="00466735">
      <w:pPr>
        <w:pStyle w:val="Textkrper-Einzug2"/>
        <w:spacing w:after="0" w:line="276" w:lineRule="auto"/>
        <w:ind w:left="284"/>
        <w:jc w:val="both"/>
        <w:rPr>
          <w:rFonts w:asciiTheme="minorHAnsi" w:hAnsiTheme="minorHAnsi" w:cstheme="minorHAnsi"/>
          <w:szCs w:val="22"/>
        </w:rPr>
      </w:pPr>
      <w:r>
        <w:rPr>
          <w:rFonts w:asciiTheme="minorHAnsi" w:hAnsiTheme="minorHAnsi" w:cstheme="minorHAnsi"/>
          <w:szCs w:val="22"/>
        </w:rPr>
        <w:t xml:space="preserve">NPM1+Translokationen: </w:t>
      </w:r>
      <w:r w:rsidRPr="00C5252D">
        <w:rPr>
          <w:rFonts w:asciiTheme="minorHAnsi" w:hAnsiTheme="minorHAnsi" w:cstheme="minorHAnsi"/>
          <w:szCs w:val="22"/>
        </w:rPr>
        <w:t>Zwei aufeinanderfolgende MRD-negative Proben in ei</w:t>
      </w:r>
      <w:r>
        <w:rPr>
          <w:rFonts w:asciiTheme="minorHAnsi" w:hAnsiTheme="minorHAnsi" w:cstheme="minorHAnsi"/>
          <w:szCs w:val="22"/>
        </w:rPr>
        <w:t>nem Abstand von mind. 4 Wochen.</w:t>
      </w:r>
    </w:p>
    <w:p w14:paraId="520CA70F" w14:textId="77777777" w:rsidR="00466735" w:rsidRPr="0015789F" w:rsidRDefault="00466735" w:rsidP="00466735">
      <w:pPr>
        <w:pStyle w:val="Textkrper-Einzug2"/>
        <w:spacing w:after="0" w:line="276" w:lineRule="auto"/>
        <w:ind w:left="284"/>
        <w:jc w:val="both"/>
        <w:rPr>
          <w:rFonts w:asciiTheme="minorHAnsi" w:hAnsiTheme="minorHAnsi" w:cstheme="minorHAnsi"/>
          <w:szCs w:val="22"/>
        </w:rPr>
      </w:pPr>
      <w:r w:rsidRPr="0015789F">
        <w:rPr>
          <w:rFonts w:asciiTheme="minorHAnsi" w:hAnsiTheme="minorHAnsi" w:cstheme="minorHAnsi"/>
          <w:szCs w:val="22"/>
        </w:rPr>
        <w:t>WT1-Expression im Normbereich in zwei aufeinander folgenden Proben, Schwankungen &lt;1log sind zu vernachlässigen.</w:t>
      </w:r>
    </w:p>
    <w:p w14:paraId="4A71DAD7" w14:textId="77777777" w:rsidR="00466735" w:rsidRDefault="00466735" w:rsidP="00466735">
      <w:pPr>
        <w:pStyle w:val="Textkrper-Einzug2"/>
        <w:spacing w:after="0" w:line="276" w:lineRule="auto"/>
        <w:ind w:left="284"/>
        <w:jc w:val="both"/>
        <w:rPr>
          <w:rFonts w:asciiTheme="minorHAnsi" w:hAnsiTheme="minorHAnsi" w:cstheme="minorHAnsi"/>
          <w:szCs w:val="22"/>
        </w:rPr>
      </w:pPr>
      <w:r w:rsidRPr="006D3FAC">
        <w:rPr>
          <w:rFonts w:asciiTheme="minorHAnsi" w:hAnsiTheme="minorHAnsi" w:cstheme="minorHAnsi"/>
          <w:szCs w:val="22"/>
          <w:u w:val="single"/>
        </w:rPr>
        <w:t>Empfehlung:</w:t>
      </w:r>
      <w:r>
        <w:rPr>
          <w:rFonts w:asciiTheme="minorHAnsi" w:hAnsiTheme="minorHAnsi" w:cstheme="minorHAnsi"/>
          <w:szCs w:val="22"/>
        </w:rPr>
        <w:t xml:space="preserve"> </w:t>
      </w:r>
      <w:r w:rsidRPr="00C5252D">
        <w:rPr>
          <w:rFonts w:asciiTheme="minorHAnsi" w:hAnsiTheme="minorHAnsi" w:cstheme="minorHAnsi"/>
          <w:szCs w:val="22"/>
        </w:rPr>
        <w:t>PB+KM alle 3 Monate für 2 Jahre; Ausnahme APL: bei Erreichen der CR</w:t>
      </w:r>
      <w:r w:rsidRPr="00C5252D">
        <w:rPr>
          <w:rFonts w:asciiTheme="minorHAnsi" w:hAnsiTheme="minorHAnsi" w:cstheme="minorHAnsi"/>
          <w:szCs w:val="22"/>
          <w:vertAlign w:val="subscript"/>
        </w:rPr>
        <w:t xml:space="preserve">MRD- </w:t>
      </w:r>
      <w:r w:rsidRPr="00C5252D">
        <w:rPr>
          <w:rFonts w:asciiTheme="minorHAnsi" w:hAnsiTheme="minorHAnsi" w:cstheme="minorHAnsi"/>
          <w:szCs w:val="22"/>
        </w:rPr>
        <w:t>kann das Monitoring beendet werden.</w:t>
      </w:r>
    </w:p>
    <w:p w14:paraId="0CE555A2" w14:textId="77777777" w:rsidR="006D3FAC" w:rsidRPr="00C5252D" w:rsidRDefault="006D3FAC" w:rsidP="00466735">
      <w:pPr>
        <w:pStyle w:val="Textkrper-Einzug2"/>
        <w:spacing w:after="0" w:line="276" w:lineRule="auto"/>
        <w:ind w:left="284"/>
        <w:jc w:val="both"/>
        <w:rPr>
          <w:rFonts w:asciiTheme="minorHAnsi" w:hAnsiTheme="minorHAnsi" w:cstheme="minorHAnsi"/>
          <w:szCs w:val="22"/>
        </w:rPr>
      </w:pPr>
    </w:p>
    <w:p w14:paraId="5512CE10" w14:textId="77777777" w:rsidR="00466735" w:rsidRPr="00E94351" w:rsidRDefault="006D3FAC" w:rsidP="003C629B">
      <w:pPr>
        <w:pStyle w:val="Textkrper-Einzug2"/>
        <w:numPr>
          <w:ilvl w:val="0"/>
          <w:numId w:val="17"/>
        </w:numPr>
        <w:spacing w:after="0" w:line="276" w:lineRule="auto"/>
        <w:ind w:left="284" w:hanging="284"/>
        <w:jc w:val="both"/>
        <w:rPr>
          <w:rFonts w:asciiTheme="minorHAnsi" w:hAnsiTheme="minorHAnsi" w:cstheme="minorHAnsi"/>
          <w:b/>
          <w:szCs w:val="22"/>
        </w:rPr>
      </w:pPr>
      <w:r w:rsidRPr="00E94351">
        <w:rPr>
          <w:rFonts w:asciiTheme="minorHAnsi" w:hAnsiTheme="minorHAnsi" w:cstheme="minorHAnsi"/>
          <w:b/>
          <w:szCs w:val="22"/>
        </w:rPr>
        <w:t>Molekulare Persistenz</w:t>
      </w:r>
    </w:p>
    <w:p w14:paraId="4D782E14" w14:textId="77777777" w:rsidR="00466735" w:rsidRDefault="00466735" w:rsidP="00466735">
      <w:pPr>
        <w:pStyle w:val="Textkrper-Einzug2"/>
        <w:spacing w:after="0" w:line="276" w:lineRule="auto"/>
        <w:ind w:left="284"/>
        <w:jc w:val="both"/>
        <w:rPr>
          <w:rFonts w:asciiTheme="minorHAnsi" w:hAnsiTheme="minorHAnsi" w:cstheme="minorHAnsi"/>
          <w:szCs w:val="22"/>
        </w:rPr>
      </w:pPr>
      <w:r>
        <w:rPr>
          <w:rFonts w:asciiTheme="minorHAnsi" w:hAnsiTheme="minorHAnsi" w:cstheme="minorHAnsi"/>
          <w:szCs w:val="22"/>
        </w:rPr>
        <w:t xml:space="preserve">NPM1+Translokationen: </w:t>
      </w:r>
      <w:r w:rsidRPr="00C5252D">
        <w:rPr>
          <w:rFonts w:asciiTheme="minorHAnsi" w:hAnsiTheme="minorHAnsi" w:cstheme="minorHAnsi"/>
          <w:szCs w:val="22"/>
        </w:rPr>
        <w:t>Morphologische CR UND</w:t>
      </w:r>
      <w:r>
        <w:rPr>
          <w:rFonts w:asciiTheme="minorHAnsi" w:hAnsiTheme="minorHAnsi" w:cstheme="minorHAnsi"/>
          <w:szCs w:val="22"/>
        </w:rPr>
        <w:t xml:space="preserve"> kontinuierliche geringe Positivität oder</w:t>
      </w:r>
      <w:r w:rsidRPr="00C5252D">
        <w:rPr>
          <w:rFonts w:asciiTheme="minorHAnsi" w:hAnsiTheme="minorHAnsi" w:cstheme="minorHAnsi"/>
          <w:szCs w:val="22"/>
        </w:rPr>
        <w:t xml:space="preserve"> Anstieg &lt;1log.</w:t>
      </w:r>
    </w:p>
    <w:p w14:paraId="168C8F2F" w14:textId="77777777" w:rsidR="00466735" w:rsidRPr="00C5252D" w:rsidRDefault="00466735" w:rsidP="00466735">
      <w:pPr>
        <w:pStyle w:val="Textkrper-Einzug2"/>
        <w:spacing w:after="0" w:line="276" w:lineRule="auto"/>
        <w:ind w:left="284"/>
        <w:jc w:val="both"/>
        <w:rPr>
          <w:rFonts w:asciiTheme="minorHAnsi" w:hAnsiTheme="minorHAnsi" w:cstheme="minorHAnsi"/>
          <w:szCs w:val="22"/>
        </w:rPr>
      </w:pPr>
      <w:r>
        <w:rPr>
          <w:rFonts w:asciiTheme="minorHAnsi" w:hAnsiTheme="minorHAnsi" w:cstheme="minorHAnsi"/>
          <w:szCs w:val="22"/>
        </w:rPr>
        <w:t>WT1 kontinuierliche Überexpression oder Anstieg &lt;1log</w:t>
      </w:r>
    </w:p>
    <w:p w14:paraId="295DB05A" w14:textId="77777777" w:rsidR="00466735" w:rsidRPr="00C5252D" w:rsidRDefault="00466735" w:rsidP="00466735">
      <w:pPr>
        <w:pStyle w:val="Textkrper-Einzug2"/>
        <w:spacing w:after="0" w:line="276" w:lineRule="auto"/>
        <w:ind w:left="284"/>
        <w:jc w:val="both"/>
        <w:rPr>
          <w:rFonts w:asciiTheme="minorHAnsi" w:hAnsiTheme="minorHAnsi" w:cstheme="minorHAnsi"/>
          <w:szCs w:val="22"/>
        </w:rPr>
      </w:pPr>
      <w:r w:rsidRPr="006D3FAC">
        <w:rPr>
          <w:rFonts w:asciiTheme="minorHAnsi" w:hAnsiTheme="minorHAnsi" w:cstheme="minorHAnsi"/>
          <w:szCs w:val="22"/>
          <w:u w:val="single"/>
        </w:rPr>
        <w:t>Empfehlung:</w:t>
      </w:r>
      <w:r>
        <w:rPr>
          <w:rFonts w:asciiTheme="minorHAnsi" w:hAnsiTheme="minorHAnsi" w:cstheme="minorHAnsi"/>
          <w:szCs w:val="22"/>
        </w:rPr>
        <w:t xml:space="preserve"> </w:t>
      </w:r>
      <w:r w:rsidRPr="00C5252D">
        <w:rPr>
          <w:rFonts w:asciiTheme="minorHAnsi" w:hAnsiTheme="minorHAnsi" w:cstheme="minorHAnsi"/>
          <w:szCs w:val="22"/>
        </w:rPr>
        <w:t>PB+KM alle 4 Wochen für mind. 3 Monate; bei stabiler MRD kann auf den 3-Monatsintervall gewechselt werden.</w:t>
      </w:r>
    </w:p>
    <w:p w14:paraId="0A4341F8" w14:textId="77777777" w:rsidR="006D3FAC" w:rsidRDefault="006D3FAC" w:rsidP="006D3FAC">
      <w:pPr>
        <w:pStyle w:val="Textkrper-Einzug2"/>
        <w:spacing w:after="0" w:line="276" w:lineRule="auto"/>
        <w:ind w:left="284"/>
        <w:jc w:val="both"/>
        <w:rPr>
          <w:rFonts w:asciiTheme="minorHAnsi" w:hAnsiTheme="minorHAnsi" w:cstheme="minorHAnsi"/>
          <w:szCs w:val="22"/>
        </w:rPr>
      </w:pPr>
    </w:p>
    <w:p w14:paraId="51466F54" w14:textId="77777777" w:rsidR="00466735" w:rsidRPr="006D3FAC" w:rsidRDefault="006D3FAC" w:rsidP="003C629B">
      <w:pPr>
        <w:pStyle w:val="Textkrper-Einzug2"/>
        <w:numPr>
          <w:ilvl w:val="0"/>
          <w:numId w:val="17"/>
        </w:numPr>
        <w:spacing w:after="0" w:line="276" w:lineRule="auto"/>
        <w:ind w:left="284" w:hanging="284"/>
        <w:jc w:val="both"/>
        <w:rPr>
          <w:rFonts w:asciiTheme="minorHAnsi" w:hAnsiTheme="minorHAnsi" w:cstheme="minorHAnsi"/>
          <w:b/>
          <w:szCs w:val="22"/>
        </w:rPr>
      </w:pPr>
      <w:r>
        <w:rPr>
          <w:rFonts w:asciiTheme="minorHAnsi" w:hAnsiTheme="minorHAnsi" w:cstheme="minorHAnsi"/>
          <w:b/>
          <w:szCs w:val="22"/>
        </w:rPr>
        <w:t>Molekulare Progression</w:t>
      </w:r>
    </w:p>
    <w:p w14:paraId="1629D81D" w14:textId="77777777" w:rsidR="00466735" w:rsidRPr="00C5252D" w:rsidRDefault="00466735" w:rsidP="00466735">
      <w:pPr>
        <w:pStyle w:val="Textkrper-Einzug2"/>
        <w:spacing w:after="0" w:line="276" w:lineRule="auto"/>
        <w:ind w:left="284"/>
        <w:jc w:val="both"/>
        <w:rPr>
          <w:rFonts w:asciiTheme="minorHAnsi" w:hAnsiTheme="minorHAnsi" w:cstheme="minorHAnsi"/>
          <w:szCs w:val="22"/>
        </w:rPr>
      </w:pPr>
      <w:r w:rsidRPr="00C5252D">
        <w:rPr>
          <w:rFonts w:asciiTheme="minorHAnsi" w:hAnsiTheme="minorHAnsi" w:cstheme="minorHAnsi"/>
          <w:szCs w:val="22"/>
        </w:rPr>
        <w:t>Anstieg um &gt;1log bei Pati</w:t>
      </w:r>
      <w:r>
        <w:rPr>
          <w:rFonts w:asciiTheme="minorHAnsi" w:hAnsiTheme="minorHAnsi" w:cstheme="minorHAnsi"/>
          <w:szCs w:val="22"/>
        </w:rPr>
        <w:t>enten in molekularer Persistenz, gilt auch für WT1.</w:t>
      </w:r>
    </w:p>
    <w:p w14:paraId="5E5487E8" w14:textId="77777777" w:rsidR="00466735" w:rsidRDefault="00466735" w:rsidP="00466735">
      <w:pPr>
        <w:pStyle w:val="Textkrper-Einzug2"/>
        <w:spacing w:after="0" w:line="276" w:lineRule="auto"/>
        <w:ind w:left="284"/>
        <w:jc w:val="both"/>
        <w:rPr>
          <w:rFonts w:asciiTheme="minorHAnsi" w:hAnsiTheme="minorHAnsi" w:cstheme="minorHAnsi"/>
          <w:szCs w:val="22"/>
        </w:rPr>
      </w:pPr>
      <w:r w:rsidRPr="006D3FAC">
        <w:rPr>
          <w:rFonts w:asciiTheme="minorHAnsi" w:hAnsiTheme="minorHAnsi" w:cstheme="minorHAnsi"/>
          <w:szCs w:val="22"/>
          <w:u w:val="single"/>
        </w:rPr>
        <w:t>Empfehlung:</w:t>
      </w:r>
      <w:r>
        <w:rPr>
          <w:rFonts w:asciiTheme="minorHAnsi" w:hAnsiTheme="minorHAnsi" w:cstheme="minorHAnsi"/>
          <w:szCs w:val="22"/>
        </w:rPr>
        <w:t xml:space="preserve"> </w:t>
      </w:r>
      <w:r w:rsidR="006D3FAC">
        <w:rPr>
          <w:rFonts w:asciiTheme="minorHAnsi" w:hAnsiTheme="minorHAnsi" w:cstheme="minorHAnsi"/>
          <w:szCs w:val="22"/>
        </w:rPr>
        <w:t>PB+KM monatlich</w:t>
      </w:r>
    </w:p>
    <w:p w14:paraId="6BEEB209" w14:textId="77777777" w:rsidR="006D3FAC" w:rsidRPr="00C5252D" w:rsidRDefault="006D3FAC" w:rsidP="00466735">
      <w:pPr>
        <w:pStyle w:val="Textkrper-Einzug2"/>
        <w:spacing w:after="0" w:line="276" w:lineRule="auto"/>
        <w:ind w:left="284"/>
        <w:jc w:val="both"/>
        <w:rPr>
          <w:rFonts w:asciiTheme="minorHAnsi" w:hAnsiTheme="minorHAnsi" w:cstheme="minorHAnsi"/>
          <w:szCs w:val="22"/>
        </w:rPr>
      </w:pPr>
    </w:p>
    <w:p w14:paraId="3F30EC8B" w14:textId="77777777" w:rsidR="00466735" w:rsidRPr="006D3FAC" w:rsidRDefault="00466735" w:rsidP="003C629B">
      <w:pPr>
        <w:pStyle w:val="Textkrper-Einzug2"/>
        <w:numPr>
          <w:ilvl w:val="0"/>
          <w:numId w:val="17"/>
        </w:numPr>
        <w:spacing w:after="0" w:line="276" w:lineRule="auto"/>
        <w:ind w:left="284" w:hanging="284"/>
        <w:jc w:val="both"/>
        <w:rPr>
          <w:rFonts w:asciiTheme="minorHAnsi" w:hAnsiTheme="minorHAnsi" w:cstheme="minorHAnsi"/>
          <w:b/>
          <w:szCs w:val="22"/>
        </w:rPr>
      </w:pPr>
      <w:r w:rsidRPr="006D3FAC">
        <w:rPr>
          <w:rFonts w:asciiTheme="minorHAnsi" w:hAnsiTheme="minorHAnsi" w:cstheme="minorHAnsi"/>
          <w:b/>
          <w:szCs w:val="22"/>
        </w:rPr>
        <w:t>Molek</w:t>
      </w:r>
      <w:r w:rsidR="006D3FAC" w:rsidRPr="006D3FAC">
        <w:rPr>
          <w:rFonts w:asciiTheme="minorHAnsi" w:hAnsiTheme="minorHAnsi" w:cstheme="minorHAnsi"/>
          <w:b/>
          <w:szCs w:val="22"/>
        </w:rPr>
        <w:t>ulares Rezidiv</w:t>
      </w:r>
    </w:p>
    <w:p w14:paraId="52EF7247" w14:textId="77777777" w:rsidR="00466735" w:rsidRDefault="00466735" w:rsidP="00466735">
      <w:pPr>
        <w:pStyle w:val="Textkrper-Einzug2"/>
        <w:spacing w:after="0" w:line="276" w:lineRule="auto"/>
        <w:ind w:left="284"/>
        <w:jc w:val="both"/>
        <w:rPr>
          <w:rFonts w:asciiTheme="minorHAnsi" w:hAnsiTheme="minorHAnsi" w:cstheme="minorHAnsi"/>
          <w:szCs w:val="22"/>
        </w:rPr>
      </w:pPr>
      <w:r>
        <w:rPr>
          <w:rFonts w:asciiTheme="minorHAnsi" w:hAnsiTheme="minorHAnsi" w:cstheme="minorHAnsi"/>
          <w:szCs w:val="22"/>
        </w:rPr>
        <w:t>NPM1+Translokationen: positives Ergebnis</w:t>
      </w:r>
      <w:r w:rsidRPr="00C5252D">
        <w:rPr>
          <w:rFonts w:asciiTheme="minorHAnsi" w:hAnsiTheme="minorHAnsi" w:cstheme="minorHAnsi"/>
          <w:szCs w:val="22"/>
        </w:rPr>
        <w:t xml:space="preserve"> in zwei aufeinanderfolgenden Proben in einem Abstand von mind. 4 Wochen bei zuvor MRD-negativen Patienten.</w:t>
      </w:r>
    </w:p>
    <w:p w14:paraId="46FFE935" w14:textId="77777777" w:rsidR="00466735" w:rsidRDefault="00466735" w:rsidP="00466735">
      <w:pPr>
        <w:pStyle w:val="Textkrper-Einzug2"/>
        <w:spacing w:after="0" w:line="276" w:lineRule="auto"/>
        <w:ind w:left="284"/>
        <w:jc w:val="both"/>
        <w:rPr>
          <w:rFonts w:asciiTheme="minorHAnsi" w:hAnsiTheme="minorHAnsi" w:cstheme="minorHAnsi"/>
          <w:szCs w:val="22"/>
        </w:rPr>
      </w:pPr>
      <w:r>
        <w:rPr>
          <w:rFonts w:asciiTheme="minorHAnsi" w:hAnsiTheme="minorHAnsi" w:cstheme="minorHAnsi"/>
          <w:szCs w:val="22"/>
        </w:rPr>
        <w:t>WT1 Überexpression oder Anstieg um &gt;1log in zwei aufeinanderfolgenden Proben in einem Abstand von mind. 4 Wochen bei zuvor normaler Expression.</w:t>
      </w:r>
    </w:p>
    <w:p w14:paraId="62A260CE" w14:textId="77777777" w:rsidR="00466735" w:rsidRPr="00C5252D" w:rsidRDefault="00466735" w:rsidP="00466735">
      <w:pPr>
        <w:pStyle w:val="Textkrper-Einzug2"/>
        <w:spacing w:after="0" w:line="276" w:lineRule="auto"/>
        <w:ind w:left="284"/>
        <w:jc w:val="both"/>
        <w:rPr>
          <w:rFonts w:asciiTheme="minorHAnsi" w:hAnsiTheme="minorHAnsi" w:cstheme="minorHAnsi"/>
          <w:szCs w:val="22"/>
        </w:rPr>
      </w:pPr>
      <w:r>
        <w:rPr>
          <w:rFonts w:asciiTheme="minorHAnsi" w:hAnsiTheme="minorHAnsi" w:cstheme="minorHAnsi"/>
          <w:szCs w:val="22"/>
        </w:rPr>
        <w:t>Befundung der ersten Probe als „Verdacht auf molekulares Rezidiv“, muss durch die zweite Probe bestätigt werden.</w:t>
      </w:r>
    </w:p>
    <w:p w14:paraId="0A68B4C7" w14:textId="77777777" w:rsidR="00466735" w:rsidRPr="008E7CA7" w:rsidRDefault="00466735" w:rsidP="00E94351">
      <w:pPr>
        <w:pStyle w:val="Textkrper-Einzug2"/>
        <w:spacing w:after="0" w:line="276" w:lineRule="auto"/>
        <w:ind w:left="284"/>
        <w:jc w:val="both"/>
        <w:rPr>
          <w:rFonts w:asciiTheme="minorHAnsi" w:hAnsiTheme="minorHAnsi" w:cstheme="minorHAnsi"/>
          <w:szCs w:val="22"/>
        </w:rPr>
      </w:pPr>
      <w:r w:rsidRPr="006D3FAC">
        <w:rPr>
          <w:rFonts w:asciiTheme="minorHAnsi" w:hAnsiTheme="minorHAnsi" w:cstheme="minorHAnsi"/>
          <w:szCs w:val="22"/>
          <w:u w:val="single"/>
        </w:rPr>
        <w:t>Empfehlung:</w:t>
      </w:r>
      <w:r>
        <w:rPr>
          <w:rFonts w:asciiTheme="minorHAnsi" w:hAnsiTheme="minorHAnsi" w:cstheme="minorHAnsi"/>
          <w:szCs w:val="22"/>
        </w:rPr>
        <w:t xml:space="preserve"> </w:t>
      </w:r>
      <w:r w:rsidRPr="00C5252D">
        <w:rPr>
          <w:rFonts w:asciiTheme="minorHAnsi" w:hAnsiTheme="minorHAnsi" w:cstheme="minorHAnsi"/>
          <w:szCs w:val="22"/>
        </w:rPr>
        <w:t>PB+K</w:t>
      </w:r>
      <w:r w:rsidR="006D3FAC">
        <w:rPr>
          <w:rFonts w:asciiTheme="minorHAnsi" w:hAnsiTheme="minorHAnsi" w:cstheme="minorHAnsi"/>
          <w:szCs w:val="22"/>
        </w:rPr>
        <w:t>M je nach klinischer Indikation</w:t>
      </w:r>
    </w:p>
    <w:p w14:paraId="6DEBE605" w14:textId="77777777" w:rsidR="004B2BC0" w:rsidRDefault="004B2BC0">
      <w:pPr>
        <w:spacing w:line="240" w:lineRule="auto"/>
        <w:jc w:val="left"/>
        <w:rPr>
          <w:rFonts w:asciiTheme="minorHAnsi" w:hAnsiTheme="minorHAnsi" w:cstheme="minorHAnsi"/>
          <w:szCs w:val="22"/>
          <w:lang w:eastAsia="de-AT"/>
        </w:rPr>
      </w:pPr>
      <w:r>
        <w:rPr>
          <w:rFonts w:asciiTheme="minorHAnsi" w:hAnsiTheme="minorHAnsi" w:cstheme="minorHAnsi"/>
          <w:szCs w:val="22"/>
          <w:lang w:eastAsia="de-AT"/>
        </w:rPr>
        <w:br w:type="page"/>
      </w:r>
    </w:p>
    <w:p w14:paraId="0DE442B5" w14:textId="77777777" w:rsidR="00ED656A" w:rsidRPr="00E94351" w:rsidRDefault="00466735" w:rsidP="00E94351">
      <w:pPr>
        <w:pStyle w:val="berschrift2"/>
        <w:numPr>
          <w:ilvl w:val="0"/>
          <w:numId w:val="0"/>
        </w:numPr>
        <w:rPr>
          <w:lang w:val="de-DE"/>
        </w:rPr>
      </w:pPr>
      <w:bookmarkStart w:id="70" w:name="_Toc63667685"/>
      <w:r w:rsidRPr="00E94351">
        <w:rPr>
          <w:lang w:val="de-DE"/>
        </w:rPr>
        <w:lastRenderedPageBreak/>
        <w:t>5</w:t>
      </w:r>
      <w:r w:rsidR="002B19F5" w:rsidRPr="00E94351">
        <w:rPr>
          <w:lang w:val="de-DE"/>
        </w:rPr>
        <w:t>.2</w:t>
      </w:r>
      <w:r w:rsidR="002B19F5" w:rsidRPr="00E94351">
        <w:rPr>
          <w:lang w:val="de-DE"/>
        </w:rPr>
        <w:tab/>
      </w:r>
      <w:r w:rsidR="00ED656A" w:rsidRPr="00E94351">
        <w:rPr>
          <w:lang w:val="de-DE"/>
        </w:rPr>
        <w:t>ELN response criteria</w:t>
      </w:r>
      <w:bookmarkEnd w:id="64"/>
      <w:bookmarkEnd w:id="65"/>
      <w:bookmarkEnd w:id="66"/>
      <w:bookmarkEnd w:id="67"/>
      <w:bookmarkEnd w:id="70"/>
      <w:r w:rsidR="00ED656A" w:rsidRPr="00E94351">
        <w:rPr>
          <w:lang w:val="de-DE"/>
        </w:rPr>
        <w:t xml:space="preserve"> </w:t>
      </w:r>
    </w:p>
    <w:p w14:paraId="08DFDB05" w14:textId="77777777" w:rsidR="006A5AB8" w:rsidRPr="006A5AB8" w:rsidRDefault="006A5AB8" w:rsidP="006A5AB8">
      <w:pPr>
        <w:rPr>
          <w:lang w:val="en-US"/>
        </w:rPr>
      </w:pPr>
    </w:p>
    <w:tbl>
      <w:tblPr>
        <w:tblStyle w:val="Tabellenraster"/>
        <w:tblW w:w="0" w:type="auto"/>
        <w:tblLook w:val="04A0" w:firstRow="1" w:lastRow="0" w:firstColumn="1" w:lastColumn="0" w:noHBand="0" w:noVBand="1"/>
      </w:tblPr>
      <w:tblGrid>
        <w:gridCol w:w="9487"/>
      </w:tblGrid>
      <w:tr w:rsidR="006A5AB8" w14:paraId="255CFB10" w14:textId="77777777" w:rsidTr="006A5AB8">
        <w:tc>
          <w:tcPr>
            <w:tcW w:w="9637" w:type="dxa"/>
          </w:tcPr>
          <w:p w14:paraId="0EE20A50" w14:textId="77777777" w:rsidR="006A5AB8" w:rsidRDefault="006A5AB8" w:rsidP="002B19F5">
            <w:pPr>
              <w:rPr>
                <w:lang w:val="en-US"/>
              </w:rPr>
            </w:pPr>
            <w:r>
              <w:rPr>
                <w:noProof/>
                <w:lang w:eastAsia="de-AT"/>
              </w:rPr>
              <w:drawing>
                <wp:inline distT="0" distB="0" distL="0" distR="0" wp14:anchorId="13EE6109" wp14:editId="3B0D5F07">
                  <wp:extent cx="5986462" cy="39624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9309" t="23414" r="20972" b="6316"/>
                          <a:stretch/>
                        </pic:blipFill>
                        <pic:spPr bwMode="auto">
                          <a:xfrm>
                            <a:off x="0" y="0"/>
                            <a:ext cx="5987928" cy="3963370"/>
                          </a:xfrm>
                          <a:prstGeom prst="rect">
                            <a:avLst/>
                          </a:prstGeom>
                          <a:ln>
                            <a:noFill/>
                          </a:ln>
                          <a:extLst>
                            <a:ext uri="{53640926-AAD7-44D8-BBD7-CCE9431645EC}">
                              <a14:shadowObscured xmlns:a14="http://schemas.microsoft.com/office/drawing/2010/main"/>
                            </a:ext>
                          </a:extLst>
                        </pic:spPr>
                      </pic:pic>
                    </a:graphicData>
                  </a:graphic>
                </wp:inline>
              </w:drawing>
            </w:r>
          </w:p>
          <w:p w14:paraId="10B25B15" w14:textId="77777777" w:rsidR="006A5AB8" w:rsidRDefault="006A5AB8" w:rsidP="002B19F5">
            <w:pPr>
              <w:rPr>
                <w:lang w:val="en-US"/>
              </w:rPr>
            </w:pPr>
            <w:r>
              <w:rPr>
                <w:noProof/>
                <w:lang w:eastAsia="de-AT"/>
              </w:rPr>
              <w:drawing>
                <wp:inline distT="0" distB="0" distL="0" distR="0" wp14:anchorId="0B035155" wp14:editId="1953EFCA">
                  <wp:extent cx="5977695" cy="3002280"/>
                  <wp:effectExtent l="0" t="0" r="4445" b="762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9565" t="30463" r="21100" b="16559"/>
                          <a:stretch/>
                        </pic:blipFill>
                        <pic:spPr bwMode="auto">
                          <a:xfrm>
                            <a:off x="0" y="0"/>
                            <a:ext cx="5987561" cy="300723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B1864C2" w14:textId="77777777" w:rsidR="002B19F5" w:rsidRPr="00F2548D" w:rsidRDefault="002B19F5" w:rsidP="002B19F5">
      <w:pPr>
        <w:rPr>
          <w:lang w:val="en-US"/>
        </w:rPr>
      </w:pPr>
    </w:p>
    <w:p w14:paraId="71DE5F68" w14:textId="77777777" w:rsidR="00ED656A" w:rsidRDefault="00ED656A" w:rsidP="00ED656A">
      <w:pPr>
        <w:jc w:val="left"/>
        <w:rPr>
          <w:sz w:val="36"/>
          <w:szCs w:val="36"/>
        </w:rPr>
      </w:pPr>
    </w:p>
    <w:p w14:paraId="7AFF1F93" w14:textId="77777777" w:rsidR="00ED656A" w:rsidRDefault="00ED656A" w:rsidP="00ED656A">
      <w:pPr>
        <w:jc w:val="left"/>
        <w:rPr>
          <w:sz w:val="10"/>
          <w:szCs w:val="10"/>
        </w:rPr>
      </w:pPr>
    </w:p>
    <w:p w14:paraId="286B41EA" w14:textId="77777777" w:rsidR="00ED656A" w:rsidRDefault="00ED656A" w:rsidP="00ED656A">
      <w:pPr>
        <w:jc w:val="left"/>
      </w:pPr>
    </w:p>
    <w:p w14:paraId="35CC7D0F" w14:textId="77777777" w:rsidR="002B19F5" w:rsidRDefault="002B19F5" w:rsidP="00ED656A">
      <w:pPr>
        <w:jc w:val="left"/>
      </w:pPr>
    </w:p>
    <w:p w14:paraId="00E67422" w14:textId="77777777" w:rsidR="006D4DAC" w:rsidRPr="00E344D4" w:rsidRDefault="006D4DAC" w:rsidP="007F3064">
      <w:pPr>
        <w:pStyle w:val="berschrift1"/>
      </w:pPr>
      <w:bookmarkStart w:id="71" w:name="_Toc63667686"/>
      <w:r w:rsidRPr="00E344D4">
        <w:lastRenderedPageBreak/>
        <w:t>6</w:t>
      </w:r>
      <w:r w:rsidRPr="00E344D4">
        <w:tab/>
        <w:t>Dokumentation und Qualitätsparameter</w:t>
      </w:r>
      <w:bookmarkEnd w:id="68"/>
      <w:bookmarkEnd w:id="69"/>
      <w:bookmarkEnd w:id="71"/>
    </w:p>
    <w:p w14:paraId="2401DB00" w14:textId="77777777" w:rsidR="007F3064" w:rsidRPr="009253FD" w:rsidRDefault="009253FD" w:rsidP="007F3064">
      <w:pPr>
        <w:pStyle w:val="Textkrper-Einzug2"/>
        <w:spacing w:line="276" w:lineRule="auto"/>
        <w:ind w:left="0"/>
        <w:jc w:val="both"/>
        <w:rPr>
          <w:rFonts w:asciiTheme="minorHAnsi" w:hAnsiTheme="minorHAnsi" w:cstheme="minorHAnsi"/>
          <w:b/>
          <w:szCs w:val="22"/>
        </w:rPr>
      </w:pPr>
      <w:r w:rsidRPr="009253FD">
        <w:rPr>
          <w:rFonts w:asciiTheme="minorHAnsi" w:hAnsiTheme="minorHAnsi" w:cstheme="minorHAnsi"/>
          <w:b/>
          <w:szCs w:val="22"/>
        </w:rPr>
        <w:t xml:space="preserve">Dokumentation </w:t>
      </w:r>
      <w:r>
        <w:rPr>
          <w:rFonts w:asciiTheme="minorHAnsi" w:hAnsiTheme="minorHAnsi" w:cstheme="minorHAnsi"/>
          <w:b/>
          <w:szCs w:val="22"/>
        </w:rPr>
        <w:t>und Auswertung über</w:t>
      </w:r>
      <w:r w:rsidRPr="009253FD">
        <w:rPr>
          <w:rFonts w:asciiTheme="minorHAnsi" w:hAnsiTheme="minorHAnsi" w:cstheme="minorHAnsi"/>
          <w:b/>
          <w:szCs w:val="22"/>
        </w:rPr>
        <w:t xml:space="preserve"> </w:t>
      </w:r>
      <w:r w:rsidR="00325248">
        <w:rPr>
          <w:rFonts w:asciiTheme="minorHAnsi" w:hAnsiTheme="minorHAnsi" w:cstheme="minorHAnsi"/>
          <w:b/>
          <w:szCs w:val="22"/>
        </w:rPr>
        <w:t>AML-Datenbank</w:t>
      </w:r>
    </w:p>
    <w:p w14:paraId="763B4DA3" w14:textId="77777777" w:rsidR="006A5AB8" w:rsidRPr="00FA0D8B" w:rsidRDefault="006A5AB8" w:rsidP="003C629B">
      <w:pPr>
        <w:numPr>
          <w:ilvl w:val="0"/>
          <w:numId w:val="13"/>
        </w:numPr>
        <w:tabs>
          <w:tab w:val="clear" w:pos="720"/>
          <w:tab w:val="num" w:pos="284"/>
        </w:tabs>
        <w:spacing w:line="276" w:lineRule="auto"/>
        <w:ind w:left="284" w:hanging="284"/>
        <w:jc w:val="both"/>
        <w:rPr>
          <w:rFonts w:asciiTheme="minorHAnsi" w:hAnsiTheme="minorHAnsi" w:cstheme="minorHAnsi"/>
          <w:szCs w:val="22"/>
          <w:lang w:val="en-GB"/>
        </w:rPr>
      </w:pPr>
      <w:r w:rsidRPr="00FA0D8B">
        <w:rPr>
          <w:rFonts w:asciiTheme="minorHAnsi" w:hAnsiTheme="minorHAnsi" w:cstheme="minorHAnsi"/>
          <w:szCs w:val="22"/>
          <w:lang w:val="en-GB"/>
        </w:rPr>
        <w:t>CR-Rate</w:t>
      </w:r>
      <w:r>
        <w:rPr>
          <w:rFonts w:asciiTheme="minorHAnsi" w:hAnsiTheme="minorHAnsi" w:cstheme="minorHAnsi"/>
          <w:szCs w:val="22"/>
          <w:lang w:val="en-GB"/>
        </w:rPr>
        <w:t>,</w:t>
      </w:r>
      <w:r w:rsidRPr="00FA0D8B">
        <w:rPr>
          <w:rFonts w:asciiTheme="minorHAnsi" w:hAnsiTheme="minorHAnsi" w:cstheme="minorHAnsi"/>
          <w:szCs w:val="22"/>
          <w:lang w:val="en-GB"/>
        </w:rPr>
        <w:t xml:space="preserve"> </w:t>
      </w:r>
      <w:r>
        <w:rPr>
          <w:rFonts w:asciiTheme="minorHAnsi" w:hAnsiTheme="minorHAnsi" w:cstheme="minorHAnsi"/>
          <w:szCs w:val="22"/>
          <w:lang w:val="en-GB"/>
        </w:rPr>
        <w:t>EFS</w:t>
      </w:r>
    </w:p>
    <w:p w14:paraId="5C1E6C39" w14:textId="77777777" w:rsidR="006A5AB8" w:rsidRPr="00FA0D8B" w:rsidRDefault="006A5AB8" w:rsidP="003C629B">
      <w:pPr>
        <w:numPr>
          <w:ilvl w:val="0"/>
          <w:numId w:val="13"/>
        </w:numPr>
        <w:tabs>
          <w:tab w:val="clear" w:pos="720"/>
          <w:tab w:val="num" w:pos="284"/>
        </w:tabs>
        <w:spacing w:line="276" w:lineRule="auto"/>
        <w:ind w:left="284" w:hanging="284"/>
        <w:jc w:val="both"/>
        <w:rPr>
          <w:rFonts w:asciiTheme="minorHAnsi" w:hAnsiTheme="minorHAnsi" w:cstheme="minorHAnsi"/>
          <w:szCs w:val="22"/>
          <w:lang w:val="en-GB"/>
        </w:rPr>
      </w:pPr>
      <w:r w:rsidRPr="00FA0D8B">
        <w:rPr>
          <w:rFonts w:asciiTheme="minorHAnsi" w:hAnsiTheme="minorHAnsi" w:cstheme="minorHAnsi"/>
          <w:szCs w:val="22"/>
          <w:lang w:val="en-GB"/>
        </w:rPr>
        <w:t>Toxizität/ Infektionen</w:t>
      </w:r>
    </w:p>
    <w:p w14:paraId="162AAEA3" w14:textId="77777777" w:rsidR="006A5AB8" w:rsidRPr="00FA0D8B" w:rsidRDefault="006A5AB8" w:rsidP="003C629B">
      <w:pPr>
        <w:numPr>
          <w:ilvl w:val="0"/>
          <w:numId w:val="13"/>
        </w:numPr>
        <w:tabs>
          <w:tab w:val="clear" w:pos="720"/>
          <w:tab w:val="num" w:pos="284"/>
        </w:tabs>
        <w:spacing w:line="276" w:lineRule="auto"/>
        <w:ind w:left="284" w:hanging="284"/>
        <w:jc w:val="both"/>
        <w:rPr>
          <w:rFonts w:asciiTheme="minorHAnsi" w:hAnsiTheme="minorHAnsi" w:cstheme="minorHAnsi"/>
          <w:szCs w:val="22"/>
          <w:lang w:val="en-GB"/>
        </w:rPr>
      </w:pPr>
      <w:r w:rsidRPr="00FA0D8B">
        <w:rPr>
          <w:rFonts w:asciiTheme="minorHAnsi" w:hAnsiTheme="minorHAnsi" w:cstheme="minorHAnsi"/>
          <w:szCs w:val="22"/>
          <w:lang w:val="en-GB"/>
        </w:rPr>
        <w:t>Overall-Survival</w:t>
      </w:r>
    </w:p>
    <w:p w14:paraId="7E7A5437" w14:textId="77777777" w:rsidR="001F2BEC" w:rsidRPr="007F3064" w:rsidRDefault="001F2BEC" w:rsidP="007F3064">
      <w:pPr>
        <w:pStyle w:val="Textkrper-Einzug2"/>
        <w:spacing w:line="276" w:lineRule="auto"/>
        <w:ind w:left="0"/>
        <w:jc w:val="both"/>
        <w:rPr>
          <w:rFonts w:asciiTheme="minorHAnsi" w:hAnsiTheme="minorHAnsi" w:cstheme="minorHAnsi"/>
          <w:szCs w:val="22"/>
        </w:rPr>
      </w:pPr>
    </w:p>
    <w:p w14:paraId="35FDBA3E" w14:textId="77777777" w:rsidR="009253FD" w:rsidRPr="009253FD" w:rsidRDefault="006D4DAC" w:rsidP="009253FD">
      <w:pPr>
        <w:pStyle w:val="berschrift1"/>
      </w:pPr>
      <w:bookmarkStart w:id="72" w:name="_Toc367183621"/>
      <w:bookmarkStart w:id="73" w:name="_Toc367183859"/>
      <w:bookmarkStart w:id="74" w:name="_Toc63667687"/>
      <w:r w:rsidRPr="00E344D4">
        <w:t>7</w:t>
      </w:r>
      <w:r w:rsidRPr="00E344D4">
        <w:tab/>
        <w:t>Literatur/Quellenangaben</w:t>
      </w:r>
      <w:bookmarkEnd w:id="72"/>
      <w:bookmarkEnd w:id="73"/>
      <w:bookmarkEnd w:id="74"/>
    </w:p>
    <w:p w14:paraId="61DEA487" w14:textId="77777777" w:rsidR="00D12CAD" w:rsidRPr="00057605" w:rsidRDefault="00D12CAD" w:rsidP="00D12CAD">
      <w:pPr>
        <w:pStyle w:val="Textkrper-Einzug2"/>
        <w:spacing w:line="276" w:lineRule="auto"/>
        <w:ind w:left="0"/>
        <w:jc w:val="left"/>
        <w:rPr>
          <w:rFonts w:asciiTheme="minorHAnsi" w:hAnsiTheme="minorHAnsi" w:cstheme="minorHAnsi"/>
          <w:szCs w:val="22"/>
        </w:rPr>
      </w:pPr>
      <w:r w:rsidRPr="00057605">
        <w:rPr>
          <w:rFonts w:asciiTheme="minorHAnsi" w:hAnsiTheme="minorHAnsi" w:cstheme="minorHAnsi"/>
          <w:szCs w:val="22"/>
        </w:rPr>
        <w:t>Grundlage der aktuellen Leitlinie sind die internationalen Empfehlungen von Onkopedia, NCCN und ELN. Die nachfolgenden Quellenangaben stellen nur eine Auswahl dar. Weitere Sekundärliteratur sind den internationalen Leitlinien zu entnehmen.</w:t>
      </w:r>
    </w:p>
    <w:p w14:paraId="355ABE3D" w14:textId="77777777" w:rsidR="006A5AB8" w:rsidRPr="006A5AB8" w:rsidRDefault="006A5AB8" w:rsidP="006E714E">
      <w:pPr>
        <w:pStyle w:val="Textkrper-Einzug2"/>
        <w:numPr>
          <w:ilvl w:val="0"/>
          <w:numId w:val="14"/>
        </w:numPr>
        <w:spacing w:before="120" w:after="0" w:line="240" w:lineRule="auto"/>
        <w:ind w:left="425" w:hanging="425"/>
        <w:jc w:val="left"/>
        <w:rPr>
          <w:rFonts w:asciiTheme="minorHAnsi" w:hAnsiTheme="minorHAnsi" w:cstheme="minorHAnsi"/>
          <w:szCs w:val="22"/>
          <w:lang w:val="en-US"/>
        </w:rPr>
      </w:pPr>
      <w:r w:rsidRPr="006A5AB8">
        <w:rPr>
          <w:rFonts w:asciiTheme="minorHAnsi" w:hAnsiTheme="minorHAnsi" w:cstheme="minorHAnsi"/>
          <w:szCs w:val="22"/>
          <w:lang w:val="en-US"/>
        </w:rPr>
        <w:t>Döhner H, Estey EH, Amadori S, et al; European LeukemiaNet. Diagnosis and management of acute myeloid leukemia in adults: recommendations from an international expert panel, on behalf of the European LeukemiaNet.</w:t>
      </w:r>
      <w:r>
        <w:rPr>
          <w:rFonts w:asciiTheme="minorHAnsi" w:hAnsiTheme="minorHAnsi" w:cstheme="minorHAnsi"/>
          <w:szCs w:val="22"/>
          <w:lang w:val="en-US"/>
        </w:rPr>
        <w:t xml:space="preserve"> </w:t>
      </w:r>
      <w:r w:rsidRPr="006A5AB8">
        <w:rPr>
          <w:rFonts w:asciiTheme="minorHAnsi" w:hAnsiTheme="minorHAnsi" w:cstheme="minorHAnsi"/>
          <w:szCs w:val="22"/>
          <w:lang w:val="en-US"/>
        </w:rPr>
        <w:t>Blood. 2010;115(3):453-474</w:t>
      </w:r>
    </w:p>
    <w:p w14:paraId="7540F2EA" w14:textId="77777777" w:rsidR="006A5AB8" w:rsidRPr="006A5AB8" w:rsidRDefault="006A5AB8" w:rsidP="006E714E">
      <w:pPr>
        <w:pStyle w:val="Textkrper-Einzug2"/>
        <w:numPr>
          <w:ilvl w:val="0"/>
          <w:numId w:val="14"/>
        </w:numPr>
        <w:spacing w:before="120" w:after="0" w:line="240" w:lineRule="auto"/>
        <w:ind w:left="425" w:hanging="425"/>
        <w:jc w:val="left"/>
        <w:rPr>
          <w:rFonts w:asciiTheme="minorHAnsi" w:hAnsiTheme="minorHAnsi" w:cstheme="minorHAnsi"/>
          <w:szCs w:val="22"/>
          <w:lang w:val="en-US"/>
        </w:rPr>
      </w:pPr>
      <w:r w:rsidRPr="006A5AB8">
        <w:rPr>
          <w:rFonts w:asciiTheme="minorHAnsi" w:hAnsiTheme="minorHAnsi" w:cstheme="minorHAnsi"/>
          <w:szCs w:val="22"/>
          <w:lang w:val="en-US"/>
        </w:rPr>
        <w:t>Döhner H, Estey EH, Grimwade D, et al; Diagnosis and management of AML in adults: 2017 ELN</w:t>
      </w:r>
      <w:r>
        <w:rPr>
          <w:rFonts w:asciiTheme="minorHAnsi" w:hAnsiTheme="minorHAnsi" w:cstheme="minorHAnsi"/>
          <w:szCs w:val="22"/>
          <w:lang w:val="en-US"/>
        </w:rPr>
        <w:t xml:space="preserve"> </w:t>
      </w:r>
      <w:r w:rsidRPr="006A5AB8">
        <w:rPr>
          <w:rFonts w:asciiTheme="minorHAnsi" w:hAnsiTheme="minorHAnsi" w:cstheme="minorHAnsi"/>
          <w:szCs w:val="22"/>
          <w:lang w:val="en-US"/>
        </w:rPr>
        <w:t>recommendations from an international expert panel. Blood 2017;129(4): 424-447</w:t>
      </w:r>
    </w:p>
    <w:p w14:paraId="57B3E328" w14:textId="77777777" w:rsidR="006A5AB8" w:rsidRPr="006A5AB8" w:rsidRDefault="006A5AB8" w:rsidP="006E714E">
      <w:pPr>
        <w:pStyle w:val="Textkrper-Einzug2"/>
        <w:numPr>
          <w:ilvl w:val="0"/>
          <w:numId w:val="14"/>
        </w:numPr>
        <w:spacing w:before="120" w:after="0" w:line="240" w:lineRule="auto"/>
        <w:ind w:left="425" w:hanging="425"/>
        <w:jc w:val="left"/>
        <w:rPr>
          <w:rFonts w:asciiTheme="minorHAnsi" w:hAnsiTheme="minorHAnsi" w:cstheme="minorHAnsi"/>
          <w:szCs w:val="22"/>
          <w:lang w:val="en-US"/>
        </w:rPr>
      </w:pPr>
      <w:r w:rsidRPr="006A5AB8">
        <w:rPr>
          <w:rFonts w:asciiTheme="minorHAnsi" w:hAnsiTheme="minorHAnsi" w:cstheme="minorHAnsi"/>
          <w:szCs w:val="22"/>
          <w:lang w:val="en-US"/>
        </w:rPr>
        <w:t>Arber DA, Orazi A, Hasserjian R, et al. The 2016 revision to the World Health Organization classification of myeloid neoplasms and acute leukemia. Blood. 2016;127(20):2391-2405.</w:t>
      </w:r>
    </w:p>
    <w:p w14:paraId="2B1E61F4" w14:textId="77777777" w:rsidR="006A5AB8" w:rsidRPr="006A5AB8" w:rsidRDefault="006A5AB8" w:rsidP="006E714E">
      <w:pPr>
        <w:pStyle w:val="Textkrper-Einzug2"/>
        <w:numPr>
          <w:ilvl w:val="0"/>
          <w:numId w:val="14"/>
        </w:numPr>
        <w:spacing w:before="120" w:after="0" w:line="240" w:lineRule="auto"/>
        <w:ind w:left="425" w:hanging="425"/>
        <w:jc w:val="left"/>
        <w:rPr>
          <w:rFonts w:asciiTheme="minorHAnsi" w:hAnsiTheme="minorHAnsi" w:cstheme="minorHAnsi"/>
          <w:szCs w:val="22"/>
          <w:lang w:val="en-US"/>
        </w:rPr>
      </w:pPr>
      <w:r w:rsidRPr="006A5AB8">
        <w:rPr>
          <w:rFonts w:asciiTheme="minorHAnsi" w:hAnsiTheme="minorHAnsi" w:cstheme="minorHAnsi"/>
          <w:szCs w:val="22"/>
          <w:lang w:val="en-US"/>
        </w:rPr>
        <w:t xml:space="preserve">F. Schlenk et al. Mutations and Treatment Outcome in Cytogenetically Normal Acute Myeloid Leukemia. N Engl J Med 2008;358:1909-18. </w:t>
      </w:r>
    </w:p>
    <w:p w14:paraId="47A0A11C" w14:textId="77777777" w:rsidR="006A5AB8" w:rsidRPr="006A5AB8" w:rsidRDefault="006A5AB8" w:rsidP="006E714E">
      <w:pPr>
        <w:pStyle w:val="Textkrper-Einzug2"/>
        <w:numPr>
          <w:ilvl w:val="0"/>
          <w:numId w:val="14"/>
        </w:numPr>
        <w:spacing w:before="120" w:after="0" w:line="240" w:lineRule="auto"/>
        <w:ind w:left="425" w:hanging="425"/>
        <w:jc w:val="left"/>
        <w:rPr>
          <w:rFonts w:asciiTheme="minorHAnsi" w:hAnsiTheme="minorHAnsi" w:cstheme="minorHAnsi"/>
          <w:szCs w:val="22"/>
          <w:lang w:val="en-US"/>
        </w:rPr>
      </w:pPr>
      <w:r w:rsidRPr="006A5AB8">
        <w:rPr>
          <w:rFonts w:asciiTheme="minorHAnsi" w:hAnsiTheme="minorHAnsi" w:cstheme="minorHAnsi"/>
          <w:szCs w:val="22"/>
          <w:lang w:val="en-US"/>
        </w:rPr>
        <w:t xml:space="preserve">T. Haferlach et al. A new prognostic score for patients with acute myeloid leukemia based on cytogenetics and early blast clearance in trials of the German AML Cooperative Group. Haematologica 2004;89:408-418 </w:t>
      </w:r>
    </w:p>
    <w:p w14:paraId="78519658" w14:textId="77777777" w:rsidR="006A5AB8" w:rsidRPr="006A5AB8" w:rsidRDefault="006A5AB8" w:rsidP="006E714E">
      <w:pPr>
        <w:pStyle w:val="Textkrper-Einzug2"/>
        <w:numPr>
          <w:ilvl w:val="0"/>
          <w:numId w:val="14"/>
        </w:numPr>
        <w:spacing w:before="120" w:after="0" w:line="240" w:lineRule="auto"/>
        <w:ind w:left="425" w:hanging="425"/>
        <w:jc w:val="left"/>
        <w:rPr>
          <w:rFonts w:asciiTheme="minorHAnsi" w:hAnsiTheme="minorHAnsi" w:cstheme="minorHAnsi"/>
          <w:szCs w:val="22"/>
          <w:lang w:val="en-US"/>
        </w:rPr>
      </w:pPr>
      <w:r w:rsidRPr="006A5AB8">
        <w:rPr>
          <w:rFonts w:asciiTheme="minorHAnsi" w:hAnsiTheme="minorHAnsi" w:cstheme="minorHAnsi"/>
          <w:szCs w:val="22"/>
          <w:lang w:val="en-US"/>
        </w:rPr>
        <w:t xml:space="preserve">U. Bacher et al.Interactive diagnostics in the indication to allogeneic SCT in AML. Bone Marrow Transplantation advance online publication, 13 April 2009 </w:t>
      </w:r>
    </w:p>
    <w:p w14:paraId="6D01B2BD" w14:textId="77777777" w:rsidR="006A5AB8" w:rsidRPr="006A5AB8" w:rsidRDefault="006A5AB8" w:rsidP="006E714E">
      <w:pPr>
        <w:pStyle w:val="Textkrper-Einzug2"/>
        <w:numPr>
          <w:ilvl w:val="0"/>
          <w:numId w:val="14"/>
        </w:numPr>
        <w:spacing w:before="120" w:after="0" w:line="240" w:lineRule="auto"/>
        <w:ind w:left="425" w:hanging="425"/>
        <w:jc w:val="left"/>
        <w:rPr>
          <w:rFonts w:asciiTheme="minorHAnsi" w:hAnsiTheme="minorHAnsi" w:cstheme="minorHAnsi"/>
          <w:szCs w:val="22"/>
          <w:lang w:val="en-US"/>
        </w:rPr>
      </w:pPr>
      <w:r w:rsidRPr="006A5AB8">
        <w:rPr>
          <w:rFonts w:asciiTheme="minorHAnsi" w:hAnsiTheme="minorHAnsi" w:cstheme="minorHAnsi"/>
          <w:szCs w:val="22"/>
          <w:lang w:val="en-US"/>
        </w:rPr>
        <w:t xml:space="preserve">T. Pabst et al. Heterogeneity within AML with CEBPA mutations; only CEBPA double mutations, but not single CEBPA mutations are associated with favourable prognosis. British Journal of Cancer (2009) 100, 1343 – 1346 </w:t>
      </w:r>
    </w:p>
    <w:p w14:paraId="7532F7C4" w14:textId="77777777" w:rsidR="006A5AB8" w:rsidRPr="006A5AB8" w:rsidRDefault="006A5AB8" w:rsidP="006E714E">
      <w:pPr>
        <w:pStyle w:val="Textkrper-Einzug2"/>
        <w:numPr>
          <w:ilvl w:val="0"/>
          <w:numId w:val="14"/>
        </w:numPr>
        <w:spacing w:before="120" w:after="0" w:line="240" w:lineRule="auto"/>
        <w:ind w:left="425" w:hanging="425"/>
        <w:jc w:val="left"/>
        <w:rPr>
          <w:rFonts w:asciiTheme="minorHAnsi" w:hAnsiTheme="minorHAnsi" w:cstheme="minorHAnsi"/>
          <w:szCs w:val="22"/>
          <w:lang w:val="en-US"/>
        </w:rPr>
      </w:pPr>
      <w:r w:rsidRPr="006A5AB8">
        <w:rPr>
          <w:rFonts w:asciiTheme="minorHAnsi" w:hAnsiTheme="minorHAnsi" w:cstheme="minorHAnsi"/>
          <w:szCs w:val="22"/>
          <w:lang w:val="en-US"/>
        </w:rPr>
        <w:t>Burnett AK, Russell NH, Hills RK, et al. Optimization of chemotherapy for younger patients with acute myeloid leukemia: results of the medical research council AML15 trial. J Clin Oncol. 2013;31(27):3360-3368.</w:t>
      </w:r>
    </w:p>
    <w:p w14:paraId="3F5804D4" w14:textId="77777777" w:rsidR="006A5AB8" w:rsidRPr="006A5AB8" w:rsidRDefault="006A5AB8" w:rsidP="006E714E">
      <w:pPr>
        <w:pStyle w:val="Textkrper-Einzug2"/>
        <w:numPr>
          <w:ilvl w:val="0"/>
          <w:numId w:val="14"/>
        </w:numPr>
        <w:spacing w:before="120" w:after="0" w:line="240" w:lineRule="auto"/>
        <w:ind w:left="425" w:hanging="425"/>
        <w:jc w:val="left"/>
        <w:rPr>
          <w:rFonts w:asciiTheme="minorHAnsi" w:hAnsiTheme="minorHAnsi" w:cstheme="minorHAnsi"/>
          <w:szCs w:val="22"/>
          <w:lang w:val="en-US"/>
        </w:rPr>
      </w:pPr>
      <w:r w:rsidRPr="006A5AB8">
        <w:rPr>
          <w:rFonts w:asciiTheme="minorHAnsi" w:hAnsiTheme="minorHAnsi" w:cstheme="minorHAnsi"/>
          <w:szCs w:val="22"/>
          <w:lang w:val="en-US"/>
        </w:rPr>
        <w:t>Schaich M, Röllig C, Soucek S, et al. Cytarabine dose of 36 g/m2 compared with 12 g/m2 within first consolidation in acute myeloid leukemia: results of patients enrolled onto the prospective randomized AML96 study. J Clin Oncol. 2011; 29(19):2696-2702.</w:t>
      </w:r>
    </w:p>
    <w:p w14:paraId="2EBDFEC6" w14:textId="77777777" w:rsidR="006A5AB8" w:rsidRPr="006A5AB8" w:rsidRDefault="006A5AB8" w:rsidP="006E714E">
      <w:pPr>
        <w:pStyle w:val="Textkrper-Einzug2"/>
        <w:numPr>
          <w:ilvl w:val="0"/>
          <w:numId w:val="14"/>
        </w:numPr>
        <w:spacing w:before="120" w:after="0" w:line="240" w:lineRule="auto"/>
        <w:ind w:left="425" w:hanging="425"/>
        <w:jc w:val="left"/>
        <w:rPr>
          <w:rFonts w:asciiTheme="minorHAnsi" w:hAnsiTheme="minorHAnsi" w:cstheme="minorHAnsi"/>
          <w:szCs w:val="22"/>
          <w:lang w:val="en-US"/>
        </w:rPr>
      </w:pPr>
      <w:r w:rsidRPr="006A5AB8">
        <w:rPr>
          <w:rFonts w:asciiTheme="minorHAnsi" w:hAnsiTheme="minorHAnsi" w:cstheme="minorHAnsi"/>
          <w:szCs w:val="22"/>
          <w:lang w:val="en-US"/>
        </w:rPr>
        <w:t xml:space="preserve">Platzbecker et. al. German intergroup recommendations on the diagnostic and therapeutic management of acute promyeloctic leukemia (APL); </w:t>
      </w:r>
    </w:p>
    <w:p w14:paraId="49E3CFE4" w14:textId="77777777" w:rsidR="006A5AB8" w:rsidRPr="006A5AB8" w:rsidRDefault="006A5AB8" w:rsidP="006E714E">
      <w:pPr>
        <w:pStyle w:val="Textkrper-Einzug2"/>
        <w:numPr>
          <w:ilvl w:val="0"/>
          <w:numId w:val="14"/>
        </w:numPr>
        <w:spacing w:before="120" w:after="0" w:line="240" w:lineRule="auto"/>
        <w:ind w:left="425" w:hanging="425"/>
        <w:jc w:val="left"/>
        <w:rPr>
          <w:rFonts w:asciiTheme="minorHAnsi" w:hAnsiTheme="minorHAnsi" w:cstheme="minorHAnsi"/>
          <w:szCs w:val="22"/>
          <w:lang w:val="en-US"/>
        </w:rPr>
      </w:pPr>
      <w:r w:rsidRPr="006A5AB8">
        <w:rPr>
          <w:rFonts w:asciiTheme="minorHAnsi" w:hAnsiTheme="minorHAnsi" w:cstheme="minorHAnsi"/>
          <w:szCs w:val="22"/>
          <w:lang w:val="en-US"/>
        </w:rPr>
        <w:t>Betül Oran B., Jorge Cortes J,  Amer Beitinjaneh A et al. Allogeneic Transplantation in First Remission Improves Outcomes Irrespective of FLT3-ITD Allelic Ratio in FLT3-ITDePositive Acute Myelogenous; Leukemia Biol Blood Marrow Transplant 22 (2016) 1218e1226</w:t>
      </w:r>
    </w:p>
    <w:p w14:paraId="43AB2F20" w14:textId="77777777" w:rsidR="006A5AB8" w:rsidRPr="006C5B6D" w:rsidRDefault="006A5AB8" w:rsidP="006E714E">
      <w:pPr>
        <w:pStyle w:val="Textkrper-Einzug2"/>
        <w:numPr>
          <w:ilvl w:val="0"/>
          <w:numId w:val="14"/>
        </w:numPr>
        <w:spacing w:before="120" w:after="0" w:line="240" w:lineRule="auto"/>
        <w:ind w:left="425" w:hanging="425"/>
        <w:jc w:val="left"/>
        <w:rPr>
          <w:rFonts w:asciiTheme="minorHAnsi" w:hAnsiTheme="minorHAnsi" w:cstheme="minorHAnsi"/>
          <w:szCs w:val="22"/>
          <w:lang w:val="en-US"/>
        </w:rPr>
      </w:pPr>
      <w:r w:rsidRPr="006A5AB8">
        <w:rPr>
          <w:rFonts w:asciiTheme="minorHAnsi" w:hAnsiTheme="minorHAnsi" w:cstheme="minorHAnsi"/>
          <w:szCs w:val="22"/>
          <w:lang w:val="en-US"/>
        </w:rPr>
        <w:t>Keith W. Pratz and Mark Levis. How I treat FLT3-mutated AML BLOOD, 2 FEBRUARY 2017 x VOLUME 129, NUMBER 5</w:t>
      </w:r>
    </w:p>
    <w:p w14:paraId="193BBB8A" w14:textId="77777777" w:rsidR="006A5AB8" w:rsidRPr="006A5AB8" w:rsidRDefault="006A5AB8" w:rsidP="006E714E">
      <w:pPr>
        <w:pStyle w:val="Textkrper-Einzug2"/>
        <w:numPr>
          <w:ilvl w:val="0"/>
          <w:numId w:val="14"/>
        </w:numPr>
        <w:spacing w:before="120" w:after="0" w:line="240" w:lineRule="auto"/>
        <w:ind w:left="425" w:hanging="425"/>
        <w:jc w:val="left"/>
        <w:rPr>
          <w:rFonts w:asciiTheme="minorHAnsi" w:hAnsiTheme="minorHAnsi" w:cstheme="minorHAnsi"/>
          <w:szCs w:val="22"/>
          <w:lang w:val="en-US"/>
        </w:rPr>
      </w:pPr>
      <w:r w:rsidRPr="006A5AB8">
        <w:rPr>
          <w:rFonts w:asciiTheme="minorHAnsi" w:hAnsiTheme="minorHAnsi" w:cstheme="minorHAnsi"/>
          <w:szCs w:val="22"/>
          <w:lang w:val="en-US"/>
        </w:rPr>
        <w:t xml:space="preserve">Balsat et al. Postinduction Minimal Residual Disease Predicts Outcome and Benefit From Allogeneic Stem Cell Transplantation in Acute Myeloid Leukemia With NPM1 Mutation: A Study by the Acute Leukemia French Association Group J Clin Oncol. 2017 Jan 10;35(2):185-193. Epub 2016 Nov 14. </w:t>
      </w:r>
    </w:p>
    <w:p w14:paraId="2396599A" w14:textId="77777777" w:rsidR="006A5AB8" w:rsidRPr="006A5AB8" w:rsidRDefault="006A5AB8" w:rsidP="006E714E">
      <w:pPr>
        <w:pStyle w:val="Textkrper-Einzug2"/>
        <w:numPr>
          <w:ilvl w:val="0"/>
          <w:numId w:val="14"/>
        </w:numPr>
        <w:spacing w:before="120" w:after="0" w:line="240" w:lineRule="auto"/>
        <w:ind w:left="425" w:hanging="425"/>
        <w:jc w:val="left"/>
        <w:rPr>
          <w:rFonts w:asciiTheme="minorHAnsi" w:hAnsiTheme="minorHAnsi" w:cstheme="minorHAnsi"/>
          <w:szCs w:val="22"/>
          <w:lang w:val="en-US"/>
        </w:rPr>
      </w:pPr>
      <w:r w:rsidRPr="006A5AB8">
        <w:rPr>
          <w:rFonts w:asciiTheme="minorHAnsi" w:hAnsiTheme="minorHAnsi" w:cstheme="minorHAnsi"/>
          <w:szCs w:val="22"/>
          <w:lang w:val="en-US"/>
        </w:rPr>
        <w:lastRenderedPageBreak/>
        <w:t>Versluis J, In 't Hout FE, Devillier R. Comparative value of post-remission treatment in cytogenetically normal AML subclassified by NPM1 and FLT3-ITD allelic ratio. Leukemia. 2017 Jan;31(1):26-33. doi: 10.1038/leu.2016.183. Epub 2016 Jun 24</w:t>
      </w:r>
    </w:p>
    <w:p w14:paraId="59F832D3" w14:textId="77777777" w:rsidR="006A5AB8" w:rsidRPr="006A5AB8" w:rsidRDefault="006A5AB8" w:rsidP="006E714E">
      <w:pPr>
        <w:pStyle w:val="Textkrper-Einzug2"/>
        <w:numPr>
          <w:ilvl w:val="0"/>
          <w:numId w:val="14"/>
        </w:numPr>
        <w:spacing w:before="120" w:after="0" w:line="240" w:lineRule="auto"/>
        <w:ind w:left="425" w:hanging="425"/>
        <w:jc w:val="left"/>
        <w:rPr>
          <w:rFonts w:asciiTheme="minorHAnsi" w:hAnsiTheme="minorHAnsi" w:cstheme="minorHAnsi"/>
          <w:szCs w:val="22"/>
          <w:lang w:val="en-US"/>
        </w:rPr>
      </w:pPr>
      <w:r w:rsidRPr="006A5AB8">
        <w:rPr>
          <w:rFonts w:asciiTheme="minorHAnsi" w:hAnsiTheme="minorHAnsi" w:cstheme="minorHAnsi"/>
          <w:szCs w:val="22"/>
          <w:lang w:val="en-US"/>
        </w:rPr>
        <w:t>Churpek JE, Godley LA. How I diagnose and manage individuals at risk for inherited myeloid malignancies. Blood. 2016;128(14):1800- 1813.</w:t>
      </w:r>
    </w:p>
    <w:p w14:paraId="21C2A63D" w14:textId="77777777" w:rsidR="006A5AB8" w:rsidRPr="005F3CC3" w:rsidRDefault="006A5AB8" w:rsidP="006E714E">
      <w:pPr>
        <w:pStyle w:val="Textkrper-Einzug2"/>
        <w:numPr>
          <w:ilvl w:val="0"/>
          <w:numId w:val="14"/>
        </w:numPr>
        <w:spacing w:before="120" w:after="0" w:line="240" w:lineRule="auto"/>
        <w:ind w:left="425" w:hanging="425"/>
        <w:jc w:val="left"/>
        <w:rPr>
          <w:rFonts w:asciiTheme="minorHAnsi" w:hAnsiTheme="minorHAnsi" w:cstheme="minorHAnsi"/>
          <w:szCs w:val="22"/>
          <w:lang w:val="en-US"/>
        </w:rPr>
      </w:pPr>
      <w:r w:rsidRPr="00C263BC">
        <w:rPr>
          <w:rFonts w:asciiTheme="minorHAnsi" w:hAnsiTheme="minorHAnsi" w:cstheme="minorHAnsi"/>
          <w:szCs w:val="22"/>
        </w:rPr>
        <w:t xml:space="preserve">Rabitsch W1, Böhm A, Sperr WR. </w:t>
      </w:r>
      <w:r w:rsidRPr="00E97A58">
        <w:rPr>
          <w:rFonts w:asciiTheme="minorHAnsi" w:hAnsiTheme="minorHAnsi" w:cstheme="minorHAnsi"/>
          <w:szCs w:val="22"/>
          <w:lang w:val="en-US"/>
        </w:rPr>
        <w:t>Clofarabine/cyclophosphamide for debulking before stem cell transplantatio</w:t>
      </w:r>
      <w:r w:rsidR="00E97A58" w:rsidRPr="005F3CC3">
        <w:rPr>
          <w:rFonts w:asciiTheme="minorHAnsi" w:hAnsiTheme="minorHAnsi" w:cstheme="minorHAnsi"/>
          <w:szCs w:val="22"/>
          <w:lang w:val="en-US"/>
        </w:rPr>
        <w:t>n.</w:t>
      </w:r>
      <w:r w:rsidRPr="005F3CC3">
        <w:rPr>
          <w:rFonts w:asciiTheme="minorHAnsi" w:hAnsiTheme="minorHAnsi" w:cstheme="minorHAnsi"/>
          <w:szCs w:val="22"/>
          <w:lang w:val="en-US"/>
        </w:rPr>
        <w:t>Eur J Clin Invest. 2014 Aug;44(8):775-83. doi: 10.1111/eci.12294.</w:t>
      </w:r>
    </w:p>
    <w:p w14:paraId="437046FB" w14:textId="77777777" w:rsidR="00E97A58" w:rsidRDefault="00E97A58" w:rsidP="006E714E">
      <w:pPr>
        <w:pStyle w:val="Textkrper-Einzug2"/>
        <w:numPr>
          <w:ilvl w:val="0"/>
          <w:numId w:val="14"/>
        </w:numPr>
        <w:spacing w:before="120" w:after="0" w:line="240" w:lineRule="auto"/>
        <w:ind w:left="425" w:hanging="425"/>
        <w:jc w:val="left"/>
        <w:rPr>
          <w:rFonts w:asciiTheme="minorHAnsi" w:hAnsiTheme="minorHAnsi" w:cstheme="minorHAnsi"/>
          <w:szCs w:val="22"/>
          <w:lang w:val="en-US"/>
        </w:rPr>
      </w:pPr>
      <w:r w:rsidRPr="005F3CC3">
        <w:rPr>
          <w:rFonts w:asciiTheme="minorHAnsi" w:hAnsiTheme="minorHAnsi" w:cstheme="minorHAnsi"/>
          <w:szCs w:val="22"/>
          <w:lang w:val="en-US"/>
        </w:rPr>
        <w:t>Heini AD et al. Consolidation with autologous stem cell transplantation in first remission is safe and effective in AML patients above 65 years. Leuk Res. 2017 Feb;53:28-34</w:t>
      </w:r>
      <w:r w:rsidR="005F3CC3">
        <w:rPr>
          <w:rFonts w:asciiTheme="minorHAnsi" w:hAnsiTheme="minorHAnsi" w:cstheme="minorHAnsi"/>
          <w:szCs w:val="22"/>
          <w:lang w:val="en-US"/>
        </w:rPr>
        <w:t>.</w:t>
      </w:r>
    </w:p>
    <w:p w14:paraId="455FD656" w14:textId="77777777" w:rsidR="005F3CC3" w:rsidRDefault="005F3CC3" w:rsidP="006E714E">
      <w:pPr>
        <w:pStyle w:val="Textkrper-Einzug2"/>
        <w:numPr>
          <w:ilvl w:val="0"/>
          <w:numId w:val="14"/>
        </w:numPr>
        <w:spacing w:before="120" w:after="0" w:line="240" w:lineRule="auto"/>
        <w:ind w:left="425" w:hanging="425"/>
        <w:jc w:val="left"/>
        <w:rPr>
          <w:rFonts w:asciiTheme="minorHAnsi" w:hAnsiTheme="minorHAnsi" w:cstheme="minorHAnsi"/>
          <w:szCs w:val="22"/>
          <w:lang w:val="en-US"/>
        </w:rPr>
      </w:pPr>
      <w:r w:rsidRPr="005F3CC3">
        <w:rPr>
          <w:rFonts w:asciiTheme="minorHAnsi" w:hAnsiTheme="minorHAnsi" w:cstheme="minorHAnsi"/>
          <w:szCs w:val="22"/>
          <w:lang w:val="en-US"/>
        </w:rPr>
        <w:t>Cornelissen JJ, Blaise D. Hematopoietic stem cell transplantation for patients with AML in first complete remission.</w:t>
      </w:r>
      <w:r>
        <w:rPr>
          <w:rFonts w:asciiTheme="minorHAnsi" w:hAnsiTheme="minorHAnsi" w:cstheme="minorHAnsi"/>
          <w:szCs w:val="22"/>
          <w:lang w:val="en-US"/>
        </w:rPr>
        <w:t xml:space="preserve"> </w:t>
      </w:r>
      <w:r w:rsidRPr="005F3CC3">
        <w:rPr>
          <w:rFonts w:asciiTheme="minorHAnsi" w:hAnsiTheme="minorHAnsi" w:cstheme="minorHAnsi"/>
          <w:szCs w:val="22"/>
          <w:lang w:val="en-US"/>
        </w:rPr>
        <w:t>Blood. 2016 Jan 7;127(1):62-70.</w:t>
      </w:r>
    </w:p>
    <w:p w14:paraId="08AE8234" w14:textId="77777777" w:rsidR="007C4AD6" w:rsidRPr="00176746" w:rsidRDefault="00E2185A" w:rsidP="007C4AD6">
      <w:pPr>
        <w:pStyle w:val="Textkrper-Einzug2"/>
        <w:numPr>
          <w:ilvl w:val="0"/>
          <w:numId w:val="14"/>
        </w:numPr>
        <w:spacing w:before="120" w:after="0" w:line="240" w:lineRule="auto"/>
        <w:ind w:left="425" w:hanging="425"/>
        <w:jc w:val="left"/>
        <w:rPr>
          <w:rFonts w:asciiTheme="minorHAnsi" w:hAnsiTheme="minorHAnsi" w:cstheme="minorHAnsi"/>
          <w:color w:val="000000" w:themeColor="text1"/>
          <w:szCs w:val="22"/>
          <w:lang w:val="en-US"/>
        </w:rPr>
      </w:pPr>
      <w:r w:rsidRPr="00176746">
        <w:rPr>
          <w:rFonts w:asciiTheme="minorHAnsi" w:hAnsiTheme="minorHAnsi" w:cstheme="minorHAnsi"/>
          <w:color w:val="000000" w:themeColor="text1"/>
          <w:szCs w:val="22"/>
          <w:lang w:val="en-US"/>
        </w:rPr>
        <w:t>Schuurhuis GJ et al, Minimal/Measurable Residual Disease in AML: Consensus Document from ELN MRD Working Party</w:t>
      </w:r>
      <w:r w:rsidR="00ED50EF" w:rsidRPr="00176746">
        <w:rPr>
          <w:rFonts w:asciiTheme="minorHAnsi" w:hAnsiTheme="minorHAnsi" w:cstheme="minorHAnsi"/>
          <w:color w:val="000000" w:themeColor="text1"/>
          <w:szCs w:val="22"/>
          <w:lang w:val="en-US"/>
        </w:rPr>
        <w:t>, Blood. 2018 Mar 22;131(12):1275-1291.</w:t>
      </w:r>
    </w:p>
    <w:p w14:paraId="29C5BA04" w14:textId="77777777" w:rsidR="00346244" w:rsidRPr="00176746" w:rsidRDefault="007C4AD6" w:rsidP="00346244">
      <w:pPr>
        <w:pStyle w:val="Textkrper-Einzug2"/>
        <w:numPr>
          <w:ilvl w:val="0"/>
          <w:numId w:val="14"/>
        </w:numPr>
        <w:spacing w:before="120" w:after="0" w:line="240" w:lineRule="auto"/>
        <w:ind w:left="425" w:hanging="425"/>
        <w:jc w:val="left"/>
        <w:rPr>
          <w:rFonts w:asciiTheme="minorHAnsi" w:hAnsiTheme="minorHAnsi" w:cstheme="minorHAnsi"/>
          <w:color w:val="000000" w:themeColor="text1"/>
          <w:szCs w:val="22"/>
          <w:lang w:val="en-US"/>
        </w:rPr>
      </w:pPr>
      <w:r w:rsidRPr="00176746">
        <w:rPr>
          <w:rFonts w:asciiTheme="minorHAnsi" w:hAnsiTheme="minorHAnsi" w:cstheme="minorHAnsi"/>
          <w:color w:val="000000" w:themeColor="text1"/>
          <w:szCs w:val="22"/>
          <w:lang w:val="en-US"/>
        </w:rPr>
        <w:t>Sanz M.A. et al, Management of acute promyelocytic leukemia: updated recommendations from an expert panel of the European LeukemiaNet</w:t>
      </w:r>
      <w:r w:rsidRPr="00176746">
        <w:rPr>
          <w:rFonts w:asciiTheme="minorHAnsi" w:hAnsiTheme="minorHAnsi" w:cstheme="minorHAnsi"/>
          <w:b/>
          <w:bCs/>
          <w:color w:val="000000" w:themeColor="text1"/>
          <w:szCs w:val="22"/>
          <w:lang w:val="en-US"/>
        </w:rPr>
        <w:t xml:space="preserve">, </w:t>
      </w:r>
      <w:r w:rsidRPr="00176746">
        <w:rPr>
          <w:rFonts w:asciiTheme="minorHAnsi" w:hAnsiTheme="minorHAnsi" w:cstheme="minorHAnsi"/>
          <w:color w:val="000000" w:themeColor="text1"/>
          <w:szCs w:val="22"/>
          <w:lang w:val="en-US"/>
        </w:rPr>
        <w:t>Blood. 2019 Apr 11; 133(15): 1630–1643</w:t>
      </w:r>
    </w:p>
    <w:p w14:paraId="217DFCFA" w14:textId="77777777" w:rsidR="00346244" w:rsidRPr="00176746" w:rsidRDefault="00FD1CFD" w:rsidP="00346244">
      <w:pPr>
        <w:pStyle w:val="Textkrper-Einzug2"/>
        <w:numPr>
          <w:ilvl w:val="0"/>
          <w:numId w:val="14"/>
        </w:numPr>
        <w:spacing w:before="120" w:after="0" w:line="240" w:lineRule="auto"/>
        <w:ind w:left="425" w:hanging="425"/>
        <w:jc w:val="left"/>
        <w:rPr>
          <w:rFonts w:asciiTheme="minorHAnsi" w:hAnsiTheme="minorHAnsi" w:cstheme="minorHAnsi"/>
          <w:color w:val="000000" w:themeColor="text1"/>
          <w:szCs w:val="22"/>
          <w:lang w:val="en-US"/>
        </w:rPr>
      </w:pPr>
      <w:r w:rsidRPr="00176746">
        <w:rPr>
          <w:rFonts w:asciiTheme="minorHAnsi" w:hAnsiTheme="minorHAnsi" w:cstheme="minorHAnsi"/>
          <w:color w:val="000000" w:themeColor="text1"/>
          <w:szCs w:val="22"/>
          <w:lang w:val="en-US"/>
        </w:rPr>
        <w:t xml:space="preserve">DiNardo C.D. et al, </w:t>
      </w:r>
      <w:r w:rsidR="007E1009" w:rsidRPr="00176746">
        <w:rPr>
          <w:rFonts w:asciiTheme="minorHAnsi" w:hAnsiTheme="minorHAnsi" w:cstheme="minorHAnsi"/>
          <w:color w:val="000000" w:themeColor="text1"/>
          <w:szCs w:val="22"/>
          <w:lang w:val="en-US"/>
        </w:rPr>
        <w:t xml:space="preserve">Azacytidine and Venetoclax </w:t>
      </w:r>
      <w:r w:rsidR="00FE1454" w:rsidRPr="00176746">
        <w:rPr>
          <w:rFonts w:asciiTheme="minorHAnsi" w:hAnsiTheme="minorHAnsi" w:cstheme="minorHAnsi"/>
          <w:color w:val="000000" w:themeColor="text1"/>
          <w:szCs w:val="22"/>
          <w:lang w:val="en-US"/>
        </w:rPr>
        <w:t>i</w:t>
      </w:r>
      <w:r w:rsidR="007E1009" w:rsidRPr="00176746">
        <w:rPr>
          <w:rFonts w:asciiTheme="minorHAnsi" w:hAnsiTheme="minorHAnsi" w:cstheme="minorHAnsi"/>
          <w:color w:val="000000" w:themeColor="text1"/>
          <w:szCs w:val="22"/>
          <w:lang w:val="en-US"/>
        </w:rPr>
        <w:t>n previously untreated acute myeloid leukemia</w:t>
      </w:r>
      <w:r w:rsidRPr="00176746">
        <w:rPr>
          <w:rFonts w:asciiTheme="minorHAnsi" w:hAnsiTheme="minorHAnsi" w:cstheme="minorHAnsi"/>
          <w:color w:val="000000" w:themeColor="text1"/>
          <w:szCs w:val="22"/>
          <w:lang w:val="en-US"/>
        </w:rPr>
        <w:t xml:space="preserve">, </w:t>
      </w:r>
      <w:r w:rsidRPr="00176746">
        <w:rPr>
          <w:rFonts w:asciiTheme="minorHAnsi" w:hAnsiTheme="minorHAnsi" w:cstheme="minorHAnsi"/>
          <w:color w:val="000000" w:themeColor="text1"/>
          <w:szCs w:val="22"/>
          <w:lang w:val="en-US" w:eastAsia="de-AT"/>
        </w:rPr>
        <w:t>N Engl J Med 2020;383:617-29.</w:t>
      </w:r>
    </w:p>
    <w:p w14:paraId="795ECE45" w14:textId="77777777" w:rsidR="00346244" w:rsidRPr="00176746" w:rsidRDefault="00346244" w:rsidP="00346244">
      <w:pPr>
        <w:pStyle w:val="Textkrper-Einzug2"/>
        <w:numPr>
          <w:ilvl w:val="0"/>
          <w:numId w:val="14"/>
        </w:numPr>
        <w:spacing w:before="120" w:after="0" w:line="240" w:lineRule="auto"/>
        <w:ind w:left="425" w:hanging="425"/>
        <w:jc w:val="left"/>
        <w:rPr>
          <w:rFonts w:asciiTheme="minorHAnsi" w:hAnsiTheme="minorHAnsi" w:cstheme="minorHAnsi"/>
          <w:color w:val="000000" w:themeColor="text1"/>
          <w:szCs w:val="22"/>
          <w:lang w:val="en-US"/>
        </w:rPr>
      </w:pPr>
      <w:r w:rsidRPr="00176746">
        <w:rPr>
          <w:rFonts w:asciiTheme="minorHAnsi" w:hAnsiTheme="minorHAnsi" w:cstheme="minorHAnsi"/>
          <w:color w:val="000000" w:themeColor="text1"/>
          <w:szCs w:val="22"/>
          <w:lang w:val="en-US"/>
        </w:rPr>
        <w:t xml:space="preserve">Wei A.H. et al, </w:t>
      </w:r>
      <w:r w:rsidRPr="00176746">
        <w:rPr>
          <w:rFonts w:asciiTheme="minorHAnsi" w:hAnsiTheme="minorHAnsi" w:cstheme="minorHAnsi"/>
          <w:color w:val="000000" w:themeColor="text1"/>
          <w:lang w:val="en-US"/>
        </w:rPr>
        <w:t xml:space="preserve">Venetoclax plus LDAC for newly diagnosed AML ineligible for intensive </w:t>
      </w:r>
      <w:r w:rsidRPr="00176746">
        <w:rPr>
          <w:rFonts w:asciiTheme="minorHAnsi" w:hAnsiTheme="minorHAnsi" w:cstheme="minorHAnsi"/>
          <w:color w:val="000000" w:themeColor="text1"/>
          <w:szCs w:val="22"/>
          <w:lang w:val="en-US"/>
        </w:rPr>
        <w:t>chemotherapy</w:t>
      </w:r>
      <w:r w:rsidRPr="00176746">
        <w:rPr>
          <w:rFonts w:asciiTheme="minorHAnsi" w:hAnsiTheme="minorHAnsi" w:cstheme="minorHAnsi"/>
          <w:color w:val="000000" w:themeColor="text1"/>
          <w:lang w:val="en-US"/>
        </w:rPr>
        <w:t>: a phase 3 randomized placebo-controlled trial</w:t>
      </w:r>
      <w:r w:rsidRPr="00176746">
        <w:rPr>
          <w:rFonts w:asciiTheme="minorHAnsi" w:hAnsiTheme="minorHAnsi" w:cstheme="minorHAnsi"/>
          <w:color w:val="000000" w:themeColor="text1"/>
          <w:szCs w:val="22"/>
          <w:lang w:val="en-US"/>
        </w:rPr>
        <w:t xml:space="preserve">, </w:t>
      </w:r>
      <w:r w:rsidRPr="00176746">
        <w:rPr>
          <w:rFonts w:asciiTheme="minorHAnsi" w:hAnsiTheme="minorHAnsi" w:cstheme="minorHAnsi"/>
          <w:color w:val="000000" w:themeColor="text1"/>
          <w:szCs w:val="22"/>
          <w:lang w:val="en-US" w:eastAsia="de-AT"/>
        </w:rPr>
        <w:t xml:space="preserve">Blood </w:t>
      </w:r>
      <w:r w:rsidRPr="00176746">
        <w:rPr>
          <w:rFonts w:asciiTheme="minorHAnsi" w:hAnsiTheme="minorHAnsi" w:cstheme="minorHAnsi"/>
          <w:color w:val="000000" w:themeColor="text1"/>
          <w:szCs w:val="22"/>
          <w:shd w:val="clear" w:color="auto" w:fill="FFFFFF"/>
          <w:lang w:val="en-US" w:eastAsia="de-AT"/>
        </w:rPr>
        <w:t>2020 Jun 11;135(24):2137-2145.</w:t>
      </w:r>
    </w:p>
    <w:p w14:paraId="451C29E6" w14:textId="77777777" w:rsidR="00554144" w:rsidRPr="00176746" w:rsidRDefault="004B34FF" w:rsidP="00554144">
      <w:pPr>
        <w:pStyle w:val="Textkrper-Einzug2"/>
        <w:numPr>
          <w:ilvl w:val="0"/>
          <w:numId w:val="14"/>
        </w:numPr>
        <w:spacing w:before="120" w:after="0" w:line="240" w:lineRule="auto"/>
        <w:ind w:left="425" w:hanging="425"/>
        <w:jc w:val="left"/>
        <w:rPr>
          <w:rFonts w:asciiTheme="minorHAnsi" w:hAnsiTheme="minorHAnsi" w:cstheme="minorHAnsi"/>
          <w:color w:val="000000" w:themeColor="text1"/>
          <w:szCs w:val="22"/>
          <w:lang w:val="en-US"/>
        </w:rPr>
      </w:pPr>
      <w:r w:rsidRPr="00176746">
        <w:rPr>
          <w:rFonts w:asciiTheme="minorHAnsi" w:hAnsiTheme="minorHAnsi" w:cstheme="minorHAnsi"/>
          <w:color w:val="000000" w:themeColor="text1"/>
          <w:szCs w:val="22"/>
          <w:lang w:val="en-US" w:eastAsia="de-AT"/>
        </w:rPr>
        <w:t xml:space="preserve">Wei A.H. et al, </w:t>
      </w:r>
      <w:r w:rsidRPr="00176746">
        <w:rPr>
          <w:rFonts w:asciiTheme="minorHAnsi" w:eastAsia="OTNEJMQuadraat" w:hAnsiTheme="minorHAnsi" w:cstheme="minorHAnsi"/>
          <w:color w:val="000000" w:themeColor="text1"/>
          <w:szCs w:val="22"/>
          <w:lang w:val="en-US" w:eastAsia="de-AT"/>
        </w:rPr>
        <w:t>Oral Azacitidine Maintenance Therapy for Acute Myeloid Leukemia in First Remission, N Engl J Med 2020; 383(26): 2526-2537</w:t>
      </w:r>
    </w:p>
    <w:p w14:paraId="648027B5" w14:textId="77777777" w:rsidR="009321A5" w:rsidRPr="009321A5" w:rsidRDefault="00554144" w:rsidP="00B65295">
      <w:pPr>
        <w:pStyle w:val="Textkrper-Einzug2"/>
        <w:numPr>
          <w:ilvl w:val="0"/>
          <w:numId w:val="14"/>
        </w:numPr>
        <w:spacing w:before="120" w:after="0" w:line="240" w:lineRule="auto"/>
        <w:ind w:left="425" w:hanging="425"/>
        <w:jc w:val="left"/>
        <w:rPr>
          <w:rFonts w:asciiTheme="minorHAnsi" w:hAnsiTheme="minorHAnsi" w:cstheme="minorHAnsi"/>
          <w:szCs w:val="22"/>
          <w:lang w:val="en-US"/>
        </w:rPr>
      </w:pPr>
      <w:r w:rsidRPr="009321A5">
        <w:rPr>
          <w:rFonts w:asciiTheme="minorHAnsi" w:hAnsiTheme="minorHAnsi" w:cstheme="minorHAnsi"/>
          <w:color w:val="000000" w:themeColor="text1"/>
          <w:szCs w:val="22"/>
          <w:lang w:val="en-GB"/>
        </w:rPr>
        <w:t xml:space="preserve">Cortes JE et al, </w:t>
      </w:r>
      <w:r w:rsidRPr="009321A5">
        <w:rPr>
          <w:rFonts w:asciiTheme="minorHAnsi" w:hAnsiTheme="minorHAnsi" w:cstheme="minorHAnsi"/>
          <w:color w:val="000000" w:themeColor="text1"/>
          <w:lang w:val="en-US"/>
        </w:rPr>
        <w:t>Randomized comparison of low dose cytarabine with or without glasdegib in patients with newly diagnosed acute myeloid leukemia or high-risk myelodysplastic syndrome</w:t>
      </w:r>
      <w:r w:rsidRPr="009321A5">
        <w:rPr>
          <w:rFonts w:asciiTheme="minorHAnsi" w:hAnsiTheme="minorHAnsi" w:cstheme="minorHAnsi"/>
          <w:color w:val="000000" w:themeColor="text1"/>
          <w:szCs w:val="22"/>
          <w:lang w:val="en-US"/>
        </w:rPr>
        <w:t xml:space="preserve">, </w:t>
      </w:r>
      <w:r w:rsidRPr="009321A5">
        <w:rPr>
          <w:rFonts w:asciiTheme="minorHAnsi" w:hAnsiTheme="minorHAnsi" w:cstheme="minorHAnsi"/>
          <w:color w:val="000000" w:themeColor="text1"/>
          <w:szCs w:val="22"/>
          <w:lang w:val="en-GB"/>
        </w:rPr>
        <w:t>Leukemia</w:t>
      </w:r>
      <w:r w:rsidRPr="009321A5">
        <w:rPr>
          <w:rFonts w:asciiTheme="minorHAnsi" w:hAnsiTheme="minorHAnsi" w:cstheme="minorHAnsi"/>
          <w:i/>
          <w:iCs/>
          <w:color w:val="000000" w:themeColor="text1"/>
          <w:szCs w:val="22"/>
          <w:lang w:val="en-GB"/>
        </w:rPr>
        <w:t xml:space="preserve"> </w:t>
      </w:r>
      <w:r w:rsidRPr="009321A5">
        <w:rPr>
          <w:rFonts w:asciiTheme="minorHAnsi" w:hAnsiTheme="minorHAnsi" w:cstheme="minorHAnsi"/>
          <w:color w:val="000000" w:themeColor="text1"/>
          <w:szCs w:val="22"/>
          <w:lang w:val="en-GB"/>
        </w:rPr>
        <w:t>2019;33:379–38</w:t>
      </w:r>
      <w:r w:rsidR="009321A5">
        <w:rPr>
          <w:rFonts w:asciiTheme="minorHAnsi" w:hAnsiTheme="minorHAnsi" w:cstheme="minorHAnsi"/>
          <w:color w:val="000000" w:themeColor="text1"/>
          <w:szCs w:val="22"/>
          <w:lang w:val="en-GB"/>
        </w:rPr>
        <w:t>9.</w:t>
      </w:r>
    </w:p>
    <w:p w14:paraId="23802BB7" w14:textId="77777777" w:rsidR="009321A5" w:rsidRDefault="009321A5" w:rsidP="009321A5">
      <w:pPr>
        <w:pStyle w:val="Textkrper-Einzug2"/>
        <w:numPr>
          <w:ilvl w:val="0"/>
          <w:numId w:val="14"/>
        </w:numPr>
        <w:spacing w:before="120" w:after="0" w:line="240" w:lineRule="auto"/>
        <w:ind w:left="425" w:hanging="425"/>
        <w:jc w:val="left"/>
        <w:rPr>
          <w:rFonts w:asciiTheme="minorHAnsi" w:hAnsiTheme="minorHAnsi" w:cstheme="minorHAnsi"/>
          <w:color w:val="000000" w:themeColor="text1"/>
          <w:lang w:val="en-US"/>
        </w:rPr>
      </w:pPr>
      <w:r w:rsidRPr="009321A5">
        <w:rPr>
          <w:rFonts w:asciiTheme="minorHAnsi" w:hAnsiTheme="minorHAnsi" w:cstheme="minorHAnsi"/>
          <w:color w:val="000000" w:themeColor="text1"/>
          <w:lang w:val="en-US"/>
        </w:rPr>
        <w:t>Jonas B.A. et al, How we use venetoclax with hypomethylating agents for the treatment of newly diagnosed patients with acute myeloid leukemia, Leukemia (2019) 33:2795–2804</w:t>
      </w:r>
      <w:r>
        <w:rPr>
          <w:rFonts w:asciiTheme="minorHAnsi" w:hAnsiTheme="minorHAnsi" w:cstheme="minorHAnsi"/>
          <w:color w:val="000000" w:themeColor="text1"/>
          <w:lang w:val="en-US"/>
        </w:rPr>
        <w:t>.</w:t>
      </w:r>
    </w:p>
    <w:p w14:paraId="0719C09C" w14:textId="77777777" w:rsidR="009321A5" w:rsidRDefault="009321A5" w:rsidP="009321A5">
      <w:pPr>
        <w:pStyle w:val="Textkrper-Einzug2"/>
        <w:numPr>
          <w:ilvl w:val="0"/>
          <w:numId w:val="14"/>
        </w:numPr>
        <w:spacing w:before="120" w:after="0" w:line="240" w:lineRule="auto"/>
        <w:ind w:left="425" w:hanging="425"/>
        <w:jc w:val="left"/>
        <w:rPr>
          <w:rFonts w:asciiTheme="minorHAnsi" w:hAnsiTheme="minorHAnsi" w:cstheme="minorHAnsi"/>
          <w:color w:val="000000" w:themeColor="text1"/>
          <w:lang w:val="en-US"/>
        </w:rPr>
      </w:pPr>
      <w:r w:rsidRPr="009321A5">
        <w:rPr>
          <w:rFonts w:asciiTheme="minorHAnsi" w:hAnsiTheme="minorHAnsi" w:cstheme="minorHAnsi"/>
          <w:color w:val="000000" w:themeColor="text1"/>
          <w:lang w:val="en-US"/>
        </w:rPr>
        <w:t>Richard-Carpentier G et al, Venetoclax for the treatment of newly diagnosed acute myeloid leukemia in  patients who are ineligible for intensive chemotherapy,  Ther Adv Hematol 2019, Vol. 10: 1–14</w:t>
      </w:r>
      <w:r>
        <w:rPr>
          <w:rFonts w:asciiTheme="minorHAnsi" w:hAnsiTheme="minorHAnsi" w:cstheme="minorHAnsi"/>
          <w:color w:val="000000" w:themeColor="text1"/>
          <w:lang w:val="en-US"/>
        </w:rPr>
        <w:t>.</w:t>
      </w:r>
    </w:p>
    <w:p w14:paraId="01FECBD6" w14:textId="77777777" w:rsidR="00951F93" w:rsidRPr="00951F93" w:rsidRDefault="00951F93" w:rsidP="00951F93">
      <w:pPr>
        <w:pStyle w:val="Textkrper-Einzug2"/>
        <w:numPr>
          <w:ilvl w:val="0"/>
          <w:numId w:val="14"/>
        </w:numPr>
        <w:spacing w:before="120" w:after="0" w:line="240" w:lineRule="auto"/>
        <w:ind w:left="425" w:hanging="425"/>
        <w:jc w:val="left"/>
        <w:rPr>
          <w:rFonts w:asciiTheme="minorHAnsi" w:hAnsiTheme="minorHAnsi" w:cstheme="minorHAnsi"/>
          <w:color w:val="000000" w:themeColor="text1"/>
          <w:lang w:val="en-US"/>
        </w:rPr>
      </w:pPr>
      <w:r w:rsidRPr="00951F93">
        <w:rPr>
          <w:rFonts w:asciiTheme="minorHAnsi" w:hAnsiTheme="minorHAnsi" w:cstheme="minorHAnsi"/>
          <w:color w:val="000000" w:themeColor="text1"/>
          <w:lang w:val="en-US"/>
        </w:rPr>
        <w:t>DiNardo, C. D. et al. Clinical experience with the BCL2-inhibitor venetoclax in combination therapy for relapsed and refractory acute myeloid leukemia and related myeloid malignancies. Am. J. Hematol. 93, 401–407 (2018).</w:t>
      </w:r>
    </w:p>
    <w:p w14:paraId="26DE75D5" w14:textId="77777777" w:rsidR="00951F93" w:rsidRPr="00951F93" w:rsidRDefault="00951F93" w:rsidP="00951F93">
      <w:pPr>
        <w:pStyle w:val="Textkrper-Einzug2"/>
        <w:numPr>
          <w:ilvl w:val="0"/>
          <w:numId w:val="14"/>
        </w:numPr>
        <w:spacing w:before="120" w:after="0" w:line="240" w:lineRule="auto"/>
        <w:ind w:left="425" w:hanging="425"/>
        <w:jc w:val="left"/>
        <w:rPr>
          <w:rFonts w:asciiTheme="minorHAnsi" w:hAnsiTheme="minorHAnsi" w:cstheme="minorHAnsi"/>
          <w:color w:val="000000" w:themeColor="text1"/>
          <w:lang w:val="en-US"/>
        </w:rPr>
      </w:pPr>
      <w:r w:rsidRPr="00951F93">
        <w:rPr>
          <w:rFonts w:asciiTheme="minorHAnsi" w:hAnsiTheme="minorHAnsi" w:cstheme="minorHAnsi"/>
          <w:color w:val="000000" w:themeColor="text1"/>
          <w:lang w:val="en-US"/>
        </w:rPr>
        <w:t>Aldoss, I. et al. Efficacy of the combination of venetoclax and hypomethylating agents in relapsed/refractory acute myeloid leukemia. Haematologica 15, 404–407 (2018)</w:t>
      </w:r>
      <w:r>
        <w:rPr>
          <w:rFonts w:asciiTheme="minorHAnsi" w:hAnsiTheme="minorHAnsi" w:cstheme="minorHAnsi"/>
          <w:color w:val="000000" w:themeColor="text1"/>
          <w:lang w:val="en-US"/>
        </w:rPr>
        <w:t>.</w:t>
      </w:r>
    </w:p>
    <w:p w14:paraId="3F5B42D9" w14:textId="77777777" w:rsidR="00951F93" w:rsidRDefault="00951F93" w:rsidP="00951F93">
      <w:pPr>
        <w:pStyle w:val="Textkrper-Einzug2"/>
        <w:numPr>
          <w:ilvl w:val="0"/>
          <w:numId w:val="14"/>
        </w:numPr>
        <w:spacing w:before="120" w:after="0" w:line="240" w:lineRule="auto"/>
        <w:ind w:left="425" w:hanging="425"/>
        <w:jc w:val="left"/>
        <w:rPr>
          <w:rFonts w:asciiTheme="minorHAnsi" w:hAnsiTheme="minorHAnsi" w:cstheme="minorHAnsi"/>
          <w:color w:val="000000" w:themeColor="text1"/>
          <w:lang w:val="en-US"/>
        </w:rPr>
      </w:pPr>
      <w:r w:rsidRPr="00951F93">
        <w:rPr>
          <w:rFonts w:asciiTheme="minorHAnsi" w:hAnsiTheme="minorHAnsi" w:cstheme="minorHAnsi"/>
          <w:color w:val="000000" w:themeColor="text1"/>
          <w:lang w:val="en-US"/>
        </w:rPr>
        <w:t>Joshi M et al, Salvage use of venetoclax-based therapy for relapsed AML post allogeneic hematopoietic cell transplantation. Blood cancer J. 2021. PMID: 33664234</w:t>
      </w:r>
      <w:r>
        <w:rPr>
          <w:rFonts w:asciiTheme="minorHAnsi" w:hAnsiTheme="minorHAnsi" w:cstheme="minorHAnsi"/>
          <w:color w:val="000000" w:themeColor="text1"/>
          <w:lang w:val="en-US"/>
        </w:rPr>
        <w:t>.</w:t>
      </w:r>
    </w:p>
    <w:p w14:paraId="2B2060D7" w14:textId="77777777" w:rsidR="00582E7B" w:rsidRDefault="00582E7B" w:rsidP="00582E7B">
      <w:pPr>
        <w:pStyle w:val="Textkrper-Einzug2"/>
        <w:numPr>
          <w:ilvl w:val="0"/>
          <w:numId w:val="14"/>
        </w:numPr>
        <w:spacing w:before="120" w:after="0" w:line="240" w:lineRule="auto"/>
        <w:ind w:left="426" w:hanging="426"/>
        <w:jc w:val="left"/>
        <w:rPr>
          <w:rFonts w:asciiTheme="minorHAnsi" w:hAnsiTheme="minorHAnsi" w:cstheme="minorHAnsi"/>
          <w:color w:val="000000" w:themeColor="text1"/>
          <w:lang w:val="en-US"/>
        </w:rPr>
      </w:pPr>
      <w:r w:rsidRPr="00582E7B">
        <w:rPr>
          <w:rFonts w:asciiTheme="minorHAnsi" w:hAnsiTheme="minorHAnsi" w:cstheme="minorHAnsi"/>
          <w:color w:val="000000" w:themeColor="text1"/>
          <w:lang w:val="en-US"/>
        </w:rPr>
        <w:t>Cherry EM, Polyea DA et al, Blood advances 28 DECEMBER 2021 • VOLUME 5, NUMBER 24</w:t>
      </w:r>
      <w:r>
        <w:rPr>
          <w:rFonts w:asciiTheme="minorHAnsi" w:hAnsiTheme="minorHAnsi" w:cstheme="minorHAnsi"/>
          <w:color w:val="000000" w:themeColor="text1"/>
          <w:lang w:val="en-US"/>
        </w:rPr>
        <w:t>.</w:t>
      </w:r>
    </w:p>
    <w:p w14:paraId="142FE210" w14:textId="77777777" w:rsidR="00582E7B" w:rsidRPr="00A171BD" w:rsidRDefault="00582E7B" w:rsidP="00582E7B">
      <w:pPr>
        <w:pStyle w:val="Textkrper-Einzug2"/>
        <w:numPr>
          <w:ilvl w:val="0"/>
          <w:numId w:val="14"/>
        </w:numPr>
        <w:spacing w:before="120" w:after="0" w:line="240" w:lineRule="auto"/>
        <w:ind w:left="426" w:hanging="426"/>
        <w:jc w:val="left"/>
        <w:rPr>
          <w:rFonts w:asciiTheme="minorHAnsi" w:hAnsiTheme="minorHAnsi" w:cstheme="minorHAnsi"/>
          <w:color w:val="000000" w:themeColor="text1"/>
          <w:lang w:val="en-US"/>
        </w:rPr>
      </w:pPr>
      <w:r w:rsidRPr="00A171BD">
        <w:rPr>
          <w:rFonts w:asciiTheme="minorHAnsi" w:hAnsiTheme="minorHAnsi" w:cstheme="minorHAnsi"/>
          <w:color w:val="000000" w:themeColor="text1"/>
          <w:lang w:val="en-US"/>
        </w:rPr>
        <w:t>Zeidan AM et al, Venetoclax plus Azacitidine (VEN-AZA) vs. Intensive Chemotherapy (IC) as induction for patients with acute myeloid leukemia (AML): retrospective analysis of an electronic medical records (EMR) database in the United States, ASH 2021, Abstract #277.</w:t>
      </w:r>
    </w:p>
    <w:p w14:paraId="0C003E02" w14:textId="77777777" w:rsidR="00582E7B" w:rsidRPr="00A171BD" w:rsidRDefault="00582E7B" w:rsidP="00582E7B">
      <w:pPr>
        <w:pStyle w:val="Textkrper-Einzug2"/>
        <w:numPr>
          <w:ilvl w:val="0"/>
          <w:numId w:val="14"/>
        </w:numPr>
        <w:spacing w:before="120" w:after="0" w:line="240" w:lineRule="auto"/>
        <w:ind w:left="426" w:hanging="426"/>
        <w:jc w:val="left"/>
        <w:rPr>
          <w:rFonts w:asciiTheme="minorHAnsi" w:hAnsiTheme="minorHAnsi" w:cstheme="minorHAnsi"/>
          <w:color w:val="000000" w:themeColor="text1"/>
          <w:lang w:val="en-US"/>
        </w:rPr>
      </w:pPr>
      <w:r w:rsidRPr="00A171BD">
        <w:rPr>
          <w:rFonts w:asciiTheme="minorHAnsi" w:hAnsiTheme="minorHAnsi" w:cstheme="minorHAnsi"/>
          <w:color w:val="000000" w:themeColor="text1"/>
          <w:lang w:val="en-US"/>
        </w:rPr>
        <w:t xml:space="preserve">Abhishek Maiti , Marina Y Konopleva How We Incorporate Venetoclax in Treatment Regimens for Acute Myeloid Leukemia Cancer J. 2022 Jan-Feb 01;28(1):2-13. doi: 10.1097/PPO.0000000000000567 https://pubmed.ncbi.nlm.nih.gov/35072368/ </w:t>
      </w:r>
    </w:p>
    <w:p w14:paraId="00577D11" w14:textId="77777777" w:rsidR="00AD248D" w:rsidRPr="00A171BD" w:rsidRDefault="00AD248D" w:rsidP="00582E7B">
      <w:pPr>
        <w:pStyle w:val="Textkrper-Einzug2"/>
        <w:numPr>
          <w:ilvl w:val="0"/>
          <w:numId w:val="14"/>
        </w:numPr>
        <w:spacing w:before="120" w:after="0" w:line="240" w:lineRule="auto"/>
        <w:ind w:left="426" w:hanging="426"/>
        <w:jc w:val="left"/>
        <w:rPr>
          <w:rFonts w:asciiTheme="minorHAnsi" w:hAnsiTheme="minorHAnsi" w:cstheme="minorHAnsi"/>
          <w:color w:val="000000" w:themeColor="text1"/>
          <w:lang w:val="en-US"/>
        </w:rPr>
      </w:pPr>
      <w:r w:rsidRPr="00A171BD">
        <w:rPr>
          <w:rFonts w:asciiTheme="minorHAnsi" w:hAnsiTheme="minorHAnsi" w:cstheme="minorHAnsi"/>
          <w:color w:val="000000" w:themeColor="text1"/>
          <w:lang w:val="en-US"/>
        </w:rPr>
        <w:lastRenderedPageBreak/>
        <w:t>Doehner H, AGILE: A Global, Randomized, Double-Blind, Phase 3 Study of Ivosidenib + Azacitidine Versus Placebo + Azacitidine in Patients with Newly Diagnosed Acute Myeloid Leukemia with an IDH1 Mutation, ASH 2021, Abstract #697.</w:t>
      </w:r>
    </w:p>
    <w:p w14:paraId="37659A57" w14:textId="04F27279" w:rsidR="000621AE" w:rsidRPr="00A171BD" w:rsidRDefault="000621AE" w:rsidP="00582E7B">
      <w:pPr>
        <w:pStyle w:val="Textkrper-Einzug2"/>
        <w:numPr>
          <w:ilvl w:val="0"/>
          <w:numId w:val="14"/>
        </w:numPr>
        <w:spacing w:before="120" w:after="0" w:line="240" w:lineRule="auto"/>
        <w:ind w:left="426" w:hanging="426"/>
        <w:jc w:val="left"/>
        <w:rPr>
          <w:rFonts w:asciiTheme="minorHAnsi" w:hAnsiTheme="minorHAnsi" w:cstheme="minorHAnsi"/>
          <w:color w:val="000000" w:themeColor="text1"/>
          <w:lang w:val="en-US"/>
        </w:rPr>
      </w:pPr>
      <w:r w:rsidRPr="00A171BD">
        <w:rPr>
          <w:rFonts w:asciiTheme="minorHAnsi" w:hAnsiTheme="minorHAnsi" w:cstheme="minorHAnsi"/>
          <w:color w:val="000000" w:themeColor="text1"/>
          <w:lang w:val="en-US"/>
        </w:rPr>
        <w:t>A.H. Wei, et al Oral Azacitidine Maintenance Therapy for Acute Myeloid Leukemia in First Remission (QUAZAR AML-001 Trial ) N Engl J Med 2020;383:2526-37. DOI: 10.1056/NEJMoa2004444</w:t>
      </w:r>
      <w:r w:rsidR="00A171BD">
        <w:rPr>
          <w:rFonts w:asciiTheme="minorHAnsi" w:hAnsiTheme="minorHAnsi" w:cstheme="minorHAnsi"/>
          <w:color w:val="000000" w:themeColor="text1"/>
          <w:lang w:val="en-US"/>
        </w:rPr>
        <w:t>.</w:t>
      </w:r>
    </w:p>
    <w:p w14:paraId="4FDED90B" w14:textId="77777777" w:rsidR="00E2185A" w:rsidRDefault="00E2185A" w:rsidP="00E90E54">
      <w:pPr>
        <w:jc w:val="both"/>
        <w:rPr>
          <w:lang w:val="en-GB"/>
        </w:rPr>
      </w:pPr>
    </w:p>
    <w:p w14:paraId="33395044" w14:textId="77777777" w:rsidR="00E90E54" w:rsidRPr="00582E7B" w:rsidRDefault="00E90E54" w:rsidP="00E90E54">
      <w:pPr>
        <w:jc w:val="both"/>
        <w:rPr>
          <w:color w:val="000000" w:themeColor="text1"/>
          <w:lang w:val="en-GB"/>
        </w:rPr>
      </w:pPr>
    </w:p>
    <w:p w14:paraId="38C90F4E" w14:textId="77777777" w:rsidR="00365ED7" w:rsidRPr="00E344D4" w:rsidRDefault="00365ED7" w:rsidP="00365ED7">
      <w:pPr>
        <w:pStyle w:val="berschrift1"/>
      </w:pPr>
      <w:bookmarkStart w:id="75" w:name="_Toc63667688"/>
      <w:bookmarkStart w:id="76" w:name="_Toc367183622"/>
      <w:bookmarkStart w:id="77" w:name="_Toc367183860"/>
      <w:r w:rsidRPr="00E344D4">
        <w:t>Anhang: Studienblatt</w:t>
      </w:r>
      <w:bookmarkEnd w:id="75"/>
      <w:r>
        <w:t xml:space="preserve"> </w:t>
      </w:r>
      <w:bookmarkEnd w:id="76"/>
      <w:bookmarkEnd w:id="77"/>
    </w:p>
    <w:p w14:paraId="145CEB92" w14:textId="77777777" w:rsidR="00442045" w:rsidRPr="00176746" w:rsidRDefault="00442045" w:rsidP="00442045">
      <w:pPr>
        <w:pStyle w:val="Textkrper-Einzug2"/>
        <w:numPr>
          <w:ilvl w:val="0"/>
          <w:numId w:val="30"/>
        </w:numPr>
        <w:spacing w:after="0" w:line="276" w:lineRule="auto"/>
        <w:jc w:val="both"/>
        <w:rPr>
          <w:rFonts w:asciiTheme="minorHAnsi" w:hAnsiTheme="minorHAnsi" w:cstheme="minorHAnsi"/>
          <w:b/>
          <w:bCs/>
          <w:color w:val="000000" w:themeColor="text1"/>
          <w:szCs w:val="22"/>
        </w:rPr>
      </w:pPr>
      <w:r w:rsidRPr="00176746">
        <w:rPr>
          <w:rFonts w:asciiTheme="minorHAnsi" w:hAnsiTheme="minorHAnsi" w:cstheme="minorHAnsi"/>
          <w:b/>
          <w:bCs/>
          <w:color w:val="000000" w:themeColor="text1"/>
          <w:szCs w:val="22"/>
        </w:rPr>
        <w:t>Paloma-Studie</w:t>
      </w:r>
    </w:p>
    <w:p w14:paraId="4BC5F769" w14:textId="77777777" w:rsidR="00442045" w:rsidRPr="00CF6E16" w:rsidRDefault="00442045" w:rsidP="00442045">
      <w:pPr>
        <w:pStyle w:val="Textkrper-Einzug2"/>
        <w:spacing w:after="0" w:line="276" w:lineRule="auto"/>
        <w:ind w:left="360"/>
        <w:jc w:val="both"/>
        <w:rPr>
          <w:rFonts w:asciiTheme="minorHAnsi" w:hAnsiTheme="minorHAnsi" w:cstheme="minorHAnsi"/>
          <w:b/>
          <w:bCs/>
          <w:color w:val="000000" w:themeColor="text1"/>
          <w:szCs w:val="22"/>
        </w:rPr>
      </w:pPr>
      <w:r w:rsidRPr="00CF6E16">
        <w:rPr>
          <w:rFonts w:asciiTheme="minorHAnsi" w:hAnsiTheme="minorHAnsi" w:cstheme="minorHAnsi"/>
          <w:b/>
          <w:bCs/>
          <w:color w:val="000000" w:themeColor="text1"/>
          <w:szCs w:val="22"/>
        </w:rPr>
        <w:t>Ansprechpartnerin O</w:t>
      </w:r>
      <w:r w:rsidR="00CF6E16" w:rsidRPr="00CF6E16">
        <w:rPr>
          <w:rFonts w:asciiTheme="minorHAnsi" w:hAnsiTheme="minorHAnsi" w:cstheme="minorHAnsi"/>
          <w:b/>
          <w:bCs/>
          <w:color w:val="000000" w:themeColor="text1"/>
          <w:szCs w:val="22"/>
        </w:rPr>
        <w:t>Ä Dr.</w:t>
      </w:r>
      <w:r w:rsidRPr="00CF6E16">
        <w:rPr>
          <w:rFonts w:asciiTheme="minorHAnsi" w:hAnsiTheme="minorHAnsi" w:cstheme="minorHAnsi"/>
          <w:b/>
          <w:bCs/>
          <w:color w:val="000000" w:themeColor="text1"/>
          <w:szCs w:val="22"/>
        </w:rPr>
        <w:t xml:space="preserve"> Sigrid Machherndl-Spandl (Ordensklinikum </w:t>
      </w:r>
      <w:r w:rsidR="00CF6E16" w:rsidRPr="00CF6E16">
        <w:rPr>
          <w:rFonts w:asciiTheme="minorHAnsi" w:hAnsiTheme="minorHAnsi" w:cstheme="minorHAnsi"/>
          <w:b/>
          <w:bCs/>
          <w:color w:val="000000" w:themeColor="text1"/>
          <w:szCs w:val="22"/>
        </w:rPr>
        <w:t xml:space="preserve">Linz </w:t>
      </w:r>
      <w:r w:rsidRPr="00CF6E16">
        <w:rPr>
          <w:rFonts w:asciiTheme="minorHAnsi" w:hAnsiTheme="minorHAnsi" w:cstheme="minorHAnsi"/>
          <w:b/>
          <w:bCs/>
          <w:color w:val="000000" w:themeColor="text1"/>
          <w:szCs w:val="22"/>
        </w:rPr>
        <w:t>Elisabethinen)</w:t>
      </w:r>
    </w:p>
    <w:p w14:paraId="04B159E7" w14:textId="77777777" w:rsidR="00442045" w:rsidRPr="00176746" w:rsidRDefault="00442045" w:rsidP="00442045">
      <w:pPr>
        <w:pStyle w:val="Textkrper-Einzug2"/>
        <w:spacing w:after="0" w:line="276" w:lineRule="auto"/>
        <w:ind w:left="360"/>
        <w:jc w:val="both"/>
        <w:rPr>
          <w:rFonts w:asciiTheme="minorHAnsi" w:hAnsiTheme="minorHAnsi" w:cstheme="minorHAnsi"/>
          <w:color w:val="000000" w:themeColor="text1"/>
          <w:szCs w:val="22"/>
          <w:lang w:val="en-GB"/>
        </w:rPr>
      </w:pPr>
      <w:r w:rsidRPr="00176746">
        <w:rPr>
          <w:rFonts w:asciiTheme="minorHAnsi" w:hAnsiTheme="minorHAnsi" w:cstheme="minorHAnsi"/>
          <w:color w:val="000000" w:themeColor="text1"/>
          <w:szCs w:val="22"/>
          <w:lang w:val="en-GB"/>
        </w:rPr>
        <w:t>Primary comparison of liposomal anthracycline-based treatment versus conventional care strategies prior to allogeneic stem cell transplantation in patients with higher risk MDS or oligoblastic AML</w:t>
      </w:r>
    </w:p>
    <w:p w14:paraId="22D2B5D5" w14:textId="77777777" w:rsidR="00442045" w:rsidRPr="00176746" w:rsidRDefault="00442045" w:rsidP="00442045">
      <w:pPr>
        <w:pStyle w:val="Textkrper-Einzug2"/>
        <w:spacing w:after="0" w:line="276" w:lineRule="auto"/>
        <w:ind w:left="360"/>
        <w:jc w:val="both"/>
        <w:rPr>
          <w:rFonts w:asciiTheme="minorHAnsi" w:hAnsiTheme="minorHAnsi" w:cstheme="minorHAnsi"/>
          <w:color w:val="000000" w:themeColor="text1"/>
          <w:szCs w:val="22"/>
        </w:rPr>
      </w:pPr>
      <w:r w:rsidRPr="00176746">
        <w:rPr>
          <w:rFonts w:asciiTheme="minorHAnsi" w:hAnsiTheme="minorHAnsi" w:cstheme="minorHAnsi"/>
          <w:color w:val="000000" w:themeColor="text1"/>
          <w:szCs w:val="22"/>
        </w:rPr>
        <w:t>Phase 2, open label; CPX 351 vs  standard (Aza oder 3+7 Induktion)</w:t>
      </w:r>
    </w:p>
    <w:p w14:paraId="089667BA" w14:textId="77777777" w:rsidR="00442045" w:rsidRPr="00176746" w:rsidRDefault="00442045" w:rsidP="00442045">
      <w:pPr>
        <w:pStyle w:val="Textkrper-Einzug2"/>
        <w:spacing w:after="0" w:line="276" w:lineRule="auto"/>
        <w:ind w:left="360"/>
        <w:jc w:val="both"/>
        <w:rPr>
          <w:rFonts w:asciiTheme="minorHAnsi" w:hAnsiTheme="minorHAnsi" w:cstheme="minorHAnsi"/>
          <w:color w:val="000000" w:themeColor="text1"/>
          <w:szCs w:val="22"/>
          <w:u w:val="single"/>
        </w:rPr>
      </w:pPr>
      <w:r w:rsidRPr="00176746">
        <w:rPr>
          <w:rFonts w:asciiTheme="minorHAnsi" w:hAnsiTheme="minorHAnsi" w:cstheme="minorHAnsi"/>
          <w:color w:val="000000" w:themeColor="text1"/>
          <w:szCs w:val="22"/>
          <w:u w:val="single"/>
        </w:rPr>
        <w:t>Inclusion criteria</w:t>
      </w:r>
    </w:p>
    <w:p w14:paraId="0D15F8A8" w14:textId="77777777" w:rsidR="00442045" w:rsidRPr="00176746" w:rsidRDefault="00442045" w:rsidP="00442045">
      <w:pPr>
        <w:pStyle w:val="Textkrper-Einzug2"/>
        <w:numPr>
          <w:ilvl w:val="0"/>
          <w:numId w:val="31"/>
        </w:numPr>
        <w:spacing w:after="0" w:line="276" w:lineRule="auto"/>
        <w:jc w:val="both"/>
        <w:rPr>
          <w:rFonts w:asciiTheme="minorHAnsi" w:hAnsiTheme="minorHAnsi" w:cstheme="minorHAnsi"/>
          <w:color w:val="000000" w:themeColor="text1"/>
          <w:szCs w:val="22"/>
        </w:rPr>
      </w:pPr>
      <w:r w:rsidRPr="00176746">
        <w:rPr>
          <w:rFonts w:asciiTheme="minorHAnsi" w:hAnsiTheme="minorHAnsi" w:cstheme="minorHAnsi"/>
          <w:color w:val="000000" w:themeColor="text1"/>
          <w:szCs w:val="22"/>
        </w:rPr>
        <w:t>Fit für intensive Chemo und allo-SZT, SZT innerhalb von 6 Monaten geplant</w:t>
      </w:r>
    </w:p>
    <w:p w14:paraId="1EF0ED58" w14:textId="77777777" w:rsidR="00442045" w:rsidRPr="00176746" w:rsidRDefault="00442045" w:rsidP="00442045">
      <w:pPr>
        <w:pStyle w:val="Textkrper-Einzug2"/>
        <w:numPr>
          <w:ilvl w:val="0"/>
          <w:numId w:val="31"/>
        </w:numPr>
        <w:spacing w:after="0" w:line="276" w:lineRule="auto"/>
        <w:jc w:val="both"/>
        <w:rPr>
          <w:rFonts w:asciiTheme="minorHAnsi" w:hAnsiTheme="minorHAnsi" w:cstheme="minorHAnsi"/>
          <w:color w:val="000000" w:themeColor="text1"/>
          <w:szCs w:val="22"/>
        </w:rPr>
      </w:pPr>
      <w:r w:rsidRPr="00176746">
        <w:rPr>
          <w:rFonts w:asciiTheme="minorHAnsi" w:hAnsiTheme="minorHAnsi" w:cstheme="minorHAnsi"/>
          <w:color w:val="000000" w:themeColor="text1"/>
          <w:szCs w:val="22"/>
        </w:rPr>
        <w:t>ECOG 0-1</w:t>
      </w:r>
    </w:p>
    <w:p w14:paraId="1BCE182C" w14:textId="77777777" w:rsidR="00442045" w:rsidRPr="00176746" w:rsidRDefault="00442045" w:rsidP="00442045">
      <w:pPr>
        <w:pStyle w:val="Textkrper-Einzug2"/>
        <w:numPr>
          <w:ilvl w:val="0"/>
          <w:numId w:val="31"/>
        </w:numPr>
        <w:spacing w:after="0" w:line="276" w:lineRule="auto"/>
        <w:jc w:val="both"/>
        <w:rPr>
          <w:rFonts w:asciiTheme="minorHAnsi" w:hAnsiTheme="minorHAnsi" w:cstheme="minorHAnsi"/>
          <w:color w:val="000000" w:themeColor="text1"/>
          <w:szCs w:val="22"/>
          <w:lang w:val="en-GB"/>
        </w:rPr>
      </w:pPr>
      <w:r w:rsidRPr="00176746">
        <w:rPr>
          <w:rFonts w:asciiTheme="minorHAnsi" w:hAnsiTheme="minorHAnsi" w:cstheme="minorHAnsi"/>
          <w:color w:val="000000" w:themeColor="text1"/>
          <w:szCs w:val="22"/>
          <w:lang w:val="en-GB"/>
        </w:rPr>
        <w:t>MDS IPSS intermediate-2 or high and oligoblastic AML &lt; 30% blasts and WBC &lt; 15 G/L</w:t>
      </w:r>
    </w:p>
    <w:p w14:paraId="4C82033C" w14:textId="77777777" w:rsidR="0066234E" w:rsidRPr="00176746" w:rsidRDefault="0066234E" w:rsidP="0066234E">
      <w:pPr>
        <w:pStyle w:val="Textkrper-Einzug2"/>
        <w:spacing w:after="0" w:line="276" w:lineRule="auto"/>
        <w:ind w:left="720"/>
        <w:jc w:val="both"/>
        <w:rPr>
          <w:rFonts w:asciiTheme="minorHAnsi" w:hAnsiTheme="minorHAnsi" w:cstheme="minorHAnsi"/>
          <w:color w:val="000000" w:themeColor="text1"/>
          <w:szCs w:val="22"/>
          <w:lang w:val="en-GB"/>
        </w:rPr>
      </w:pPr>
    </w:p>
    <w:p w14:paraId="32C2F7EE" w14:textId="77777777" w:rsidR="00FB49EB" w:rsidRPr="0066234E" w:rsidRDefault="00FB49EB" w:rsidP="0069569C">
      <w:pPr>
        <w:pStyle w:val="Textkrper-Einzug2"/>
        <w:numPr>
          <w:ilvl w:val="0"/>
          <w:numId w:val="21"/>
        </w:numPr>
        <w:spacing w:after="0" w:line="276" w:lineRule="auto"/>
        <w:ind w:left="284"/>
        <w:jc w:val="both"/>
        <w:rPr>
          <w:rFonts w:asciiTheme="minorHAnsi" w:hAnsiTheme="minorHAnsi" w:cstheme="minorHAnsi"/>
          <w:b/>
          <w:szCs w:val="22"/>
        </w:rPr>
      </w:pPr>
      <w:r w:rsidRPr="0066234E">
        <w:rPr>
          <w:rFonts w:asciiTheme="minorHAnsi" w:hAnsiTheme="minorHAnsi" w:cstheme="minorHAnsi"/>
          <w:b/>
          <w:szCs w:val="22"/>
        </w:rPr>
        <w:t>AMLSG 30-18:</w:t>
      </w:r>
    </w:p>
    <w:p w14:paraId="7CAE24D9" w14:textId="77777777" w:rsidR="00365ED7" w:rsidRPr="00057605" w:rsidRDefault="00FB49EB" w:rsidP="0069569C">
      <w:pPr>
        <w:pStyle w:val="Textkrper-Einzug2"/>
        <w:spacing w:after="0" w:line="276" w:lineRule="auto"/>
        <w:ind w:left="284"/>
        <w:jc w:val="both"/>
        <w:rPr>
          <w:rFonts w:asciiTheme="minorHAnsi" w:hAnsiTheme="minorHAnsi" w:cstheme="minorHAnsi"/>
          <w:szCs w:val="22"/>
          <w:lang w:val="en-GB"/>
        </w:rPr>
      </w:pPr>
      <w:r w:rsidRPr="00057605">
        <w:rPr>
          <w:rFonts w:asciiTheme="minorHAnsi" w:hAnsiTheme="minorHAnsi" w:cstheme="minorHAnsi"/>
          <w:szCs w:val="22"/>
          <w:lang w:val="en-GB"/>
        </w:rPr>
        <w:t>Randomized Phase III Study of Standard Intensive Chemotherapy versus Intesive Chemotherapy with CPX-351 in Adult Patients with Newly Diagnosed AML and Intermediate- or Adverse Genetics.</w:t>
      </w:r>
    </w:p>
    <w:p w14:paraId="3FC88C4C" w14:textId="77777777" w:rsidR="009F6718" w:rsidRPr="00057605" w:rsidRDefault="009F6718" w:rsidP="0069569C">
      <w:pPr>
        <w:pStyle w:val="Textkrper-Einzug2"/>
        <w:spacing w:after="0" w:line="276" w:lineRule="auto"/>
        <w:ind w:left="284"/>
        <w:jc w:val="both"/>
        <w:rPr>
          <w:rFonts w:asciiTheme="minorHAnsi" w:hAnsiTheme="minorHAnsi" w:cstheme="minorHAnsi"/>
          <w:szCs w:val="22"/>
          <w:lang w:val="en-GB"/>
        </w:rPr>
      </w:pPr>
    </w:p>
    <w:p w14:paraId="0BBB1601" w14:textId="77777777" w:rsidR="009F6718" w:rsidRPr="0066234E" w:rsidRDefault="009F6718" w:rsidP="0069569C">
      <w:pPr>
        <w:pStyle w:val="Textkrper-Einzug2"/>
        <w:numPr>
          <w:ilvl w:val="0"/>
          <w:numId w:val="21"/>
        </w:numPr>
        <w:spacing w:after="0" w:line="276" w:lineRule="auto"/>
        <w:ind w:left="284"/>
        <w:jc w:val="both"/>
        <w:rPr>
          <w:rFonts w:asciiTheme="minorHAnsi" w:hAnsiTheme="minorHAnsi" w:cstheme="minorHAnsi"/>
          <w:b/>
          <w:szCs w:val="22"/>
        </w:rPr>
      </w:pPr>
      <w:r w:rsidRPr="0066234E">
        <w:rPr>
          <w:rFonts w:asciiTheme="minorHAnsi" w:hAnsiTheme="minorHAnsi" w:cstheme="minorHAnsi"/>
          <w:b/>
          <w:szCs w:val="22"/>
        </w:rPr>
        <w:t>AMLSG 29-18</w:t>
      </w:r>
    </w:p>
    <w:p w14:paraId="2347E866" w14:textId="77777777" w:rsidR="009F6718" w:rsidRPr="009F6718" w:rsidRDefault="009F6718" w:rsidP="0069569C">
      <w:pPr>
        <w:pStyle w:val="Textkrper-Einzug2"/>
        <w:spacing w:after="0" w:line="276" w:lineRule="auto"/>
        <w:ind w:left="284"/>
        <w:jc w:val="both"/>
        <w:rPr>
          <w:rFonts w:asciiTheme="minorHAnsi" w:hAnsiTheme="minorHAnsi" w:cstheme="minorHAnsi"/>
          <w:szCs w:val="22"/>
        </w:rPr>
      </w:pPr>
      <w:r w:rsidRPr="009F6718">
        <w:rPr>
          <w:rFonts w:asciiTheme="minorHAnsi" w:hAnsiTheme="minorHAnsi" w:cstheme="minorHAnsi"/>
          <w:szCs w:val="22"/>
        </w:rPr>
        <w:t>multizentrische, doppelblinde, randomisierte, placebokontrollierte,</w:t>
      </w:r>
      <w:r>
        <w:rPr>
          <w:rFonts w:asciiTheme="minorHAnsi" w:hAnsiTheme="minorHAnsi" w:cstheme="minorHAnsi"/>
          <w:szCs w:val="22"/>
        </w:rPr>
        <w:t xml:space="preserve"> </w:t>
      </w:r>
      <w:r w:rsidRPr="009F6718">
        <w:rPr>
          <w:rFonts w:asciiTheme="minorHAnsi" w:hAnsiTheme="minorHAnsi" w:cstheme="minorHAnsi"/>
          <w:szCs w:val="22"/>
        </w:rPr>
        <w:t>Phase 3 Studie zu Ivosidenib oder Enasidenib in Kombination mit Induktions- und Konsolidierungschemotherapie mit anschließender Erhaltungstherapie für Patienten mit neu-diagnostizierter AML oder mit MDS mit Exzess</w:t>
      </w:r>
      <w:r>
        <w:rPr>
          <w:rFonts w:asciiTheme="minorHAnsi" w:hAnsiTheme="minorHAnsi" w:cstheme="minorHAnsi"/>
          <w:szCs w:val="22"/>
        </w:rPr>
        <w:t xml:space="preserve"> </w:t>
      </w:r>
      <w:r w:rsidRPr="009F6718">
        <w:rPr>
          <w:rFonts w:asciiTheme="minorHAnsi" w:hAnsiTheme="minorHAnsi" w:cstheme="minorHAnsi"/>
          <w:szCs w:val="22"/>
        </w:rPr>
        <w:t>von Blasten-2 (MDS-EB2), die eine IDH1 oder IDH2 Mutation aufweisen</w:t>
      </w:r>
      <w:r>
        <w:rPr>
          <w:rFonts w:asciiTheme="minorHAnsi" w:hAnsiTheme="minorHAnsi" w:cstheme="minorHAnsi"/>
          <w:szCs w:val="22"/>
        </w:rPr>
        <w:t xml:space="preserve"> </w:t>
      </w:r>
      <w:r w:rsidRPr="009F6718">
        <w:rPr>
          <w:rFonts w:asciiTheme="minorHAnsi" w:hAnsiTheme="minorHAnsi" w:cstheme="minorHAnsi"/>
          <w:szCs w:val="22"/>
        </w:rPr>
        <w:t>und für eine intensive Chemotherapie geeignet sind.</w:t>
      </w:r>
    </w:p>
    <w:p w14:paraId="18AB6833" w14:textId="21847C55" w:rsidR="009F6718" w:rsidRDefault="009F6718" w:rsidP="00FB49EB">
      <w:pPr>
        <w:pStyle w:val="Textkrper-Einzug2"/>
        <w:spacing w:after="0" w:line="276" w:lineRule="auto"/>
        <w:ind w:left="720"/>
        <w:jc w:val="both"/>
        <w:rPr>
          <w:rFonts w:asciiTheme="minorHAnsi" w:hAnsiTheme="minorHAnsi" w:cstheme="minorHAnsi"/>
          <w:szCs w:val="22"/>
        </w:rPr>
      </w:pPr>
    </w:p>
    <w:p w14:paraId="7F303397" w14:textId="77777777" w:rsidR="00A171BD" w:rsidRPr="00A171BD" w:rsidRDefault="00A171BD" w:rsidP="00A171BD">
      <w:pPr>
        <w:pStyle w:val="Textkrper-Einzug2"/>
        <w:numPr>
          <w:ilvl w:val="0"/>
          <w:numId w:val="21"/>
        </w:numPr>
        <w:spacing w:after="0" w:line="276" w:lineRule="auto"/>
        <w:ind w:left="284"/>
        <w:jc w:val="both"/>
        <w:rPr>
          <w:rFonts w:ascii="Calibri" w:hAnsi="Calibri" w:cs="Calibri"/>
          <w:color w:val="000000"/>
          <w:sz w:val="24"/>
          <w:lang w:eastAsia="de-AT"/>
        </w:rPr>
      </w:pPr>
      <w:r w:rsidRPr="00A171BD">
        <w:rPr>
          <w:rFonts w:asciiTheme="minorHAnsi" w:hAnsiTheme="minorHAnsi" w:cstheme="minorHAnsi"/>
          <w:b/>
          <w:szCs w:val="22"/>
        </w:rPr>
        <w:t>AML-SG 28-18</w:t>
      </w:r>
    </w:p>
    <w:p w14:paraId="268D2D60" w14:textId="1135D35F" w:rsidR="00A171BD" w:rsidRDefault="00A171BD" w:rsidP="00A171BD">
      <w:pPr>
        <w:pStyle w:val="Textkrper-Einzug2"/>
        <w:spacing w:after="0" w:line="276" w:lineRule="auto"/>
        <w:ind w:left="284"/>
        <w:jc w:val="both"/>
        <w:rPr>
          <w:rFonts w:ascii="Calibri" w:hAnsi="Calibri" w:cs="Calibri"/>
          <w:color w:val="000000"/>
        </w:rPr>
      </w:pPr>
      <w:r>
        <w:rPr>
          <w:rFonts w:ascii="Calibri" w:hAnsi="Calibri" w:cs="Calibri"/>
          <w:color w:val="000000"/>
        </w:rPr>
        <w:t xml:space="preserve">Midostaurin vs Gilteritinib mit Induktions- und Konsolidierungs- chemotherapie mit anschließender Erhaltungstherapie für Patienten mit </w:t>
      </w:r>
      <w:r>
        <w:rPr>
          <w:rFonts w:ascii="Calibri" w:hAnsi="Calibri" w:cs="Calibri"/>
          <w:b/>
          <w:bCs/>
          <w:color w:val="000000"/>
        </w:rPr>
        <w:t>neu-diagnostizierter AML</w:t>
      </w:r>
      <w:r>
        <w:rPr>
          <w:rFonts w:ascii="Calibri" w:hAnsi="Calibri" w:cs="Calibri"/>
          <w:color w:val="000000"/>
        </w:rPr>
        <w:t xml:space="preserve"> mit FLT3 Mutation.</w:t>
      </w:r>
    </w:p>
    <w:p w14:paraId="58FAA17A" w14:textId="77777777" w:rsidR="00460DE7" w:rsidRDefault="00460DE7" w:rsidP="00A171BD">
      <w:pPr>
        <w:pStyle w:val="Textkrper-Einzug2"/>
        <w:spacing w:after="0" w:line="276" w:lineRule="auto"/>
        <w:ind w:left="284"/>
        <w:jc w:val="both"/>
        <w:rPr>
          <w:rFonts w:ascii="Calibri" w:hAnsi="Calibri" w:cs="Calibri"/>
          <w:color w:val="000000"/>
        </w:rPr>
      </w:pPr>
    </w:p>
    <w:p w14:paraId="742651D9" w14:textId="5125EACB" w:rsidR="00460DE7" w:rsidRDefault="00460DE7" w:rsidP="00460DE7">
      <w:pPr>
        <w:pStyle w:val="Textkrper-Einzug2"/>
        <w:numPr>
          <w:ilvl w:val="0"/>
          <w:numId w:val="21"/>
        </w:numPr>
        <w:spacing w:after="0" w:line="276" w:lineRule="auto"/>
        <w:ind w:left="284"/>
        <w:jc w:val="both"/>
        <w:rPr>
          <w:rFonts w:ascii="Calibri" w:hAnsi="Calibri" w:cs="Calibri"/>
          <w:color w:val="000000"/>
        </w:rPr>
      </w:pPr>
      <w:r w:rsidRPr="00460DE7">
        <w:rPr>
          <w:rFonts w:asciiTheme="minorHAnsi" w:hAnsiTheme="minorHAnsi" w:cstheme="minorHAnsi"/>
          <w:b/>
          <w:szCs w:val="22"/>
        </w:rPr>
        <w:t>TL 895-203</w:t>
      </w:r>
    </w:p>
    <w:p w14:paraId="72D226E2" w14:textId="03B6C98D" w:rsidR="00460DE7" w:rsidRPr="00460DE7" w:rsidRDefault="00460DE7" w:rsidP="00460DE7">
      <w:pPr>
        <w:pStyle w:val="Textkrper-Einzug2"/>
        <w:spacing w:after="0" w:line="276" w:lineRule="auto"/>
        <w:ind w:left="284"/>
        <w:jc w:val="both"/>
        <w:rPr>
          <w:rFonts w:ascii="Calibri" w:hAnsi="Calibri" w:cs="Calibri"/>
          <w:color w:val="000000"/>
        </w:rPr>
      </w:pPr>
      <w:r w:rsidRPr="00460DE7">
        <w:rPr>
          <w:rFonts w:ascii="Calibri" w:hAnsi="Calibri" w:cs="Calibri"/>
          <w:color w:val="000000"/>
        </w:rPr>
        <w:t>Eine offene, multicenter, Phase 1</w:t>
      </w:r>
      <w:bookmarkStart w:id="78" w:name="_GoBack"/>
      <w:bookmarkEnd w:id="78"/>
      <w:r w:rsidRPr="00460DE7">
        <w:rPr>
          <w:rFonts w:ascii="Calibri" w:hAnsi="Calibri" w:cs="Calibri"/>
          <w:color w:val="000000"/>
        </w:rPr>
        <w:t>b/2 Studie über die Sicherheit und Wirksamkeit von</w:t>
      </w:r>
      <w:r>
        <w:rPr>
          <w:rFonts w:ascii="Calibri" w:hAnsi="Calibri" w:cs="Calibri"/>
          <w:color w:val="000000"/>
        </w:rPr>
        <w:t xml:space="preserve"> </w:t>
      </w:r>
      <w:r>
        <w:rPr>
          <w:rFonts w:ascii="Calibri" w:hAnsi="Calibri" w:cs="Calibri"/>
          <w:color w:val="000000"/>
        </w:rPr>
        <w:t>TL-895 kombiniert mit KRT-232 bei Patienten mit relapsed/refractory (R/R) FLT3+ Akute MyeloischeLeukämie (AML)</w:t>
      </w:r>
      <w:r>
        <w:rPr>
          <w:rFonts w:ascii="Calibri" w:hAnsi="Calibri" w:cs="Calibri"/>
          <w:color w:val="000000"/>
        </w:rPr>
        <w:t>.</w:t>
      </w:r>
    </w:p>
    <w:p w14:paraId="72A29D18" w14:textId="77777777" w:rsidR="00A171BD" w:rsidRDefault="00A171BD" w:rsidP="00FB49EB">
      <w:pPr>
        <w:pStyle w:val="Textkrper-Einzug2"/>
        <w:spacing w:after="0" w:line="276" w:lineRule="auto"/>
        <w:ind w:left="720"/>
        <w:jc w:val="both"/>
        <w:rPr>
          <w:rFonts w:asciiTheme="minorHAnsi" w:hAnsiTheme="minorHAnsi" w:cstheme="minorHAnsi"/>
          <w:szCs w:val="22"/>
        </w:rPr>
      </w:pPr>
    </w:p>
    <w:p w14:paraId="02C92986" w14:textId="77777777" w:rsidR="005172BD" w:rsidRPr="00E90E54" w:rsidRDefault="00E90E54" w:rsidP="00E90E54">
      <w:pPr>
        <w:pStyle w:val="Textkrper-Einzug2"/>
        <w:numPr>
          <w:ilvl w:val="0"/>
          <w:numId w:val="21"/>
        </w:numPr>
        <w:spacing w:after="0" w:line="276" w:lineRule="auto"/>
        <w:ind w:left="284"/>
        <w:jc w:val="both"/>
        <w:rPr>
          <w:rFonts w:asciiTheme="minorHAnsi" w:hAnsiTheme="minorHAnsi" w:cstheme="minorHAnsi"/>
          <w:b/>
          <w:szCs w:val="22"/>
        </w:rPr>
      </w:pPr>
      <w:r>
        <w:rPr>
          <w:rFonts w:asciiTheme="minorHAnsi" w:hAnsiTheme="minorHAnsi" w:cstheme="minorHAnsi"/>
          <w:b/>
          <w:szCs w:val="22"/>
        </w:rPr>
        <w:t>Na</w:t>
      </w:r>
      <w:r w:rsidR="00AD248D" w:rsidRPr="00E90E54">
        <w:rPr>
          <w:rFonts w:asciiTheme="minorHAnsi" w:hAnsiTheme="minorHAnsi" w:cstheme="minorHAnsi"/>
          <w:b/>
          <w:szCs w:val="22"/>
        </w:rPr>
        <w:t>m</w:t>
      </w:r>
      <w:r>
        <w:rPr>
          <w:rFonts w:asciiTheme="minorHAnsi" w:hAnsiTheme="minorHAnsi" w:cstheme="minorHAnsi"/>
          <w:b/>
          <w:szCs w:val="22"/>
        </w:rPr>
        <w:t>ed Patient Programm</w:t>
      </w:r>
    </w:p>
    <w:p w14:paraId="7A4AA79C" w14:textId="77777777" w:rsidR="00AD248D" w:rsidRPr="00E90E54" w:rsidRDefault="00AD248D" w:rsidP="00E90E54">
      <w:pPr>
        <w:pStyle w:val="Textkrper-Einzug2"/>
        <w:spacing w:after="0" w:line="276" w:lineRule="auto"/>
        <w:ind w:left="284"/>
        <w:jc w:val="both"/>
        <w:rPr>
          <w:rFonts w:asciiTheme="minorHAnsi" w:hAnsiTheme="minorHAnsi" w:cstheme="minorHAnsi"/>
          <w:szCs w:val="22"/>
        </w:rPr>
      </w:pPr>
      <w:r w:rsidRPr="00E90E54">
        <w:rPr>
          <w:rFonts w:asciiTheme="minorHAnsi" w:hAnsiTheme="minorHAnsi" w:cstheme="minorHAnsi"/>
          <w:szCs w:val="22"/>
        </w:rPr>
        <w:t>Ivosidenib + Azacitidine für AML nicht fit für inten</w:t>
      </w:r>
      <w:r w:rsidR="00E90E54">
        <w:rPr>
          <w:rFonts w:asciiTheme="minorHAnsi" w:hAnsiTheme="minorHAnsi" w:cstheme="minorHAnsi"/>
          <w:szCs w:val="22"/>
        </w:rPr>
        <w:t>sive Therapie mit IDH1-Mutation.</w:t>
      </w:r>
    </w:p>
    <w:p w14:paraId="14CA8474" w14:textId="69FAAF26" w:rsidR="00FE6600" w:rsidRDefault="00AD248D" w:rsidP="00460DE7">
      <w:pPr>
        <w:pStyle w:val="Textkrper-Einzug2"/>
        <w:spacing w:after="0" w:line="276" w:lineRule="auto"/>
        <w:ind w:left="284"/>
        <w:jc w:val="both"/>
        <w:rPr>
          <w:rFonts w:asciiTheme="minorHAnsi" w:hAnsiTheme="minorHAnsi" w:cstheme="minorHAnsi"/>
          <w:szCs w:val="22"/>
        </w:rPr>
      </w:pPr>
      <w:r w:rsidRPr="00E90E54">
        <w:rPr>
          <w:rFonts w:asciiTheme="minorHAnsi" w:hAnsiTheme="minorHAnsi" w:cstheme="minorHAnsi"/>
          <w:szCs w:val="22"/>
        </w:rPr>
        <w:t>Kostenübernahme muss bei der Krankenkasse angefragt werden, Medikation wird durch Fa. Servier organisert.</w:t>
      </w:r>
    </w:p>
    <w:p w14:paraId="3848068C" w14:textId="77777777" w:rsidR="00FE6600" w:rsidRDefault="00FE6600" w:rsidP="00FB49EB">
      <w:pPr>
        <w:pStyle w:val="Textkrper-Einzug2"/>
        <w:spacing w:after="0" w:line="276" w:lineRule="auto"/>
        <w:ind w:left="720"/>
        <w:jc w:val="both"/>
        <w:rPr>
          <w:rFonts w:asciiTheme="minorHAnsi" w:hAnsiTheme="minorHAnsi" w:cstheme="minorHAnsi"/>
          <w:szCs w:val="22"/>
        </w:rPr>
      </w:pPr>
    </w:p>
    <w:p w14:paraId="3E2FE960" w14:textId="77777777" w:rsidR="00FE6600" w:rsidRDefault="00FE6600" w:rsidP="00FB49EB">
      <w:pPr>
        <w:pStyle w:val="Textkrper-Einzug2"/>
        <w:spacing w:after="0" w:line="276" w:lineRule="auto"/>
        <w:ind w:left="720"/>
        <w:jc w:val="both"/>
        <w:rPr>
          <w:rFonts w:asciiTheme="minorHAnsi" w:hAnsiTheme="minorHAnsi" w:cstheme="minorHAnsi"/>
          <w:szCs w:val="22"/>
        </w:rPr>
      </w:pPr>
    </w:p>
    <w:p w14:paraId="4F18CA69" w14:textId="77777777" w:rsidR="00FE6600" w:rsidRDefault="00FE6600" w:rsidP="00FB49EB">
      <w:pPr>
        <w:pStyle w:val="Textkrper-Einzug2"/>
        <w:spacing w:after="0" w:line="276" w:lineRule="auto"/>
        <w:ind w:left="720"/>
        <w:jc w:val="both"/>
        <w:rPr>
          <w:rFonts w:asciiTheme="minorHAnsi" w:hAnsiTheme="minorHAnsi" w:cstheme="minorHAnsi"/>
          <w:szCs w:val="22"/>
        </w:rPr>
      </w:pPr>
    </w:p>
    <w:p w14:paraId="3E60CB2E" w14:textId="77777777" w:rsidR="00FE6600" w:rsidRPr="006A5AB8" w:rsidRDefault="00FE6600" w:rsidP="00FE6600">
      <w:pPr>
        <w:pStyle w:val="berschrift1"/>
      </w:pPr>
      <w:bookmarkStart w:id="79" w:name="_Toc63667689"/>
      <w:r w:rsidRPr="006A5AB8">
        <w:lastRenderedPageBreak/>
        <w:t>Anhang: Chemotherapieprotokolle</w:t>
      </w:r>
      <w:bookmarkEnd w:id="79"/>
    </w:p>
    <w:tbl>
      <w:tblPr>
        <w:tblStyle w:val="Tabellenraster"/>
        <w:tblpPr w:leftFromText="141" w:rightFromText="141" w:vertAnchor="text" w:horzAnchor="margin" w:tblpX="-49" w:tblpY="240"/>
        <w:tblW w:w="9487" w:type="dxa"/>
        <w:tblLook w:val="04A0" w:firstRow="1" w:lastRow="0" w:firstColumn="1" w:lastColumn="0" w:noHBand="0" w:noVBand="1"/>
      </w:tblPr>
      <w:tblGrid>
        <w:gridCol w:w="3313"/>
        <w:gridCol w:w="6174"/>
      </w:tblGrid>
      <w:tr w:rsidR="00FE6600" w:rsidRPr="00460DE7" w14:paraId="65D2BB3F" w14:textId="77777777" w:rsidTr="00CF6E16">
        <w:tc>
          <w:tcPr>
            <w:tcW w:w="3313" w:type="dxa"/>
          </w:tcPr>
          <w:p w14:paraId="225F72FD" w14:textId="77777777" w:rsidR="00FE6600" w:rsidRPr="000A2240" w:rsidRDefault="00FE6600" w:rsidP="00CF6E16">
            <w:pPr>
              <w:autoSpaceDE w:val="0"/>
              <w:autoSpaceDN w:val="0"/>
              <w:adjustRightInd w:val="0"/>
              <w:spacing w:line="276" w:lineRule="auto"/>
              <w:jc w:val="both"/>
              <w:rPr>
                <w:rFonts w:ascii="Calibri" w:hAnsi="Calibri"/>
                <w:b/>
                <w:color w:val="000000"/>
              </w:rPr>
            </w:pPr>
            <w:r w:rsidRPr="000A2240">
              <w:rPr>
                <w:rFonts w:ascii="Calibri" w:hAnsi="Calibri"/>
                <w:b/>
                <w:color w:val="000000"/>
              </w:rPr>
              <w:t>Azacitidine (Vidaza®)</w:t>
            </w:r>
          </w:p>
        </w:tc>
        <w:tc>
          <w:tcPr>
            <w:tcW w:w="6174" w:type="dxa"/>
          </w:tcPr>
          <w:p w14:paraId="42CB0E21" w14:textId="77777777" w:rsidR="000A2240" w:rsidRPr="00D2198E" w:rsidRDefault="000A2240" w:rsidP="00CF6E16">
            <w:pPr>
              <w:autoSpaceDE w:val="0"/>
              <w:autoSpaceDN w:val="0"/>
              <w:adjustRightInd w:val="0"/>
              <w:spacing w:line="276" w:lineRule="auto"/>
              <w:ind w:right="6"/>
              <w:jc w:val="both"/>
              <w:rPr>
                <w:rFonts w:ascii="Calibri" w:hAnsi="Calibri"/>
                <w:color w:val="000000"/>
                <w:lang w:val="es-ES"/>
              </w:rPr>
            </w:pPr>
            <w:r w:rsidRPr="00D2198E">
              <w:rPr>
                <w:rFonts w:ascii="Calibri" w:hAnsi="Calibri"/>
                <w:color w:val="000000"/>
                <w:lang w:val="es-ES"/>
              </w:rPr>
              <w:t>AML-MDS: 5-Azacitidine 75mg/m² SUBCUTAN (d1-7; q4w)</w:t>
            </w:r>
          </w:p>
          <w:p w14:paraId="02E9E700" w14:textId="77777777" w:rsidR="000A2240" w:rsidRPr="00D2198E" w:rsidRDefault="000A2240" w:rsidP="00CF6E16">
            <w:pPr>
              <w:autoSpaceDE w:val="0"/>
              <w:autoSpaceDN w:val="0"/>
              <w:adjustRightInd w:val="0"/>
              <w:spacing w:line="276" w:lineRule="auto"/>
              <w:ind w:right="6"/>
              <w:jc w:val="both"/>
              <w:rPr>
                <w:rFonts w:ascii="Calibri" w:hAnsi="Calibri"/>
                <w:color w:val="000000"/>
                <w:lang w:val="es-ES"/>
              </w:rPr>
            </w:pPr>
            <w:r w:rsidRPr="00D2198E">
              <w:rPr>
                <w:rFonts w:ascii="Calibri" w:hAnsi="Calibri"/>
                <w:color w:val="000000"/>
                <w:lang w:val="es-ES"/>
              </w:rPr>
              <w:t>AML-MDS: 5 - Azacitidin  75mg/m² i.v., d 1-7, q4w</w:t>
            </w:r>
          </w:p>
          <w:p w14:paraId="624FAAC3" w14:textId="77777777" w:rsidR="00FE6600" w:rsidRPr="000A2240" w:rsidRDefault="004F5F25" w:rsidP="00CF6E16">
            <w:pPr>
              <w:pStyle w:val="Listenabsatz"/>
              <w:numPr>
                <w:ilvl w:val="0"/>
                <w:numId w:val="22"/>
              </w:numPr>
              <w:autoSpaceDE w:val="0"/>
              <w:autoSpaceDN w:val="0"/>
              <w:adjustRightInd w:val="0"/>
              <w:spacing w:line="276" w:lineRule="auto"/>
              <w:ind w:left="174" w:hanging="186"/>
              <w:jc w:val="both"/>
              <w:rPr>
                <w:rFonts w:ascii="Calibri" w:hAnsi="Calibri"/>
                <w:color w:val="000000"/>
              </w:rPr>
            </w:pPr>
            <w:r>
              <w:rPr>
                <w:rFonts w:ascii="Calibri" w:hAnsi="Calibri"/>
                <w:color w:val="000000"/>
              </w:rPr>
              <w:t>7</w:t>
            </w:r>
            <w:r w:rsidR="00FE6600" w:rsidRPr="000A2240">
              <w:rPr>
                <w:rFonts w:ascii="Calibri" w:hAnsi="Calibri"/>
                <w:color w:val="000000"/>
              </w:rPr>
              <w:t xml:space="preserve">5 mg/m2 s.c. Tag 1-7 (oder i.v. bei schwerer Thrombopenie) </w:t>
            </w:r>
          </w:p>
          <w:p w14:paraId="2556EAC9" w14:textId="77777777" w:rsidR="00FE6600" w:rsidRPr="000A2240" w:rsidRDefault="00FE6600" w:rsidP="00CF6E16">
            <w:pPr>
              <w:pStyle w:val="Listenabsatz"/>
              <w:numPr>
                <w:ilvl w:val="0"/>
                <w:numId w:val="22"/>
              </w:numPr>
              <w:autoSpaceDE w:val="0"/>
              <w:autoSpaceDN w:val="0"/>
              <w:adjustRightInd w:val="0"/>
              <w:spacing w:line="276" w:lineRule="auto"/>
              <w:ind w:left="174" w:hanging="186"/>
              <w:jc w:val="both"/>
              <w:rPr>
                <w:rFonts w:ascii="Calibri" w:hAnsi="Calibri"/>
                <w:color w:val="000000"/>
              </w:rPr>
            </w:pPr>
            <w:r w:rsidRPr="000A2240">
              <w:rPr>
                <w:rFonts w:ascii="Calibri" w:hAnsi="Calibri"/>
                <w:color w:val="000000"/>
              </w:rPr>
              <w:t>Alternativ: Gesamtdosis aufgeteilt auf 5 Tage</w:t>
            </w:r>
            <w:r w:rsidR="000A2240" w:rsidRPr="000A2240">
              <w:rPr>
                <w:rFonts w:ascii="Calibri" w:hAnsi="Calibri"/>
                <w:color w:val="000000"/>
              </w:rPr>
              <w:t>:</w:t>
            </w:r>
          </w:p>
          <w:p w14:paraId="1279F9BD" w14:textId="77777777" w:rsidR="00F37EDD" w:rsidRPr="00D2198E" w:rsidRDefault="00F37EDD" w:rsidP="00CF6E16">
            <w:pPr>
              <w:autoSpaceDE w:val="0"/>
              <w:autoSpaceDN w:val="0"/>
              <w:adjustRightInd w:val="0"/>
              <w:spacing w:line="276" w:lineRule="auto"/>
              <w:ind w:right="6"/>
              <w:jc w:val="both"/>
              <w:rPr>
                <w:rFonts w:ascii="Calibri" w:hAnsi="Calibri"/>
                <w:color w:val="000000"/>
                <w:lang w:val="es-ES"/>
              </w:rPr>
            </w:pPr>
            <w:r w:rsidRPr="00D2198E">
              <w:rPr>
                <w:rFonts w:ascii="Calibri" w:hAnsi="Calibri"/>
                <w:color w:val="000000"/>
                <w:lang w:val="es-ES"/>
              </w:rPr>
              <w:t>AML-MDS: 5-Azacitidine 105mg/m² SUBCUTAN (d1-5; q4w)</w:t>
            </w:r>
          </w:p>
          <w:p w14:paraId="6C6E7D88" w14:textId="77777777" w:rsidR="00F37EDD" w:rsidRPr="00D2198E" w:rsidRDefault="000A2240" w:rsidP="00CF6E16">
            <w:pPr>
              <w:autoSpaceDE w:val="0"/>
              <w:autoSpaceDN w:val="0"/>
              <w:adjustRightInd w:val="0"/>
              <w:spacing w:line="276" w:lineRule="auto"/>
              <w:ind w:right="6"/>
              <w:jc w:val="both"/>
              <w:rPr>
                <w:rFonts w:ascii="Calibri" w:hAnsi="Calibri"/>
                <w:color w:val="000000"/>
                <w:lang w:val="es-ES"/>
              </w:rPr>
            </w:pPr>
            <w:r w:rsidRPr="00D2198E">
              <w:rPr>
                <w:rFonts w:ascii="Calibri" w:hAnsi="Calibri"/>
                <w:color w:val="000000"/>
                <w:lang w:val="es-ES"/>
              </w:rPr>
              <w:t>AML-MDS: 5 - Azacitidin 105mg/m² i.v., d 1-5, q4w</w:t>
            </w:r>
          </w:p>
        </w:tc>
      </w:tr>
      <w:tr w:rsidR="008D7252" w:rsidRPr="000621AE" w14:paraId="0A3CA5D2" w14:textId="77777777" w:rsidTr="00CF6E16">
        <w:tc>
          <w:tcPr>
            <w:tcW w:w="3313" w:type="dxa"/>
          </w:tcPr>
          <w:p w14:paraId="60664F01" w14:textId="77777777" w:rsidR="008D7252" w:rsidRDefault="008D7252" w:rsidP="00CF6E16">
            <w:pPr>
              <w:autoSpaceDE w:val="0"/>
              <w:autoSpaceDN w:val="0"/>
              <w:adjustRightInd w:val="0"/>
              <w:spacing w:line="276" w:lineRule="auto"/>
              <w:jc w:val="both"/>
              <w:rPr>
                <w:rFonts w:ascii="Calibri" w:hAnsi="Calibri"/>
                <w:b/>
                <w:color w:val="000000"/>
              </w:rPr>
            </w:pPr>
            <w:r>
              <w:rPr>
                <w:rFonts w:ascii="Calibri" w:hAnsi="Calibri"/>
                <w:b/>
                <w:color w:val="000000"/>
              </w:rPr>
              <w:t>Azacitidin oral (Onureg</w:t>
            </w:r>
            <w:r w:rsidRPr="000A2240">
              <w:rPr>
                <w:rFonts w:ascii="Calibri" w:hAnsi="Calibri"/>
                <w:b/>
                <w:color w:val="000000"/>
              </w:rPr>
              <w:t>®</w:t>
            </w:r>
            <w:r>
              <w:rPr>
                <w:rFonts w:ascii="Calibri" w:hAnsi="Calibri"/>
                <w:b/>
                <w:color w:val="000000"/>
              </w:rPr>
              <w:t>)</w:t>
            </w:r>
          </w:p>
          <w:p w14:paraId="4FF1C183" w14:textId="77777777" w:rsidR="008D7252" w:rsidRDefault="008D7252" w:rsidP="00CF6E16">
            <w:pPr>
              <w:autoSpaceDE w:val="0"/>
              <w:autoSpaceDN w:val="0"/>
              <w:adjustRightInd w:val="0"/>
              <w:spacing w:line="276" w:lineRule="auto"/>
              <w:jc w:val="both"/>
              <w:rPr>
                <w:rFonts w:ascii="Calibri" w:hAnsi="Calibri"/>
                <w:b/>
                <w:color w:val="000000"/>
              </w:rPr>
            </w:pPr>
          </w:p>
        </w:tc>
        <w:tc>
          <w:tcPr>
            <w:tcW w:w="6174" w:type="dxa"/>
          </w:tcPr>
          <w:p w14:paraId="0899AADD" w14:textId="77777777" w:rsidR="008D7252" w:rsidRPr="00CF6E16" w:rsidRDefault="008D7252" w:rsidP="00CF6E16">
            <w:pPr>
              <w:autoSpaceDE w:val="0"/>
              <w:autoSpaceDN w:val="0"/>
              <w:adjustRightInd w:val="0"/>
              <w:spacing w:line="276" w:lineRule="auto"/>
              <w:jc w:val="both"/>
              <w:rPr>
                <w:rFonts w:ascii="Calibri" w:hAnsi="Calibri"/>
                <w:color w:val="000000"/>
              </w:rPr>
            </w:pPr>
            <w:r w:rsidRPr="00CF6E16">
              <w:rPr>
                <w:rFonts w:ascii="Calibri" w:hAnsi="Calibri"/>
                <w:color w:val="000000"/>
              </w:rPr>
              <w:t xml:space="preserve">300mg täglich </w:t>
            </w:r>
            <w:r w:rsidR="004E2397" w:rsidRPr="00CF6E16">
              <w:rPr>
                <w:rFonts w:ascii="Calibri" w:hAnsi="Calibri"/>
                <w:color w:val="000000"/>
              </w:rPr>
              <w:t xml:space="preserve">(1/0/0)  unabhängig von den Mahlzeiten </w:t>
            </w:r>
            <w:r w:rsidRPr="00CF6E16">
              <w:rPr>
                <w:rFonts w:ascii="Calibri" w:hAnsi="Calibri"/>
                <w:color w:val="000000"/>
              </w:rPr>
              <w:t>Tag 1-14</w:t>
            </w:r>
            <w:r w:rsidR="004E2397" w:rsidRPr="00CF6E16">
              <w:rPr>
                <w:rFonts w:ascii="Calibri" w:hAnsi="Calibri"/>
                <w:color w:val="000000"/>
              </w:rPr>
              <w:t xml:space="preserve"> eines  </w:t>
            </w:r>
            <w:r w:rsidR="00473EA8" w:rsidRPr="00CF6E16">
              <w:rPr>
                <w:rFonts w:ascii="Calibri" w:hAnsi="Calibri"/>
                <w:color w:val="000000"/>
              </w:rPr>
              <w:t>28 Tage</w:t>
            </w:r>
            <w:r w:rsidR="004E2397" w:rsidRPr="00CF6E16">
              <w:rPr>
                <w:rFonts w:ascii="Calibri" w:hAnsi="Calibri"/>
                <w:color w:val="000000"/>
              </w:rPr>
              <w:t xml:space="preserve"> Zyklus </w:t>
            </w:r>
            <w:r w:rsidR="00473EA8" w:rsidRPr="00CF6E16">
              <w:rPr>
                <w:rFonts w:ascii="Calibri" w:hAnsi="Calibri"/>
                <w:color w:val="000000"/>
              </w:rPr>
              <w:t>bis Progress oder inakzeptable Toxizität</w:t>
            </w:r>
          </w:p>
        </w:tc>
      </w:tr>
      <w:tr w:rsidR="004E2397" w:rsidRPr="000621AE" w14:paraId="6DC5D0DA" w14:textId="77777777" w:rsidTr="00CF6E16">
        <w:tc>
          <w:tcPr>
            <w:tcW w:w="9487" w:type="dxa"/>
            <w:gridSpan w:val="2"/>
          </w:tcPr>
          <w:p w14:paraId="53B23258" w14:textId="77777777" w:rsidR="00085C18" w:rsidRPr="00CF6E16" w:rsidRDefault="00473EA8" w:rsidP="00CF6E16">
            <w:pPr>
              <w:autoSpaceDE w:val="0"/>
              <w:autoSpaceDN w:val="0"/>
              <w:adjustRightInd w:val="0"/>
              <w:spacing w:line="276" w:lineRule="auto"/>
              <w:jc w:val="both"/>
              <w:rPr>
                <w:rFonts w:ascii="Calibri" w:hAnsi="Calibri"/>
                <w:color w:val="000000"/>
              </w:rPr>
            </w:pPr>
            <w:r w:rsidRPr="00CF6E16">
              <w:rPr>
                <w:rFonts w:ascii="Calibri" w:hAnsi="Calibri"/>
                <w:color w:val="000000"/>
              </w:rPr>
              <w:t>Die Patienten sollten ein Antiemetikum während der ersten 2 Behandlungszyklen 30 Minuten vor jeder Dosis ONUREG® erhalten. Die Prophylaxe mit Antiemetika kann nach 2 Zyklen eingestellt werden, wenn während der beiden Zyklen Übelkeit und Erbrechen nicht aufgetreten sind.</w:t>
            </w:r>
          </w:p>
          <w:p w14:paraId="764237A0" w14:textId="77777777" w:rsidR="00085C18" w:rsidRPr="00CF6E16" w:rsidRDefault="00085C18" w:rsidP="00CF6E16">
            <w:pPr>
              <w:autoSpaceDE w:val="0"/>
              <w:autoSpaceDN w:val="0"/>
              <w:adjustRightInd w:val="0"/>
              <w:spacing w:line="276" w:lineRule="auto"/>
              <w:jc w:val="both"/>
              <w:rPr>
                <w:rFonts w:ascii="Calibri" w:hAnsi="Calibri"/>
                <w:color w:val="000000"/>
              </w:rPr>
            </w:pPr>
            <w:r w:rsidRPr="00CF6E16">
              <w:rPr>
                <w:rFonts w:ascii="Calibri" w:hAnsi="Calibri"/>
                <w:b/>
                <w:color w:val="000000"/>
              </w:rPr>
              <w:t>Therapie-Abbruch:</w:t>
            </w:r>
            <w:r w:rsidRPr="00CF6E16">
              <w:rPr>
                <w:rFonts w:ascii="Calibri" w:hAnsi="Calibri"/>
                <w:color w:val="000000"/>
              </w:rPr>
              <w:t xml:space="preserve"> Bei KM-Blasten &gt; 15 % Bei anhaltender Toxizität nach Dosis- und Intervall-Reduktion</w:t>
            </w:r>
          </w:p>
          <w:p w14:paraId="655CF746" w14:textId="77777777" w:rsidR="004E2397" w:rsidRDefault="00473EA8" w:rsidP="00CF6E16">
            <w:pPr>
              <w:autoSpaceDE w:val="0"/>
              <w:autoSpaceDN w:val="0"/>
              <w:adjustRightInd w:val="0"/>
              <w:spacing w:line="276" w:lineRule="auto"/>
              <w:jc w:val="both"/>
              <w:rPr>
                <w:rFonts w:ascii="Calibri" w:hAnsi="Calibri"/>
                <w:color w:val="000000"/>
                <w:lang w:val="en-GB"/>
              </w:rPr>
            </w:pPr>
            <w:r w:rsidRPr="00085C18">
              <w:rPr>
                <w:rFonts w:ascii="Calibri" w:hAnsi="Calibri"/>
                <w:b/>
                <w:color w:val="000000"/>
                <w:lang w:val="en-GB"/>
              </w:rPr>
              <w:t>Dosisanpassungen:</w:t>
            </w:r>
            <w:r w:rsidRPr="00085C18">
              <w:rPr>
                <w:rFonts w:ascii="Calibri" w:hAnsi="Calibri"/>
                <w:color w:val="000000"/>
                <w:lang w:val="en-GB"/>
              </w:rPr>
              <w:t xml:space="preserve"> </w:t>
            </w:r>
            <w:r w:rsidRPr="00085C18">
              <w:rPr>
                <w:rFonts w:ascii="Calibri" w:hAnsi="Calibri"/>
                <w:noProof/>
                <w:color w:val="000000"/>
                <w:lang w:eastAsia="de-AT"/>
              </w:rPr>
              <w:drawing>
                <wp:inline distT="0" distB="0" distL="0" distR="0" wp14:anchorId="0EDFA13C" wp14:editId="2567F695">
                  <wp:extent cx="5686883" cy="1718932"/>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551" t="13014" r="2595"/>
                          <a:stretch/>
                        </pic:blipFill>
                        <pic:spPr bwMode="auto">
                          <a:xfrm>
                            <a:off x="0" y="0"/>
                            <a:ext cx="5686926" cy="1718945"/>
                          </a:xfrm>
                          <a:prstGeom prst="rect">
                            <a:avLst/>
                          </a:prstGeom>
                          <a:ln>
                            <a:noFill/>
                          </a:ln>
                          <a:extLst>
                            <a:ext uri="{53640926-AAD7-44D8-BBD7-CCE9431645EC}">
                              <a14:shadowObscured xmlns:a14="http://schemas.microsoft.com/office/drawing/2010/main"/>
                            </a:ext>
                          </a:extLst>
                        </pic:spPr>
                      </pic:pic>
                    </a:graphicData>
                  </a:graphic>
                </wp:inline>
              </w:drawing>
            </w:r>
          </w:p>
          <w:p w14:paraId="3A8725E7" w14:textId="77777777" w:rsidR="00473EA8" w:rsidRPr="00582E7B" w:rsidRDefault="00934CD1" w:rsidP="00CF6E16">
            <w:pPr>
              <w:autoSpaceDE w:val="0"/>
              <w:autoSpaceDN w:val="0"/>
              <w:adjustRightInd w:val="0"/>
              <w:spacing w:line="276" w:lineRule="auto"/>
              <w:jc w:val="both"/>
              <w:rPr>
                <w:rFonts w:ascii="Calibri" w:hAnsi="Calibri"/>
                <w:color w:val="000000"/>
                <w:lang w:val="en-GB"/>
              </w:rPr>
            </w:pPr>
            <w:r w:rsidRPr="00085C18">
              <w:rPr>
                <w:rFonts w:ascii="Calibri" w:hAnsi="Calibri"/>
                <w:noProof/>
                <w:color w:val="000000"/>
                <w:lang w:eastAsia="de-AT"/>
              </w:rPr>
              <w:drawing>
                <wp:inline distT="0" distB="0" distL="0" distR="0" wp14:anchorId="79B06D23" wp14:editId="7902425A">
                  <wp:extent cx="5730892" cy="1767813"/>
                  <wp:effectExtent l="0" t="0" r="3175" b="444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794" t="8596" r="5981"/>
                          <a:stretch/>
                        </pic:blipFill>
                        <pic:spPr bwMode="auto">
                          <a:xfrm>
                            <a:off x="0" y="0"/>
                            <a:ext cx="5738661" cy="1770210"/>
                          </a:xfrm>
                          <a:prstGeom prst="rect">
                            <a:avLst/>
                          </a:prstGeom>
                          <a:ln>
                            <a:noFill/>
                          </a:ln>
                          <a:extLst>
                            <a:ext uri="{53640926-AAD7-44D8-BBD7-CCE9431645EC}">
                              <a14:shadowObscured xmlns:a14="http://schemas.microsoft.com/office/drawing/2010/main"/>
                            </a:ext>
                          </a:extLst>
                        </pic:spPr>
                      </pic:pic>
                    </a:graphicData>
                  </a:graphic>
                </wp:inline>
              </w:drawing>
            </w:r>
          </w:p>
        </w:tc>
      </w:tr>
      <w:tr w:rsidR="007B2301" w:rsidRPr="00460DE7" w14:paraId="34A76E43" w14:textId="77777777" w:rsidTr="00CF6E16">
        <w:tc>
          <w:tcPr>
            <w:tcW w:w="3313" w:type="dxa"/>
          </w:tcPr>
          <w:p w14:paraId="58EA3567" w14:textId="77777777" w:rsidR="007B2301" w:rsidRPr="004F5F25" w:rsidRDefault="007B2301" w:rsidP="00CF6E16">
            <w:pPr>
              <w:autoSpaceDE w:val="0"/>
              <w:autoSpaceDN w:val="0"/>
              <w:adjustRightInd w:val="0"/>
              <w:spacing w:line="276" w:lineRule="auto"/>
              <w:jc w:val="both"/>
              <w:rPr>
                <w:rFonts w:ascii="Calibri" w:hAnsi="Calibri"/>
                <w:b/>
                <w:color w:val="000000"/>
              </w:rPr>
            </w:pPr>
            <w:r>
              <w:rPr>
                <w:rFonts w:ascii="Calibri" w:hAnsi="Calibri"/>
                <w:b/>
                <w:color w:val="000000"/>
              </w:rPr>
              <w:t>Azacitidine + Venetoclax</w:t>
            </w:r>
          </w:p>
        </w:tc>
        <w:tc>
          <w:tcPr>
            <w:tcW w:w="6174" w:type="dxa"/>
          </w:tcPr>
          <w:p w14:paraId="2C0F9426" w14:textId="77777777" w:rsidR="007B2301" w:rsidRPr="00582E7B" w:rsidRDefault="007B2301" w:rsidP="00CF6E16">
            <w:pPr>
              <w:autoSpaceDE w:val="0"/>
              <w:autoSpaceDN w:val="0"/>
              <w:adjustRightInd w:val="0"/>
              <w:spacing w:line="276" w:lineRule="auto"/>
              <w:jc w:val="both"/>
              <w:rPr>
                <w:rFonts w:ascii="Calibri" w:hAnsi="Calibri"/>
                <w:color w:val="000000"/>
                <w:lang w:val="en-GB"/>
              </w:rPr>
            </w:pPr>
            <w:r w:rsidRPr="00582E7B">
              <w:rPr>
                <w:rFonts w:ascii="Calibri" w:hAnsi="Calibri"/>
                <w:color w:val="000000"/>
                <w:lang w:val="en-GB"/>
              </w:rPr>
              <w:t>AML: 5-Azacitidin (105) SUBCUTAN d1-5;q4w</w:t>
            </w:r>
            <w:r w:rsidR="00993753" w:rsidRPr="00582E7B">
              <w:rPr>
                <w:rFonts w:ascii="Calibri" w:hAnsi="Calibri"/>
                <w:color w:val="000000"/>
                <w:lang w:val="en-GB"/>
              </w:rPr>
              <w:t xml:space="preserve"> + Venetoclax;q4w</w:t>
            </w:r>
          </w:p>
          <w:p w14:paraId="6CB34693" w14:textId="77777777" w:rsidR="007B2301" w:rsidRPr="00582E7B" w:rsidRDefault="007B2301" w:rsidP="00CF6E16">
            <w:pPr>
              <w:autoSpaceDE w:val="0"/>
              <w:autoSpaceDN w:val="0"/>
              <w:adjustRightInd w:val="0"/>
              <w:spacing w:line="276" w:lineRule="auto"/>
              <w:jc w:val="both"/>
              <w:rPr>
                <w:rFonts w:ascii="Calibri" w:hAnsi="Calibri"/>
                <w:color w:val="000000"/>
                <w:lang w:val="en-GB"/>
              </w:rPr>
            </w:pPr>
            <w:r w:rsidRPr="00582E7B">
              <w:rPr>
                <w:rFonts w:ascii="Calibri" w:hAnsi="Calibri"/>
                <w:color w:val="000000"/>
                <w:lang w:val="en-GB"/>
              </w:rPr>
              <w:t>AML: 5-Azacitidin (105) INTRAVENÖS d1-5;q4w</w:t>
            </w:r>
            <w:r w:rsidR="00993753" w:rsidRPr="00582E7B">
              <w:rPr>
                <w:rFonts w:ascii="Calibri" w:hAnsi="Calibri"/>
                <w:color w:val="000000"/>
                <w:lang w:val="en-GB"/>
              </w:rPr>
              <w:t xml:space="preserve"> + Venetoclax;q4w</w:t>
            </w:r>
          </w:p>
        </w:tc>
      </w:tr>
      <w:tr w:rsidR="00FE6600" w:rsidRPr="00365ED7" w14:paraId="3096E40A" w14:textId="77777777" w:rsidTr="00CF6E16">
        <w:tc>
          <w:tcPr>
            <w:tcW w:w="3313" w:type="dxa"/>
          </w:tcPr>
          <w:p w14:paraId="163DD9BB" w14:textId="77777777" w:rsidR="00FE6600" w:rsidRDefault="00FE6600" w:rsidP="00CF6E16">
            <w:pPr>
              <w:autoSpaceDE w:val="0"/>
              <w:autoSpaceDN w:val="0"/>
              <w:adjustRightInd w:val="0"/>
              <w:spacing w:line="276" w:lineRule="auto"/>
              <w:jc w:val="both"/>
              <w:rPr>
                <w:rFonts w:ascii="Calibri" w:hAnsi="Calibri"/>
                <w:b/>
                <w:color w:val="000000"/>
              </w:rPr>
            </w:pPr>
            <w:r w:rsidRPr="004F5F25">
              <w:rPr>
                <w:rFonts w:ascii="Calibri" w:hAnsi="Calibri"/>
                <w:b/>
                <w:color w:val="000000"/>
              </w:rPr>
              <w:t>Decitabine (Dacogen®)</w:t>
            </w:r>
          </w:p>
          <w:p w14:paraId="5DD6A928" w14:textId="77777777" w:rsidR="007B2301" w:rsidRPr="004F5F25" w:rsidRDefault="007B2301" w:rsidP="00CF6E16">
            <w:pPr>
              <w:autoSpaceDE w:val="0"/>
              <w:autoSpaceDN w:val="0"/>
              <w:adjustRightInd w:val="0"/>
              <w:spacing w:line="276" w:lineRule="auto"/>
              <w:jc w:val="both"/>
              <w:rPr>
                <w:rFonts w:ascii="Calibri" w:hAnsi="Calibri"/>
                <w:b/>
                <w:color w:val="000000"/>
              </w:rPr>
            </w:pPr>
            <w:r>
              <w:rPr>
                <w:rFonts w:ascii="Calibri" w:hAnsi="Calibri"/>
                <w:b/>
                <w:color w:val="000000"/>
              </w:rPr>
              <w:t>+/- Venetoclax</w:t>
            </w:r>
          </w:p>
        </w:tc>
        <w:tc>
          <w:tcPr>
            <w:tcW w:w="6174" w:type="dxa"/>
          </w:tcPr>
          <w:p w14:paraId="0F2455A6" w14:textId="77777777" w:rsidR="00F37EDD" w:rsidRDefault="00F37EDD" w:rsidP="00CF6E16">
            <w:pPr>
              <w:autoSpaceDE w:val="0"/>
              <w:autoSpaceDN w:val="0"/>
              <w:adjustRightInd w:val="0"/>
              <w:spacing w:line="276" w:lineRule="auto"/>
              <w:jc w:val="both"/>
              <w:rPr>
                <w:rFonts w:ascii="Calibri" w:hAnsi="Calibri"/>
                <w:color w:val="000000"/>
              </w:rPr>
            </w:pPr>
            <w:r w:rsidRPr="00F37EDD">
              <w:rPr>
                <w:rFonts w:ascii="Calibri" w:hAnsi="Calibri"/>
                <w:color w:val="000000"/>
              </w:rPr>
              <w:t>AML: Decitabin (20) d1-5; q4w</w:t>
            </w:r>
          </w:p>
          <w:p w14:paraId="7FF68D47" w14:textId="77777777" w:rsidR="00FE6600" w:rsidRPr="004F5F25" w:rsidRDefault="00FE6600" w:rsidP="00CF6E16">
            <w:pPr>
              <w:pStyle w:val="Listenabsatz"/>
              <w:numPr>
                <w:ilvl w:val="0"/>
                <w:numId w:val="22"/>
              </w:numPr>
              <w:autoSpaceDE w:val="0"/>
              <w:autoSpaceDN w:val="0"/>
              <w:adjustRightInd w:val="0"/>
              <w:spacing w:line="276" w:lineRule="auto"/>
              <w:ind w:left="174" w:hanging="186"/>
              <w:jc w:val="both"/>
              <w:rPr>
                <w:rFonts w:ascii="Calibri" w:hAnsi="Calibri"/>
                <w:color w:val="000000"/>
              </w:rPr>
            </w:pPr>
            <w:r w:rsidRPr="004F5F25">
              <w:rPr>
                <w:rFonts w:ascii="Calibri" w:hAnsi="Calibri"/>
                <w:color w:val="000000"/>
              </w:rPr>
              <w:t>20mg/m2 i.v. Tag 1-5</w:t>
            </w:r>
          </w:p>
        </w:tc>
      </w:tr>
      <w:tr w:rsidR="009C66C3" w:rsidRPr="00365ED7" w14:paraId="2EAAF727" w14:textId="77777777" w:rsidTr="00CF6E16">
        <w:tc>
          <w:tcPr>
            <w:tcW w:w="9487" w:type="dxa"/>
            <w:gridSpan w:val="2"/>
          </w:tcPr>
          <w:p w14:paraId="27B7283B" w14:textId="77777777" w:rsidR="009C66C3" w:rsidRPr="00C727BB" w:rsidRDefault="009C66C3" w:rsidP="00CF6E16">
            <w:pPr>
              <w:autoSpaceDE w:val="0"/>
              <w:autoSpaceDN w:val="0"/>
              <w:adjustRightInd w:val="0"/>
              <w:spacing w:line="276" w:lineRule="auto"/>
              <w:jc w:val="both"/>
              <w:rPr>
                <w:rFonts w:ascii="Calibri" w:hAnsi="Calibri"/>
                <w:b/>
                <w:color w:val="000000"/>
                <w:sz w:val="20"/>
              </w:rPr>
            </w:pPr>
            <w:r w:rsidRPr="00C727BB">
              <w:rPr>
                <w:rFonts w:ascii="Calibri" w:hAnsi="Calibri"/>
                <w:b/>
                <w:color w:val="000000"/>
                <w:sz w:val="20"/>
              </w:rPr>
              <w:t>Venetoclax-Dosierung (Venclyxto) In Kombination mit Azacitidin oder Decitabine:</w:t>
            </w:r>
          </w:p>
          <w:p w14:paraId="388F15AF" w14:textId="77777777" w:rsidR="009C66C3" w:rsidRPr="00C727BB" w:rsidRDefault="009C66C3" w:rsidP="00CF6E16">
            <w:pPr>
              <w:autoSpaceDE w:val="0"/>
              <w:autoSpaceDN w:val="0"/>
              <w:adjustRightInd w:val="0"/>
              <w:spacing w:line="276" w:lineRule="auto"/>
              <w:jc w:val="both"/>
              <w:rPr>
                <w:rFonts w:ascii="Calibri" w:hAnsi="Calibri"/>
                <w:b/>
                <w:color w:val="000000"/>
                <w:sz w:val="20"/>
              </w:rPr>
            </w:pPr>
            <w:r w:rsidRPr="00C727BB">
              <w:rPr>
                <w:rFonts w:ascii="Calibri" w:hAnsi="Calibri"/>
                <w:b/>
                <w:color w:val="000000"/>
                <w:sz w:val="20"/>
              </w:rPr>
              <w:t xml:space="preserve">Ramp-up: </w:t>
            </w:r>
          </w:p>
          <w:p w14:paraId="643FA188" w14:textId="77777777" w:rsidR="009C66C3" w:rsidRPr="00C727BB" w:rsidRDefault="009C66C3" w:rsidP="00CF6E16">
            <w:pPr>
              <w:autoSpaceDE w:val="0"/>
              <w:autoSpaceDN w:val="0"/>
              <w:adjustRightInd w:val="0"/>
              <w:spacing w:line="276" w:lineRule="auto"/>
              <w:jc w:val="both"/>
              <w:rPr>
                <w:rFonts w:ascii="Calibri" w:hAnsi="Calibri"/>
                <w:color w:val="000000"/>
                <w:sz w:val="20"/>
              </w:rPr>
            </w:pPr>
            <w:r w:rsidRPr="00C727BB">
              <w:rPr>
                <w:rFonts w:ascii="Calibri" w:hAnsi="Calibri"/>
                <w:color w:val="000000"/>
                <w:sz w:val="20"/>
              </w:rPr>
              <w:t>Tag 1: </w:t>
            </w:r>
            <w:r w:rsidRPr="00C727BB">
              <w:rPr>
                <w:rFonts w:ascii="Calibri" w:hAnsi="Calibri"/>
                <w:b/>
                <w:color w:val="000000"/>
                <w:sz w:val="20"/>
              </w:rPr>
              <w:t xml:space="preserve">100 </w:t>
            </w:r>
            <w:r w:rsidRPr="00C727BB">
              <w:rPr>
                <w:rFonts w:ascii="Calibri" w:hAnsi="Calibri"/>
                <w:color w:val="000000"/>
                <w:sz w:val="20"/>
              </w:rPr>
              <w:t>mg Venetoclax, Tag 2: </w:t>
            </w:r>
            <w:r w:rsidRPr="00C727BB">
              <w:rPr>
                <w:rFonts w:ascii="Calibri" w:hAnsi="Calibri"/>
                <w:b/>
                <w:color w:val="000000"/>
                <w:sz w:val="20"/>
              </w:rPr>
              <w:t>200</w:t>
            </w:r>
            <w:r w:rsidRPr="00C727BB">
              <w:rPr>
                <w:rFonts w:ascii="Calibri" w:hAnsi="Calibri"/>
                <w:color w:val="000000"/>
                <w:sz w:val="20"/>
              </w:rPr>
              <w:t xml:space="preserve"> mg Venetoclax, Tag </w:t>
            </w:r>
            <w:r w:rsidR="00C727BB">
              <w:rPr>
                <w:rFonts w:ascii="Calibri" w:hAnsi="Calibri"/>
                <w:color w:val="000000"/>
                <w:sz w:val="20"/>
              </w:rPr>
              <w:t>3</w:t>
            </w:r>
            <w:r w:rsidRPr="00C727BB">
              <w:rPr>
                <w:rFonts w:ascii="Calibri" w:hAnsi="Calibri"/>
                <w:color w:val="000000"/>
                <w:sz w:val="20"/>
              </w:rPr>
              <w:t xml:space="preserve"> </w:t>
            </w:r>
            <w:r w:rsidR="00C727BB">
              <w:rPr>
                <w:rFonts w:ascii="Calibri" w:hAnsi="Calibri"/>
                <w:color w:val="000000"/>
                <w:sz w:val="20"/>
              </w:rPr>
              <w:t>-</w:t>
            </w:r>
            <w:r w:rsidRPr="00C727BB">
              <w:rPr>
                <w:rFonts w:ascii="Calibri" w:hAnsi="Calibri"/>
                <w:color w:val="000000"/>
                <w:sz w:val="20"/>
              </w:rPr>
              <w:t xml:space="preserve"> 28: </w:t>
            </w:r>
            <w:r w:rsidRPr="00C727BB">
              <w:rPr>
                <w:rFonts w:ascii="Calibri" w:hAnsi="Calibri"/>
                <w:b/>
                <w:color w:val="000000"/>
                <w:sz w:val="20"/>
              </w:rPr>
              <w:t>400</w:t>
            </w:r>
            <w:r w:rsidRPr="00C727BB">
              <w:rPr>
                <w:rFonts w:ascii="Calibri" w:hAnsi="Calibri"/>
                <w:color w:val="000000"/>
                <w:sz w:val="20"/>
              </w:rPr>
              <w:t xml:space="preserve"> mg Venetoclax</w:t>
            </w:r>
          </w:p>
          <w:p w14:paraId="7824B8C4" w14:textId="77777777" w:rsidR="009C66C3" w:rsidRPr="00C727BB" w:rsidRDefault="009C66C3" w:rsidP="00CF6E16">
            <w:pPr>
              <w:autoSpaceDE w:val="0"/>
              <w:autoSpaceDN w:val="0"/>
              <w:adjustRightInd w:val="0"/>
              <w:spacing w:line="276" w:lineRule="auto"/>
              <w:jc w:val="both"/>
              <w:rPr>
                <w:rFonts w:ascii="Calibri" w:hAnsi="Calibri"/>
                <w:b/>
                <w:color w:val="000000"/>
                <w:sz w:val="20"/>
              </w:rPr>
            </w:pPr>
            <w:r w:rsidRPr="00C727BB">
              <w:rPr>
                <w:rFonts w:ascii="Calibri" w:hAnsi="Calibri"/>
                <w:b/>
                <w:color w:val="000000"/>
                <w:sz w:val="20"/>
              </w:rPr>
              <w:t>Dosisreduktion bei Kombination mit moderatem oder starkem CYP3A4 Inhibitor</w:t>
            </w:r>
            <w:r w:rsidR="00C727BB">
              <w:rPr>
                <w:rFonts w:ascii="Calibri" w:hAnsi="Calibri"/>
                <w:b/>
                <w:color w:val="000000"/>
                <w:sz w:val="20"/>
              </w:rPr>
              <w:t>:</w:t>
            </w:r>
            <w:r w:rsidRPr="00C727BB">
              <w:rPr>
                <w:rFonts w:ascii="Calibri" w:hAnsi="Calibri"/>
                <w:b/>
                <w:color w:val="000000"/>
                <w:sz w:val="20"/>
              </w:rPr>
              <w:t xml:space="preserve"> </w:t>
            </w:r>
          </w:p>
          <w:p w14:paraId="33D139A8" w14:textId="77777777" w:rsidR="00C727BB" w:rsidRPr="00582E7B" w:rsidRDefault="009C66C3" w:rsidP="00CF6E16">
            <w:pPr>
              <w:autoSpaceDE w:val="0"/>
              <w:autoSpaceDN w:val="0"/>
              <w:adjustRightInd w:val="0"/>
              <w:spacing w:line="276" w:lineRule="auto"/>
              <w:jc w:val="both"/>
              <w:rPr>
                <w:rFonts w:ascii="Calibri" w:hAnsi="Calibri"/>
                <w:b/>
                <w:color w:val="000000"/>
                <w:sz w:val="20"/>
                <w:lang w:val="en-GB"/>
              </w:rPr>
            </w:pPr>
            <w:r w:rsidRPr="00582E7B">
              <w:rPr>
                <w:rFonts w:ascii="Calibri" w:hAnsi="Calibri"/>
                <w:b/>
                <w:color w:val="000000"/>
                <w:sz w:val="20"/>
                <w:lang w:val="en-GB"/>
              </w:rPr>
              <w:t>Moderater CYP3A4-I/Pgp-I</w:t>
            </w:r>
            <w:r w:rsidR="00AD248D">
              <w:rPr>
                <w:rFonts w:ascii="Calibri" w:hAnsi="Calibri"/>
                <w:b/>
                <w:color w:val="000000"/>
                <w:sz w:val="20"/>
                <w:lang w:val="en-GB"/>
              </w:rPr>
              <w:t xml:space="preserve"> (z.B Fluorchinolone wie Ciprofloxazin und Levofloxazin)</w:t>
            </w:r>
            <w:r w:rsidRPr="00582E7B">
              <w:rPr>
                <w:rFonts w:ascii="Calibri" w:hAnsi="Calibri"/>
                <w:b/>
                <w:color w:val="000000"/>
                <w:sz w:val="20"/>
                <w:lang w:val="en-GB"/>
              </w:rPr>
              <w:t>:</w:t>
            </w:r>
          </w:p>
          <w:p w14:paraId="7C9D9EA5" w14:textId="77777777" w:rsidR="009C66C3" w:rsidRPr="00C727BB" w:rsidRDefault="009C66C3" w:rsidP="00CF6E16">
            <w:pPr>
              <w:autoSpaceDE w:val="0"/>
              <w:autoSpaceDN w:val="0"/>
              <w:adjustRightInd w:val="0"/>
              <w:spacing w:line="276" w:lineRule="auto"/>
              <w:jc w:val="both"/>
              <w:rPr>
                <w:rFonts w:ascii="Calibri" w:hAnsi="Calibri"/>
                <w:b/>
                <w:color w:val="000000"/>
                <w:sz w:val="20"/>
              </w:rPr>
            </w:pPr>
            <w:r w:rsidRPr="00C727BB">
              <w:rPr>
                <w:rFonts w:ascii="Calibri" w:hAnsi="Calibri"/>
                <w:color w:val="000000"/>
                <w:sz w:val="20"/>
              </w:rPr>
              <w:t>Tag 1:</w:t>
            </w:r>
            <w:r w:rsidR="00933ED1">
              <w:rPr>
                <w:rFonts w:ascii="Calibri" w:hAnsi="Calibri"/>
                <w:color w:val="000000"/>
                <w:sz w:val="20"/>
              </w:rPr>
              <w:t xml:space="preserve"> </w:t>
            </w:r>
            <w:r w:rsidRPr="00C727BB">
              <w:rPr>
                <w:rFonts w:ascii="Calibri" w:hAnsi="Calibri"/>
                <w:color w:val="000000"/>
                <w:sz w:val="20"/>
              </w:rPr>
              <w:t xml:space="preserve"> </w:t>
            </w:r>
            <w:r w:rsidRPr="00C727BB">
              <w:rPr>
                <w:rFonts w:ascii="Calibri" w:hAnsi="Calibri"/>
                <w:b/>
                <w:color w:val="000000"/>
                <w:sz w:val="20"/>
              </w:rPr>
              <w:t>50</w:t>
            </w:r>
            <w:r w:rsidRPr="00C727BB">
              <w:rPr>
                <w:rFonts w:ascii="Calibri" w:hAnsi="Calibri"/>
                <w:color w:val="000000"/>
                <w:sz w:val="20"/>
              </w:rPr>
              <w:t xml:space="preserve"> mg Venetoclax, </w:t>
            </w:r>
            <w:r w:rsidR="00C727BB">
              <w:rPr>
                <w:rFonts w:ascii="Calibri" w:hAnsi="Calibri"/>
                <w:color w:val="000000"/>
                <w:sz w:val="20"/>
              </w:rPr>
              <w:t xml:space="preserve"> </w:t>
            </w:r>
            <w:r w:rsidRPr="00C727BB">
              <w:rPr>
                <w:rFonts w:ascii="Calibri" w:hAnsi="Calibri"/>
                <w:color w:val="000000"/>
                <w:sz w:val="20"/>
              </w:rPr>
              <w:t xml:space="preserve">Tag 2: </w:t>
            </w:r>
            <w:r w:rsidRPr="00C727BB">
              <w:rPr>
                <w:rFonts w:ascii="Calibri" w:hAnsi="Calibri"/>
                <w:b/>
                <w:color w:val="000000"/>
                <w:sz w:val="20"/>
              </w:rPr>
              <w:t>100</w:t>
            </w:r>
            <w:r w:rsidRPr="00C727BB">
              <w:rPr>
                <w:rFonts w:ascii="Calibri" w:hAnsi="Calibri"/>
                <w:color w:val="000000"/>
                <w:sz w:val="20"/>
              </w:rPr>
              <w:t xml:space="preserve"> mg Venetoclax, </w:t>
            </w:r>
            <w:r w:rsidR="00C727BB">
              <w:rPr>
                <w:rFonts w:ascii="Calibri" w:hAnsi="Calibri"/>
                <w:color w:val="000000"/>
                <w:sz w:val="20"/>
              </w:rPr>
              <w:t>Tag 3 - 28</w:t>
            </w:r>
            <w:r w:rsidRPr="00C727BB">
              <w:rPr>
                <w:rFonts w:ascii="Calibri" w:hAnsi="Calibri"/>
                <w:color w:val="000000"/>
                <w:sz w:val="20"/>
              </w:rPr>
              <w:t xml:space="preserve">: </w:t>
            </w:r>
            <w:r w:rsidR="00C727BB">
              <w:rPr>
                <w:rFonts w:ascii="Calibri" w:hAnsi="Calibri"/>
                <w:color w:val="000000"/>
                <w:sz w:val="20"/>
              </w:rPr>
              <w:t xml:space="preserve"> </w:t>
            </w:r>
            <w:r w:rsidRPr="00C727BB">
              <w:rPr>
                <w:rFonts w:ascii="Calibri" w:hAnsi="Calibri"/>
                <w:b/>
                <w:color w:val="000000"/>
                <w:sz w:val="20"/>
              </w:rPr>
              <w:t>200</w:t>
            </w:r>
            <w:r w:rsidRPr="00C727BB">
              <w:rPr>
                <w:rFonts w:ascii="Calibri" w:hAnsi="Calibri"/>
                <w:color w:val="000000"/>
                <w:sz w:val="20"/>
              </w:rPr>
              <w:t xml:space="preserve"> mg Venetoclax</w:t>
            </w:r>
          </w:p>
          <w:p w14:paraId="45DC1E1F" w14:textId="77777777" w:rsidR="00C727BB" w:rsidRPr="000621AE" w:rsidRDefault="009C66C3" w:rsidP="00CF6E16">
            <w:pPr>
              <w:autoSpaceDE w:val="0"/>
              <w:autoSpaceDN w:val="0"/>
              <w:adjustRightInd w:val="0"/>
              <w:spacing w:line="276" w:lineRule="auto"/>
              <w:jc w:val="both"/>
              <w:rPr>
                <w:rFonts w:ascii="Calibri" w:hAnsi="Calibri"/>
                <w:color w:val="000000"/>
                <w:sz w:val="20"/>
              </w:rPr>
            </w:pPr>
            <w:r w:rsidRPr="000621AE">
              <w:rPr>
                <w:rFonts w:ascii="Calibri" w:hAnsi="Calibri"/>
                <w:b/>
                <w:color w:val="000000"/>
                <w:sz w:val="20"/>
              </w:rPr>
              <w:t>Starker CYP3A4-I</w:t>
            </w:r>
            <w:r w:rsidR="00AD248D" w:rsidRPr="000621AE">
              <w:rPr>
                <w:rFonts w:ascii="Calibri" w:hAnsi="Calibri"/>
                <w:b/>
                <w:color w:val="000000"/>
                <w:sz w:val="20"/>
              </w:rPr>
              <w:t xml:space="preserve"> (wie z.B. Voriconazol oder Posaconazol)</w:t>
            </w:r>
            <w:r w:rsidRPr="000621AE">
              <w:rPr>
                <w:rFonts w:ascii="Calibri" w:hAnsi="Calibri"/>
                <w:b/>
                <w:color w:val="000000"/>
                <w:sz w:val="20"/>
              </w:rPr>
              <w:t>:</w:t>
            </w:r>
            <w:r w:rsidRPr="000621AE">
              <w:rPr>
                <w:rFonts w:ascii="Calibri" w:hAnsi="Calibri"/>
                <w:color w:val="000000"/>
                <w:sz w:val="20"/>
              </w:rPr>
              <w:t xml:space="preserve"> </w:t>
            </w:r>
          </w:p>
          <w:p w14:paraId="287C609B" w14:textId="77777777" w:rsidR="009C66C3" w:rsidRPr="00C727BB" w:rsidRDefault="009C66C3" w:rsidP="00CF6E16">
            <w:pPr>
              <w:autoSpaceDE w:val="0"/>
              <w:autoSpaceDN w:val="0"/>
              <w:adjustRightInd w:val="0"/>
              <w:spacing w:line="276" w:lineRule="auto"/>
              <w:jc w:val="both"/>
              <w:rPr>
                <w:rFonts w:ascii="Calibri" w:hAnsi="Calibri"/>
                <w:color w:val="000000"/>
                <w:sz w:val="20"/>
              </w:rPr>
            </w:pPr>
            <w:r w:rsidRPr="00C727BB">
              <w:rPr>
                <w:rFonts w:ascii="Calibri" w:hAnsi="Calibri"/>
                <w:color w:val="000000"/>
                <w:sz w:val="20"/>
              </w:rPr>
              <w:t xml:space="preserve">Tag 1: </w:t>
            </w:r>
            <w:r w:rsidRPr="00C727BB">
              <w:rPr>
                <w:rFonts w:ascii="Calibri" w:hAnsi="Calibri"/>
                <w:b/>
                <w:color w:val="000000"/>
                <w:sz w:val="20"/>
              </w:rPr>
              <w:t>10</w:t>
            </w:r>
            <w:r w:rsidRPr="00C727BB">
              <w:rPr>
                <w:rFonts w:ascii="Calibri" w:hAnsi="Calibri"/>
                <w:color w:val="000000"/>
                <w:sz w:val="20"/>
              </w:rPr>
              <w:t xml:space="preserve"> mg Venetoclax, </w:t>
            </w:r>
            <w:r w:rsidR="00933ED1">
              <w:rPr>
                <w:rFonts w:ascii="Calibri" w:hAnsi="Calibri"/>
                <w:color w:val="000000"/>
                <w:sz w:val="20"/>
              </w:rPr>
              <w:t xml:space="preserve"> </w:t>
            </w:r>
            <w:r w:rsidRPr="00C727BB">
              <w:rPr>
                <w:rFonts w:ascii="Calibri" w:hAnsi="Calibri"/>
                <w:color w:val="000000"/>
                <w:sz w:val="20"/>
              </w:rPr>
              <w:t xml:space="preserve">Tag 2: </w:t>
            </w:r>
            <w:r w:rsidR="00C11099">
              <w:rPr>
                <w:rFonts w:ascii="Calibri" w:hAnsi="Calibri"/>
                <w:color w:val="000000"/>
                <w:sz w:val="20"/>
              </w:rPr>
              <w:t xml:space="preserve">  </w:t>
            </w:r>
            <w:r w:rsidRPr="00C727BB">
              <w:rPr>
                <w:rFonts w:ascii="Calibri" w:hAnsi="Calibri"/>
                <w:b/>
                <w:color w:val="000000"/>
                <w:sz w:val="20"/>
              </w:rPr>
              <w:t>20</w:t>
            </w:r>
            <w:r w:rsidRPr="00C727BB">
              <w:rPr>
                <w:rFonts w:ascii="Calibri" w:hAnsi="Calibri"/>
                <w:color w:val="000000"/>
                <w:sz w:val="20"/>
              </w:rPr>
              <w:t xml:space="preserve"> mg Venetoclax, </w:t>
            </w:r>
            <w:r w:rsidR="00C11099">
              <w:rPr>
                <w:rFonts w:ascii="Calibri" w:hAnsi="Calibri"/>
                <w:color w:val="000000"/>
                <w:sz w:val="20"/>
              </w:rPr>
              <w:t xml:space="preserve"> Tag 3 – 28:  </w:t>
            </w:r>
            <w:r w:rsidRPr="00C727BB">
              <w:rPr>
                <w:rFonts w:ascii="Calibri" w:hAnsi="Calibri"/>
                <w:b/>
                <w:color w:val="000000"/>
                <w:sz w:val="20"/>
              </w:rPr>
              <w:t>50</w:t>
            </w:r>
            <w:r w:rsidRPr="00C727BB">
              <w:rPr>
                <w:rFonts w:ascii="Calibri" w:hAnsi="Calibri"/>
                <w:color w:val="000000"/>
                <w:sz w:val="20"/>
              </w:rPr>
              <w:t xml:space="preserve"> mg Venetoclax</w:t>
            </w:r>
          </w:p>
          <w:p w14:paraId="4692EFE0" w14:textId="77777777" w:rsidR="009C66C3" w:rsidRPr="00C727BB" w:rsidRDefault="009C66C3" w:rsidP="00CF6E16">
            <w:pPr>
              <w:pStyle w:val="Textkrper-Einzug2"/>
              <w:spacing w:line="276" w:lineRule="auto"/>
              <w:ind w:left="0"/>
              <w:jc w:val="left"/>
              <w:rPr>
                <w:rFonts w:asciiTheme="minorHAnsi" w:hAnsiTheme="minorHAnsi" w:cstheme="minorHAnsi"/>
                <w:sz w:val="20"/>
              </w:rPr>
            </w:pPr>
            <w:r w:rsidRPr="00C727BB">
              <w:rPr>
                <w:rFonts w:asciiTheme="minorHAnsi" w:hAnsiTheme="minorHAnsi" w:cstheme="minorHAnsi"/>
                <w:sz w:val="20"/>
              </w:rPr>
              <w:lastRenderedPageBreak/>
              <w:t>Ramp-up unter stationärer Observanz durchführen, Tumorlyseprophylaxe (Allopurinol, Hydrierung, Elektrolytkontrollen), EKG Kontrollen (QT-Zeit!)</w:t>
            </w:r>
          </w:p>
          <w:p w14:paraId="0E094EDA" w14:textId="77777777" w:rsidR="00582E7B" w:rsidRDefault="009C66C3" w:rsidP="00CF6E16">
            <w:pPr>
              <w:pStyle w:val="Textkrper-Einzug2"/>
              <w:spacing w:line="276" w:lineRule="auto"/>
              <w:ind w:left="0"/>
              <w:jc w:val="left"/>
            </w:pPr>
            <w:r w:rsidRPr="00C727BB">
              <w:rPr>
                <w:rFonts w:asciiTheme="minorHAnsi" w:hAnsiTheme="minorHAnsi" w:cstheme="minorHAnsi"/>
                <w:sz w:val="20"/>
              </w:rPr>
              <w:t>Zytoreduktion mit Hydroxyurea, Leukozyten &lt; 25 G/l vor Venetoclax-Beginn anstreben</w:t>
            </w:r>
            <w:r w:rsidR="00582E7B">
              <w:rPr>
                <w:rFonts w:asciiTheme="minorHAnsi" w:hAnsiTheme="minorHAnsi" w:cstheme="minorHAnsi"/>
                <w:sz w:val="20"/>
              </w:rPr>
              <w:t xml:space="preserve">. </w:t>
            </w:r>
            <w:r w:rsidR="00582E7B" w:rsidRPr="00CF6E16">
              <w:rPr>
                <w:rFonts w:asciiTheme="minorHAnsi" w:hAnsiTheme="minorHAnsi" w:cstheme="minorHAnsi"/>
                <w:sz w:val="20"/>
              </w:rPr>
              <w:t xml:space="preserve">Stationäre Beobachtung des Patienten während der ersten Induktion bis zur Regeneration. Bei neutropenischem Fieber-&gt; Pausieren von Venetoclax, ansonsten Beibehalten, keine Dosisreduktion! </w:t>
            </w:r>
          </w:p>
          <w:p w14:paraId="1622B8F2" w14:textId="77777777" w:rsidR="009C66C3" w:rsidRDefault="009C66C3" w:rsidP="00CF6E16">
            <w:pPr>
              <w:pStyle w:val="Textkrper-Einzug2"/>
              <w:spacing w:after="0" w:line="276" w:lineRule="auto"/>
              <w:ind w:left="0"/>
              <w:jc w:val="left"/>
              <w:rPr>
                <w:rFonts w:asciiTheme="minorHAnsi" w:hAnsiTheme="minorHAnsi" w:cstheme="minorHAnsi"/>
                <w:sz w:val="20"/>
              </w:rPr>
            </w:pPr>
            <w:r w:rsidRPr="00C727BB">
              <w:rPr>
                <w:rFonts w:asciiTheme="minorHAnsi" w:hAnsiTheme="minorHAnsi" w:cstheme="minorHAnsi"/>
                <w:sz w:val="20"/>
              </w:rPr>
              <w:t xml:space="preserve">Knochenmarkpunktion zw Tag 21 und 28. Bei Erreichen einer CR </w:t>
            </w:r>
            <w:r w:rsidR="00582E7B">
              <w:rPr>
                <w:rFonts w:asciiTheme="minorHAnsi" w:hAnsiTheme="minorHAnsi" w:cstheme="minorHAnsi"/>
                <w:sz w:val="20"/>
              </w:rPr>
              <w:t xml:space="preserve">(Blasten &lt; 5%). </w:t>
            </w:r>
            <w:r w:rsidRPr="00C727BB">
              <w:rPr>
                <w:rFonts w:asciiTheme="minorHAnsi" w:hAnsiTheme="minorHAnsi" w:cstheme="minorHAnsi"/>
                <w:sz w:val="20"/>
              </w:rPr>
              <w:t>Pausieren von Venetoclax und HMA bis zur Blutbildregeneration (siehe Vorgehensweise im Rahmen der Phase 3 Studie unten). Bei fehlendem Blastennachweis kann bei den folgenden Zyklen G-CSF zur Behandlung der Neutropenie eingesetzt werden. Bei fehlendem Ansprechen Forsetzung von Venetoclax und HMA, nochmalige Remissionskontrolle nach dem 2.Zyklus, Gabe von G-CSF nicht routinemäßig empfohlen (Ausnahme: Infektion).</w:t>
            </w:r>
          </w:p>
          <w:p w14:paraId="4D1DD4C9" w14:textId="77777777" w:rsidR="00833260" w:rsidRPr="00C727BB" w:rsidRDefault="00833260" w:rsidP="00CF6E16">
            <w:pPr>
              <w:pStyle w:val="Textkrper-Einzug2"/>
              <w:spacing w:after="0" w:line="276" w:lineRule="auto"/>
              <w:ind w:left="0"/>
              <w:jc w:val="left"/>
              <w:rPr>
                <w:rFonts w:asciiTheme="minorHAnsi" w:hAnsiTheme="minorHAnsi" w:cstheme="minorHAnsi"/>
                <w:sz w:val="20"/>
              </w:rPr>
            </w:pPr>
          </w:p>
          <w:p w14:paraId="0C78F7B1" w14:textId="77777777" w:rsidR="00C727BB" w:rsidRDefault="00C727BB" w:rsidP="00CF6E16">
            <w:pPr>
              <w:pStyle w:val="Textkrper-Einzug2"/>
              <w:spacing w:after="0" w:line="276" w:lineRule="auto"/>
              <w:ind w:left="0"/>
              <w:rPr>
                <w:rFonts w:asciiTheme="minorHAnsi" w:hAnsiTheme="minorHAnsi" w:cstheme="minorHAnsi"/>
                <w:szCs w:val="22"/>
              </w:rPr>
            </w:pPr>
            <w:r>
              <w:rPr>
                <w:noProof/>
                <w:lang w:eastAsia="de-AT"/>
              </w:rPr>
              <w:drawing>
                <wp:inline distT="0" distB="0" distL="0" distR="0" wp14:anchorId="1C310093" wp14:editId="1EEFC62F">
                  <wp:extent cx="5419806" cy="2586725"/>
                  <wp:effectExtent l="0" t="0" r="0" b="444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5217" t="24794" r="6988" b="17683"/>
                          <a:stretch/>
                        </pic:blipFill>
                        <pic:spPr bwMode="auto">
                          <a:xfrm>
                            <a:off x="0" y="0"/>
                            <a:ext cx="5457402" cy="2604669"/>
                          </a:xfrm>
                          <a:prstGeom prst="rect">
                            <a:avLst/>
                          </a:prstGeom>
                          <a:ln>
                            <a:noFill/>
                          </a:ln>
                          <a:extLst>
                            <a:ext uri="{53640926-AAD7-44D8-BBD7-CCE9431645EC}">
                              <a14:shadowObscured xmlns:a14="http://schemas.microsoft.com/office/drawing/2010/main"/>
                            </a:ext>
                          </a:extLst>
                        </pic:spPr>
                      </pic:pic>
                    </a:graphicData>
                  </a:graphic>
                </wp:inline>
              </w:drawing>
            </w:r>
          </w:p>
          <w:p w14:paraId="17C2FE85" w14:textId="77777777" w:rsidR="00833260" w:rsidRPr="00F37EDD" w:rsidRDefault="00833260" w:rsidP="00CF6E16">
            <w:pPr>
              <w:autoSpaceDE w:val="0"/>
              <w:autoSpaceDN w:val="0"/>
              <w:adjustRightInd w:val="0"/>
              <w:spacing w:line="276" w:lineRule="auto"/>
              <w:jc w:val="left"/>
              <w:rPr>
                <w:rFonts w:ascii="Calibri" w:hAnsi="Calibri"/>
                <w:color w:val="000000"/>
              </w:rPr>
            </w:pPr>
          </w:p>
        </w:tc>
      </w:tr>
      <w:tr w:rsidR="00FE6600" w:rsidRPr="00365ED7" w14:paraId="78C814D9" w14:textId="77777777" w:rsidTr="00CF6E16">
        <w:tc>
          <w:tcPr>
            <w:tcW w:w="3313" w:type="dxa"/>
          </w:tcPr>
          <w:p w14:paraId="6FD86DE7" w14:textId="77777777" w:rsidR="00FE6600" w:rsidRPr="004F5F25" w:rsidRDefault="00FE6600" w:rsidP="00CF6E16">
            <w:pPr>
              <w:autoSpaceDE w:val="0"/>
              <w:autoSpaceDN w:val="0"/>
              <w:adjustRightInd w:val="0"/>
              <w:spacing w:line="276" w:lineRule="auto"/>
              <w:jc w:val="both"/>
              <w:rPr>
                <w:rFonts w:ascii="Calibri" w:hAnsi="Calibri"/>
                <w:b/>
                <w:color w:val="000000"/>
              </w:rPr>
            </w:pPr>
            <w:r w:rsidRPr="004F5F25">
              <w:rPr>
                <w:rFonts w:ascii="Calibri" w:hAnsi="Calibri"/>
                <w:b/>
                <w:color w:val="000000"/>
              </w:rPr>
              <w:lastRenderedPageBreak/>
              <w:t>3+7-Schema</w:t>
            </w:r>
            <w:r w:rsidR="002C1951" w:rsidRPr="004F5F25">
              <w:rPr>
                <w:rFonts w:ascii="Calibri" w:hAnsi="Calibri"/>
                <w:b/>
                <w:color w:val="000000"/>
              </w:rPr>
              <w:t xml:space="preserve"> Daunorubicin</w:t>
            </w:r>
          </w:p>
          <w:p w14:paraId="5CFD35D8" w14:textId="77777777" w:rsidR="009A2CFB" w:rsidRDefault="009A2CFB" w:rsidP="00CF6E16">
            <w:pPr>
              <w:autoSpaceDE w:val="0"/>
              <w:autoSpaceDN w:val="0"/>
              <w:adjustRightInd w:val="0"/>
              <w:spacing w:line="276" w:lineRule="auto"/>
              <w:jc w:val="both"/>
              <w:rPr>
                <w:rFonts w:ascii="Calibri" w:hAnsi="Calibri"/>
                <w:color w:val="000000"/>
              </w:rPr>
            </w:pPr>
          </w:p>
          <w:p w14:paraId="79079447" w14:textId="77777777" w:rsidR="009A2CFB" w:rsidRDefault="009A2CFB" w:rsidP="00CF6E16">
            <w:pPr>
              <w:autoSpaceDE w:val="0"/>
              <w:autoSpaceDN w:val="0"/>
              <w:adjustRightInd w:val="0"/>
              <w:spacing w:line="276" w:lineRule="auto"/>
              <w:jc w:val="both"/>
              <w:rPr>
                <w:rFonts w:ascii="Calibri" w:hAnsi="Calibri"/>
                <w:color w:val="000000"/>
              </w:rPr>
            </w:pPr>
          </w:p>
          <w:p w14:paraId="32D06ED1" w14:textId="77777777" w:rsidR="00594982" w:rsidRDefault="00594982" w:rsidP="00CF6E16">
            <w:pPr>
              <w:autoSpaceDE w:val="0"/>
              <w:autoSpaceDN w:val="0"/>
              <w:adjustRightInd w:val="0"/>
              <w:spacing w:line="276" w:lineRule="auto"/>
              <w:jc w:val="both"/>
              <w:rPr>
                <w:rFonts w:ascii="Calibri" w:hAnsi="Calibri"/>
                <w:color w:val="000000"/>
              </w:rPr>
            </w:pPr>
          </w:p>
          <w:p w14:paraId="013807B2" w14:textId="77777777" w:rsidR="009A2CFB" w:rsidRPr="004F5F25" w:rsidRDefault="009A2CFB" w:rsidP="00CF6E16">
            <w:pPr>
              <w:autoSpaceDE w:val="0"/>
              <w:autoSpaceDN w:val="0"/>
              <w:adjustRightInd w:val="0"/>
              <w:spacing w:line="276" w:lineRule="auto"/>
              <w:jc w:val="both"/>
              <w:rPr>
                <w:rFonts w:ascii="Calibri" w:hAnsi="Calibri"/>
                <w:b/>
                <w:color w:val="000000"/>
              </w:rPr>
            </w:pPr>
            <w:r w:rsidRPr="004F5F25">
              <w:rPr>
                <w:rFonts w:ascii="Calibri" w:hAnsi="Calibri"/>
                <w:b/>
                <w:color w:val="000000"/>
              </w:rPr>
              <w:t>+GO</w:t>
            </w:r>
          </w:p>
        </w:tc>
        <w:tc>
          <w:tcPr>
            <w:tcW w:w="6174" w:type="dxa"/>
          </w:tcPr>
          <w:p w14:paraId="5D8BDAE1" w14:textId="77777777" w:rsidR="00594982" w:rsidRPr="00594982" w:rsidRDefault="00594982" w:rsidP="00CF6E16">
            <w:pPr>
              <w:autoSpaceDE w:val="0"/>
              <w:autoSpaceDN w:val="0"/>
              <w:adjustRightInd w:val="0"/>
              <w:spacing w:line="276" w:lineRule="auto"/>
              <w:jc w:val="both"/>
            </w:pPr>
            <w:r w:rsidRPr="00594982">
              <w:rPr>
                <w:rFonts w:ascii="Calibri" w:hAnsi="Calibri"/>
                <w:color w:val="000000"/>
              </w:rPr>
              <w:t>AML: 3+7: Cytarabin (200) d1-7, Daunorubicin (60) d1</w:t>
            </w:r>
          </w:p>
          <w:p w14:paraId="5958D1D0" w14:textId="77777777" w:rsidR="00FE6600" w:rsidRPr="00594982" w:rsidRDefault="00FE6600" w:rsidP="00CF6E16">
            <w:pPr>
              <w:pStyle w:val="Listenabsatz"/>
              <w:numPr>
                <w:ilvl w:val="0"/>
                <w:numId w:val="22"/>
              </w:numPr>
              <w:autoSpaceDE w:val="0"/>
              <w:autoSpaceDN w:val="0"/>
              <w:adjustRightInd w:val="0"/>
              <w:spacing w:line="276" w:lineRule="auto"/>
              <w:ind w:left="174" w:hanging="186"/>
              <w:jc w:val="both"/>
              <w:rPr>
                <w:rFonts w:asciiTheme="minorHAnsi" w:hAnsiTheme="minorHAnsi" w:cstheme="minorHAnsi"/>
              </w:rPr>
            </w:pPr>
            <w:r w:rsidRPr="00594982">
              <w:rPr>
                <w:rFonts w:asciiTheme="minorHAnsi" w:hAnsiTheme="minorHAnsi" w:cstheme="minorHAnsi"/>
              </w:rPr>
              <w:t>Daunorubicin 60 mg/m² (30 min LZ) Tag 1-3</w:t>
            </w:r>
          </w:p>
          <w:p w14:paraId="3F760954" w14:textId="77777777" w:rsidR="00FE6600" w:rsidRPr="00DD7CCB" w:rsidRDefault="00FE6600" w:rsidP="00CF6E16">
            <w:pPr>
              <w:pStyle w:val="Listenabsatz"/>
              <w:numPr>
                <w:ilvl w:val="0"/>
                <w:numId w:val="22"/>
              </w:numPr>
              <w:autoSpaceDE w:val="0"/>
              <w:autoSpaceDN w:val="0"/>
              <w:adjustRightInd w:val="0"/>
              <w:spacing w:line="276" w:lineRule="auto"/>
              <w:ind w:left="174" w:hanging="186"/>
              <w:jc w:val="both"/>
              <w:rPr>
                <w:rFonts w:ascii="Calibri" w:hAnsi="Calibri"/>
                <w:color w:val="000000"/>
              </w:rPr>
            </w:pPr>
            <w:r w:rsidRPr="00DD7CCB">
              <w:rPr>
                <w:rFonts w:ascii="Calibri" w:hAnsi="Calibri"/>
                <w:color w:val="000000"/>
              </w:rPr>
              <w:t xml:space="preserve">ARA-C 200 mg/m² (24 Std. LZ) Tag 1-7 </w:t>
            </w:r>
          </w:p>
          <w:p w14:paraId="2E50C384" w14:textId="77777777" w:rsidR="00FE6600" w:rsidRPr="004F5F25" w:rsidRDefault="00FE6600" w:rsidP="00CF6E16">
            <w:pPr>
              <w:pStyle w:val="Listenabsatz"/>
              <w:numPr>
                <w:ilvl w:val="0"/>
                <w:numId w:val="22"/>
              </w:numPr>
              <w:autoSpaceDE w:val="0"/>
              <w:autoSpaceDN w:val="0"/>
              <w:adjustRightInd w:val="0"/>
              <w:spacing w:line="276" w:lineRule="auto"/>
              <w:ind w:left="174" w:hanging="186"/>
              <w:jc w:val="both"/>
              <w:rPr>
                <w:rFonts w:ascii="Calibri" w:hAnsi="Calibri"/>
                <w:color w:val="000000"/>
              </w:rPr>
            </w:pPr>
            <w:r w:rsidRPr="004F5F25">
              <w:rPr>
                <w:rFonts w:ascii="Calibri" w:hAnsi="Calibri"/>
                <w:color w:val="000000"/>
              </w:rPr>
              <w:t>Bei Patienten &gt; 70 J. ARA-C 100 mg/m2 Tag 1-7</w:t>
            </w:r>
          </w:p>
          <w:p w14:paraId="6B697D49" w14:textId="77777777" w:rsidR="00E435F5" w:rsidRPr="003E7068" w:rsidRDefault="009A2CFB" w:rsidP="00CF6E16">
            <w:pPr>
              <w:autoSpaceDE w:val="0"/>
              <w:autoSpaceDN w:val="0"/>
              <w:adjustRightInd w:val="0"/>
              <w:spacing w:line="276" w:lineRule="auto"/>
              <w:jc w:val="both"/>
              <w:rPr>
                <w:rFonts w:ascii="Calibri" w:hAnsi="Calibri"/>
                <w:color w:val="000000"/>
              </w:rPr>
            </w:pPr>
            <w:r w:rsidRPr="003E7068">
              <w:rPr>
                <w:rFonts w:ascii="Calibri" w:hAnsi="Calibri"/>
                <w:color w:val="000000"/>
              </w:rPr>
              <w:t>AML:</w:t>
            </w:r>
            <w:r w:rsidR="004F5F25" w:rsidRPr="003E7068">
              <w:rPr>
                <w:rFonts w:ascii="Calibri" w:hAnsi="Calibri"/>
                <w:color w:val="000000"/>
              </w:rPr>
              <w:t xml:space="preserve"> </w:t>
            </w:r>
            <w:r w:rsidR="003E7068">
              <w:rPr>
                <w:rFonts w:ascii="Calibri" w:hAnsi="Calibri"/>
                <w:color w:val="000000"/>
              </w:rPr>
              <w:t>I</w:t>
            </w:r>
            <w:r w:rsidRPr="003E7068">
              <w:rPr>
                <w:rFonts w:ascii="Calibri" w:hAnsi="Calibri"/>
                <w:color w:val="000000"/>
              </w:rPr>
              <w:t>nduktion: Cytarabin (200) d1-7, Daunorubicin (60) d1-3, Gemtuzumab Ozogamicin (3) d1,4,7</w:t>
            </w:r>
          </w:p>
          <w:p w14:paraId="48F84DA8" w14:textId="77777777" w:rsidR="0078594C" w:rsidRPr="00594982" w:rsidRDefault="0078594C" w:rsidP="00CF6E16">
            <w:pPr>
              <w:autoSpaceDE w:val="0"/>
              <w:autoSpaceDN w:val="0"/>
              <w:adjustRightInd w:val="0"/>
              <w:spacing w:line="276" w:lineRule="auto"/>
              <w:jc w:val="both"/>
              <w:rPr>
                <w:rFonts w:ascii="Calibri" w:hAnsi="Calibri"/>
                <w:color w:val="000000"/>
                <w:szCs w:val="22"/>
              </w:rPr>
            </w:pPr>
            <w:r>
              <w:rPr>
                <w:rFonts w:ascii="Calibri" w:hAnsi="Calibri"/>
                <w:color w:val="000000"/>
                <w:szCs w:val="22"/>
              </w:rPr>
              <w:t>Falls 2. Induktion notwendig – Durchführung ohne GO</w:t>
            </w:r>
          </w:p>
        </w:tc>
      </w:tr>
      <w:tr w:rsidR="002C1951" w:rsidRPr="00365ED7" w14:paraId="4697F03D" w14:textId="77777777" w:rsidTr="00CF6E16">
        <w:tc>
          <w:tcPr>
            <w:tcW w:w="3313" w:type="dxa"/>
          </w:tcPr>
          <w:p w14:paraId="2ED4BB79" w14:textId="77777777" w:rsidR="002C1951" w:rsidRPr="003E7068" w:rsidRDefault="002C1951" w:rsidP="00CF6E16">
            <w:pPr>
              <w:autoSpaceDE w:val="0"/>
              <w:autoSpaceDN w:val="0"/>
              <w:adjustRightInd w:val="0"/>
              <w:spacing w:line="276" w:lineRule="auto"/>
              <w:jc w:val="both"/>
              <w:rPr>
                <w:rFonts w:ascii="Calibri" w:hAnsi="Calibri"/>
                <w:b/>
                <w:color w:val="000000"/>
              </w:rPr>
            </w:pPr>
            <w:r w:rsidRPr="003E7068">
              <w:rPr>
                <w:rFonts w:ascii="Calibri" w:hAnsi="Calibri"/>
                <w:b/>
                <w:color w:val="000000"/>
              </w:rPr>
              <w:t>3+7-Schema Idarubicin</w:t>
            </w:r>
          </w:p>
          <w:p w14:paraId="3228E780" w14:textId="77777777" w:rsidR="009A2CFB" w:rsidRPr="003E7068" w:rsidRDefault="009A2CFB" w:rsidP="00CF6E16">
            <w:pPr>
              <w:autoSpaceDE w:val="0"/>
              <w:autoSpaceDN w:val="0"/>
              <w:adjustRightInd w:val="0"/>
              <w:spacing w:line="276" w:lineRule="auto"/>
              <w:jc w:val="both"/>
              <w:rPr>
                <w:rFonts w:ascii="Calibri" w:hAnsi="Calibri"/>
                <w:b/>
                <w:color w:val="000000"/>
              </w:rPr>
            </w:pPr>
          </w:p>
          <w:p w14:paraId="6645EB78" w14:textId="77777777" w:rsidR="009A2CFB" w:rsidRPr="003E7068" w:rsidRDefault="009A2CFB" w:rsidP="00CF6E16">
            <w:pPr>
              <w:autoSpaceDE w:val="0"/>
              <w:autoSpaceDN w:val="0"/>
              <w:adjustRightInd w:val="0"/>
              <w:spacing w:line="276" w:lineRule="auto"/>
              <w:jc w:val="both"/>
              <w:rPr>
                <w:rFonts w:ascii="Calibri" w:hAnsi="Calibri"/>
                <w:b/>
                <w:color w:val="000000"/>
              </w:rPr>
            </w:pPr>
          </w:p>
          <w:p w14:paraId="23674FDC" w14:textId="77777777" w:rsidR="000A2240" w:rsidRPr="003E7068" w:rsidRDefault="000A2240" w:rsidP="00CF6E16">
            <w:pPr>
              <w:autoSpaceDE w:val="0"/>
              <w:autoSpaceDN w:val="0"/>
              <w:adjustRightInd w:val="0"/>
              <w:spacing w:line="276" w:lineRule="auto"/>
              <w:jc w:val="both"/>
              <w:rPr>
                <w:rFonts w:ascii="Calibri" w:hAnsi="Calibri"/>
                <w:b/>
                <w:color w:val="000000"/>
              </w:rPr>
            </w:pPr>
          </w:p>
          <w:p w14:paraId="4D6F68AA" w14:textId="77777777" w:rsidR="009A2CFB" w:rsidRDefault="009A2CFB" w:rsidP="00CF6E16">
            <w:pPr>
              <w:autoSpaceDE w:val="0"/>
              <w:autoSpaceDN w:val="0"/>
              <w:adjustRightInd w:val="0"/>
              <w:spacing w:line="276" w:lineRule="auto"/>
              <w:jc w:val="both"/>
              <w:rPr>
                <w:rFonts w:ascii="Calibri" w:hAnsi="Calibri"/>
                <w:color w:val="000000"/>
              </w:rPr>
            </w:pPr>
            <w:r w:rsidRPr="003E7068">
              <w:rPr>
                <w:rFonts w:ascii="Calibri" w:hAnsi="Calibri"/>
                <w:b/>
                <w:color w:val="000000"/>
              </w:rPr>
              <w:t>+GO</w:t>
            </w:r>
          </w:p>
        </w:tc>
        <w:tc>
          <w:tcPr>
            <w:tcW w:w="6174" w:type="dxa"/>
          </w:tcPr>
          <w:p w14:paraId="460F0F02" w14:textId="77777777" w:rsidR="00594982" w:rsidRPr="00D2198E" w:rsidRDefault="00D971C9" w:rsidP="00CF6E16">
            <w:pPr>
              <w:autoSpaceDE w:val="0"/>
              <w:autoSpaceDN w:val="0"/>
              <w:adjustRightInd w:val="0"/>
              <w:spacing w:line="276" w:lineRule="auto"/>
              <w:jc w:val="both"/>
              <w:rPr>
                <w:rFonts w:ascii="Calibri" w:hAnsi="Calibri"/>
                <w:color w:val="000000"/>
                <w:lang w:val="es-ES"/>
              </w:rPr>
            </w:pPr>
            <w:r w:rsidRPr="00D2198E">
              <w:rPr>
                <w:rFonts w:ascii="Calibri" w:hAnsi="Calibri"/>
                <w:color w:val="000000"/>
                <w:lang w:val="es-ES"/>
              </w:rPr>
              <w:t>AML: 3+7 IDA: Cytarabin (200) d1-7, Idarubicin (12) d1-3</w:t>
            </w:r>
          </w:p>
          <w:p w14:paraId="4ABFA3FB" w14:textId="77777777" w:rsidR="002C1951" w:rsidRDefault="002C1951" w:rsidP="00CF6E16">
            <w:pPr>
              <w:pStyle w:val="Listenabsatz"/>
              <w:numPr>
                <w:ilvl w:val="0"/>
                <w:numId w:val="22"/>
              </w:numPr>
              <w:autoSpaceDE w:val="0"/>
              <w:autoSpaceDN w:val="0"/>
              <w:adjustRightInd w:val="0"/>
              <w:spacing w:line="276" w:lineRule="auto"/>
              <w:ind w:left="174" w:hanging="186"/>
              <w:jc w:val="both"/>
              <w:rPr>
                <w:rFonts w:ascii="Calibri" w:hAnsi="Calibri"/>
                <w:color w:val="000000"/>
              </w:rPr>
            </w:pPr>
            <w:r>
              <w:rPr>
                <w:rFonts w:ascii="Calibri" w:hAnsi="Calibri"/>
                <w:color w:val="000000"/>
              </w:rPr>
              <w:t>Idarubicin 12mg/m² Tag 1-3</w:t>
            </w:r>
          </w:p>
          <w:p w14:paraId="3502AF5F" w14:textId="77777777" w:rsidR="002C1951" w:rsidRPr="00DD7CCB" w:rsidRDefault="002C1951" w:rsidP="00CF6E16">
            <w:pPr>
              <w:pStyle w:val="Listenabsatz"/>
              <w:numPr>
                <w:ilvl w:val="0"/>
                <w:numId w:val="22"/>
              </w:numPr>
              <w:autoSpaceDE w:val="0"/>
              <w:autoSpaceDN w:val="0"/>
              <w:adjustRightInd w:val="0"/>
              <w:spacing w:line="276" w:lineRule="auto"/>
              <w:ind w:left="174" w:hanging="186"/>
              <w:jc w:val="both"/>
              <w:rPr>
                <w:rFonts w:ascii="Calibri" w:hAnsi="Calibri"/>
                <w:color w:val="000000"/>
              </w:rPr>
            </w:pPr>
            <w:r w:rsidRPr="00DD7CCB">
              <w:rPr>
                <w:rFonts w:ascii="Calibri" w:hAnsi="Calibri"/>
                <w:color w:val="000000"/>
              </w:rPr>
              <w:t xml:space="preserve">ARA-C 200 mg/m² (24 Std. LZ) Tag 1-7 </w:t>
            </w:r>
          </w:p>
          <w:p w14:paraId="430EAB86" w14:textId="77777777" w:rsidR="002C1951" w:rsidRPr="009A2CFB" w:rsidRDefault="002C1951" w:rsidP="00CF6E16">
            <w:pPr>
              <w:pStyle w:val="Listenabsatz"/>
              <w:numPr>
                <w:ilvl w:val="0"/>
                <w:numId w:val="22"/>
              </w:numPr>
              <w:autoSpaceDE w:val="0"/>
              <w:autoSpaceDN w:val="0"/>
              <w:adjustRightInd w:val="0"/>
              <w:spacing w:line="276" w:lineRule="auto"/>
              <w:ind w:left="174" w:hanging="186"/>
              <w:jc w:val="both"/>
              <w:rPr>
                <w:rFonts w:ascii="Calibri" w:hAnsi="Calibri"/>
                <w:color w:val="000000"/>
              </w:rPr>
            </w:pPr>
            <w:r w:rsidRPr="009A2CFB">
              <w:rPr>
                <w:rFonts w:ascii="Calibri" w:hAnsi="Calibri"/>
                <w:color w:val="000000"/>
              </w:rPr>
              <w:t>Bei Patienten &gt; 70 J. ARA-C 100 mg/m2 Tag 1-7</w:t>
            </w:r>
          </w:p>
          <w:p w14:paraId="24D70F9E" w14:textId="77777777" w:rsidR="009A2CFB" w:rsidRDefault="009A2CFB" w:rsidP="00CF6E16">
            <w:pPr>
              <w:autoSpaceDE w:val="0"/>
              <w:autoSpaceDN w:val="0"/>
              <w:adjustRightInd w:val="0"/>
              <w:spacing w:line="276" w:lineRule="auto"/>
              <w:jc w:val="both"/>
              <w:rPr>
                <w:rFonts w:ascii="Calibri" w:hAnsi="Calibri"/>
                <w:color w:val="000000"/>
              </w:rPr>
            </w:pPr>
            <w:r w:rsidRPr="009A2CFB">
              <w:rPr>
                <w:rFonts w:ascii="Calibri" w:hAnsi="Calibri"/>
                <w:color w:val="000000"/>
              </w:rPr>
              <w:t>AML: Induktion: Cytarabin (200) d1-7, Idarubicin (12) d1-3, Gemtuzumab Ozogamicin (3) d1,4,7</w:t>
            </w:r>
          </w:p>
          <w:p w14:paraId="697EF55D" w14:textId="77777777" w:rsidR="0078594C" w:rsidRPr="009A2CFB" w:rsidRDefault="0078594C" w:rsidP="00CF6E16">
            <w:pPr>
              <w:autoSpaceDE w:val="0"/>
              <w:autoSpaceDN w:val="0"/>
              <w:adjustRightInd w:val="0"/>
              <w:spacing w:line="276" w:lineRule="auto"/>
              <w:jc w:val="both"/>
              <w:rPr>
                <w:rFonts w:ascii="Calibri" w:hAnsi="Calibri"/>
                <w:color w:val="000000"/>
              </w:rPr>
            </w:pPr>
            <w:r>
              <w:rPr>
                <w:rFonts w:ascii="Calibri" w:hAnsi="Calibri"/>
                <w:color w:val="000000"/>
                <w:szCs w:val="22"/>
              </w:rPr>
              <w:t>Falls 2. Induktion notwendig – Durchführung ohne GO</w:t>
            </w:r>
          </w:p>
        </w:tc>
      </w:tr>
      <w:tr w:rsidR="00FE6600" w:rsidRPr="00365ED7" w14:paraId="1CA843EF" w14:textId="77777777" w:rsidTr="00CF6E16">
        <w:tc>
          <w:tcPr>
            <w:tcW w:w="3313" w:type="dxa"/>
          </w:tcPr>
          <w:p w14:paraId="4DE82CE0" w14:textId="77777777" w:rsidR="00FE6600" w:rsidRPr="003E7068" w:rsidRDefault="00FE6600" w:rsidP="00CF6E16">
            <w:pPr>
              <w:autoSpaceDE w:val="0"/>
              <w:autoSpaceDN w:val="0"/>
              <w:adjustRightInd w:val="0"/>
              <w:spacing w:line="276" w:lineRule="auto"/>
              <w:jc w:val="both"/>
              <w:rPr>
                <w:rFonts w:ascii="Calibri" w:hAnsi="Calibri"/>
                <w:b/>
                <w:color w:val="000000"/>
              </w:rPr>
            </w:pPr>
            <w:r w:rsidRPr="003E7068">
              <w:rPr>
                <w:rFonts w:ascii="Calibri" w:hAnsi="Calibri"/>
                <w:b/>
                <w:color w:val="000000"/>
              </w:rPr>
              <w:t>CPX-351 = liposomales Daunorubicin/Cytarabin-Kombinationspräparat</w:t>
            </w:r>
          </w:p>
          <w:p w14:paraId="5F0E699C" w14:textId="77777777" w:rsidR="00FE6600" w:rsidRPr="003E7068" w:rsidRDefault="00FE6600" w:rsidP="00CF6E16">
            <w:pPr>
              <w:autoSpaceDE w:val="0"/>
              <w:autoSpaceDN w:val="0"/>
              <w:adjustRightInd w:val="0"/>
              <w:spacing w:line="276" w:lineRule="auto"/>
              <w:jc w:val="left"/>
              <w:rPr>
                <w:rFonts w:ascii="Calibri" w:hAnsi="Calibri"/>
                <w:b/>
                <w:color w:val="000000"/>
              </w:rPr>
            </w:pPr>
            <w:r w:rsidRPr="003E7068">
              <w:rPr>
                <w:rFonts w:ascii="Calibri" w:hAnsi="Calibri" w:cs="Calibri"/>
                <w:b/>
                <w:color w:val="000000"/>
                <w:sz w:val="24"/>
                <w:szCs w:val="24"/>
                <w:lang w:eastAsia="de-AT"/>
              </w:rPr>
              <w:t>(</w:t>
            </w:r>
            <w:r w:rsidRPr="003E7068">
              <w:rPr>
                <w:rFonts w:ascii="Calibri" w:hAnsi="Calibri"/>
                <w:b/>
                <w:color w:val="000000"/>
              </w:rPr>
              <w:t>Vyxeos®)</w:t>
            </w:r>
          </w:p>
        </w:tc>
        <w:tc>
          <w:tcPr>
            <w:tcW w:w="6174" w:type="dxa"/>
          </w:tcPr>
          <w:p w14:paraId="46F67684" w14:textId="77777777" w:rsidR="00724627" w:rsidRDefault="00724627" w:rsidP="00CF6E16">
            <w:pPr>
              <w:autoSpaceDE w:val="0"/>
              <w:autoSpaceDN w:val="0"/>
              <w:adjustRightInd w:val="0"/>
              <w:spacing w:line="276" w:lineRule="auto"/>
              <w:jc w:val="both"/>
              <w:rPr>
                <w:rFonts w:ascii="Calibri" w:hAnsi="Calibri"/>
                <w:color w:val="000000"/>
              </w:rPr>
            </w:pPr>
            <w:r w:rsidRPr="00724627">
              <w:rPr>
                <w:rFonts w:ascii="Calibri" w:hAnsi="Calibri"/>
                <w:color w:val="000000"/>
              </w:rPr>
              <w:t>AML: Induktion 1: Daunorubicin (44)/ Cytarabin (100) (Vyxeos) d1,3,5</w:t>
            </w:r>
          </w:p>
          <w:p w14:paraId="782D6E8E" w14:textId="77777777" w:rsidR="003E7068" w:rsidRDefault="003E7068" w:rsidP="00CF6E16">
            <w:pPr>
              <w:autoSpaceDE w:val="0"/>
              <w:autoSpaceDN w:val="0"/>
              <w:adjustRightInd w:val="0"/>
              <w:spacing w:line="276" w:lineRule="auto"/>
              <w:jc w:val="both"/>
              <w:rPr>
                <w:rFonts w:ascii="Calibri" w:hAnsi="Calibri"/>
                <w:color w:val="000000"/>
              </w:rPr>
            </w:pPr>
            <w:r>
              <w:rPr>
                <w:rFonts w:ascii="Calibri" w:hAnsi="Calibri"/>
                <w:color w:val="000000"/>
              </w:rPr>
              <w:t xml:space="preserve">  </w:t>
            </w:r>
            <w:r w:rsidR="00FE6600">
              <w:rPr>
                <w:rFonts w:ascii="Calibri" w:hAnsi="Calibri"/>
                <w:color w:val="000000"/>
              </w:rPr>
              <w:t xml:space="preserve">falls keine hämatologische CR </w:t>
            </w:r>
            <w:r w:rsidR="00FE6600" w:rsidRPr="00721C4B">
              <w:rPr>
                <w:rFonts w:ascii="Calibri" w:hAnsi="Calibri"/>
                <w:color w:val="000000"/>
              </w:rPr>
              <w:sym w:font="Wingdings" w:char="F0E0"/>
            </w:r>
            <w:r w:rsidR="00FE6600">
              <w:rPr>
                <w:rFonts w:ascii="Calibri" w:hAnsi="Calibri"/>
                <w:color w:val="000000"/>
              </w:rPr>
              <w:t xml:space="preserve"> </w:t>
            </w:r>
          </w:p>
          <w:p w14:paraId="01F73E2B" w14:textId="77777777" w:rsidR="003E7068" w:rsidRDefault="00724627" w:rsidP="00CF6E16">
            <w:pPr>
              <w:autoSpaceDE w:val="0"/>
              <w:autoSpaceDN w:val="0"/>
              <w:adjustRightInd w:val="0"/>
              <w:spacing w:line="276" w:lineRule="auto"/>
              <w:jc w:val="both"/>
              <w:rPr>
                <w:rFonts w:ascii="Calibri" w:hAnsi="Calibri"/>
                <w:color w:val="000000"/>
              </w:rPr>
            </w:pPr>
            <w:r w:rsidRPr="003E7068">
              <w:rPr>
                <w:rFonts w:ascii="Calibri" w:hAnsi="Calibri"/>
                <w:color w:val="000000"/>
              </w:rPr>
              <w:t>AML: Induktion 2: Daunorubicin (44)/ Cytarabin (100) (Vyxeos) d1,3</w:t>
            </w:r>
            <w:r w:rsidRPr="003E7068" w:rsidDel="00724627">
              <w:rPr>
                <w:rFonts w:ascii="Calibri" w:hAnsi="Calibri"/>
                <w:color w:val="000000"/>
              </w:rPr>
              <w:t xml:space="preserve"> </w:t>
            </w:r>
          </w:p>
          <w:p w14:paraId="05189F69" w14:textId="77777777" w:rsidR="00FE6600" w:rsidRPr="00365ED7" w:rsidRDefault="00724627" w:rsidP="00CF6E16">
            <w:pPr>
              <w:autoSpaceDE w:val="0"/>
              <w:autoSpaceDN w:val="0"/>
              <w:adjustRightInd w:val="0"/>
              <w:spacing w:line="276" w:lineRule="auto"/>
              <w:jc w:val="left"/>
              <w:rPr>
                <w:rFonts w:ascii="Calibri" w:hAnsi="Calibri"/>
                <w:color w:val="000000"/>
              </w:rPr>
            </w:pPr>
            <w:r w:rsidRPr="00724627">
              <w:rPr>
                <w:rFonts w:ascii="Calibri" w:hAnsi="Calibri"/>
                <w:color w:val="000000"/>
              </w:rPr>
              <w:t>AML: Konsolidierung: Daunorubicin (29)/ Cytarabin (65) (Vyxeos) d1,3</w:t>
            </w:r>
            <w:r w:rsidRPr="00724627" w:rsidDel="00724627">
              <w:rPr>
                <w:rFonts w:ascii="Calibri" w:hAnsi="Calibri"/>
                <w:color w:val="000000"/>
              </w:rPr>
              <w:t xml:space="preserve"> </w:t>
            </w:r>
            <w:r w:rsidR="00FE6600">
              <w:rPr>
                <w:rFonts w:ascii="Calibri" w:hAnsi="Calibri"/>
                <w:color w:val="000000"/>
              </w:rPr>
              <w:t xml:space="preserve"> </w:t>
            </w:r>
            <w:r w:rsidR="003E7068">
              <w:rPr>
                <w:rFonts w:ascii="Calibri" w:hAnsi="Calibri"/>
                <w:color w:val="000000"/>
              </w:rPr>
              <w:t xml:space="preserve">    </w:t>
            </w:r>
            <w:r w:rsidR="00FE6600">
              <w:rPr>
                <w:rFonts w:ascii="Calibri" w:hAnsi="Calibri"/>
                <w:color w:val="000000"/>
              </w:rPr>
              <w:t>(maximal 2 Konsolidierungen</w:t>
            </w:r>
            <w:r>
              <w:rPr>
                <w:rFonts w:ascii="Calibri" w:hAnsi="Calibri"/>
                <w:color w:val="000000"/>
              </w:rPr>
              <w:t>)</w:t>
            </w:r>
          </w:p>
        </w:tc>
      </w:tr>
      <w:tr w:rsidR="00FE6600" w:rsidRPr="00365ED7" w14:paraId="6A6AD323" w14:textId="77777777" w:rsidTr="00CF6E16">
        <w:tc>
          <w:tcPr>
            <w:tcW w:w="3313" w:type="dxa"/>
          </w:tcPr>
          <w:p w14:paraId="7E42E88D" w14:textId="77777777" w:rsidR="00FE6600" w:rsidRPr="003E7068" w:rsidRDefault="00FE6600" w:rsidP="00CF6E16">
            <w:pPr>
              <w:autoSpaceDE w:val="0"/>
              <w:autoSpaceDN w:val="0"/>
              <w:adjustRightInd w:val="0"/>
              <w:spacing w:line="276" w:lineRule="auto"/>
              <w:jc w:val="both"/>
              <w:rPr>
                <w:rFonts w:ascii="Calibri" w:hAnsi="Calibri"/>
                <w:b/>
                <w:color w:val="000000"/>
              </w:rPr>
            </w:pPr>
            <w:r w:rsidRPr="003E7068">
              <w:rPr>
                <w:rFonts w:ascii="Calibri" w:hAnsi="Calibri"/>
                <w:b/>
                <w:color w:val="000000"/>
              </w:rPr>
              <w:lastRenderedPageBreak/>
              <w:t>FLAG</w:t>
            </w:r>
          </w:p>
        </w:tc>
        <w:tc>
          <w:tcPr>
            <w:tcW w:w="6174" w:type="dxa"/>
          </w:tcPr>
          <w:p w14:paraId="67E057C7" w14:textId="77777777" w:rsidR="00724627" w:rsidRPr="004F5F25" w:rsidRDefault="00724627" w:rsidP="00CF6E16">
            <w:pPr>
              <w:autoSpaceDE w:val="0"/>
              <w:autoSpaceDN w:val="0"/>
              <w:adjustRightInd w:val="0"/>
              <w:spacing w:line="276" w:lineRule="auto"/>
              <w:jc w:val="both"/>
              <w:rPr>
                <w:rFonts w:ascii="Calibri" w:hAnsi="Calibri"/>
                <w:color w:val="000000"/>
              </w:rPr>
            </w:pPr>
            <w:r w:rsidRPr="004F5F25">
              <w:rPr>
                <w:rFonts w:ascii="Calibri" w:hAnsi="Calibri"/>
                <w:color w:val="000000"/>
              </w:rPr>
              <w:t>AML: FLAG: Cytarabin (2000) d1-5, Fludarabin (30) d1-5</w:t>
            </w:r>
          </w:p>
          <w:p w14:paraId="24945AC4" w14:textId="77777777" w:rsidR="00FE6600" w:rsidRPr="00DD7CCB" w:rsidRDefault="00FE6600" w:rsidP="00CF6E16">
            <w:pPr>
              <w:pStyle w:val="Listenabsatz"/>
              <w:numPr>
                <w:ilvl w:val="0"/>
                <w:numId w:val="22"/>
              </w:numPr>
              <w:autoSpaceDE w:val="0"/>
              <w:autoSpaceDN w:val="0"/>
              <w:adjustRightInd w:val="0"/>
              <w:spacing w:line="276" w:lineRule="auto"/>
              <w:ind w:left="174" w:hanging="186"/>
              <w:jc w:val="both"/>
              <w:rPr>
                <w:rFonts w:ascii="Calibri" w:hAnsi="Calibri"/>
                <w:color w:val="000000"/>
              </w:rPr>
            </w:pPr>
            <w:r w:rsidRPr="00DD7CCB">
              <w:rPr>
                <w:rFonts w:ascii="Calibri" w:hAnsi="Calibri"/>
                <w:color w:val="000000"/>
              </w:rPr>
              <w:t>Bei Patienten &gt; 70 J: Cytarabin 1g/m2 Tag 1-5</w:t>
            </w:r>
          </w:p>
        </w:tc>
      </w:tr>
      <w:tr w:rsidR="00FE6600" w:rsidRPr="00365ED7" w14:paraId="13DD7A23" w14:textId="77777777" w:rsidTr="00CF6E16">
        <w:tc>
          <w:tcPr>
            <w:tcW w:w="3313" w:type="dxa"/>
          </w:tcPr>
          <w:p w14:paraId="1F32DFED" w14:textId="77777777" w:rsidR="00FE6600" w:rsidRPr="00583CC8" w:rsidRDefault="00FE6600" w:rsidP="00CF6E16">
            <w:pPr>
              <w:autoSpaceDE w:val="0"/>
              <w:autoSpaceDN w:val="0"/>
              <w:adjustRightInd w:val="0"/>
              <w:spacing w:line="276" w:lineRule="auto"/>
              <w:jc w:val="both"/>
              <w:rPr>
                <w:rFonts w:ascii="Calibri" w:hAnsi="Calibri"/>
                <w:b/>
                <w:color w:val="000000"/>
              </w:rPr>
            </w:pPr>
            <w:r w:rsidRPr="00583CC8">
              <w:rPr>
                <w:rFonts w:ascii="Calibri" w:hAnsi="Calibri"/>
                <w:b/>
                <w:color w:val="000000"/>
              </w:rPr>
              <w:t>MEC-Schema</w:t>
            </w:r>
          </w:p>
        </w:tc>
        <w:tc>
          <w:tcPr>
            <w:tcW w:w="6174" w:type="dxa"/>
          </w:tcPr>
          <w:p w14:paraId="7DC54463" w14:textId="77777777" w:rsidR="00FE6600" w:rsidRPr="00583CC8" w:rsidRDefault="00F37EDD" w:rsidP="00CF6E16">
            <w:pPr>
              <w:autoSpaceDE w:val="0"/>
              <w:autoSpaceDN w:val="0"/>
              <w:adjustRightInd w:val="0"/>
              <w:spacing w:line="276" w:lineRule="auto"/>
              <w:jc w:val="both"/>
              <w:rPr>
                <w:rFonts w:ascii="Calibri" w:hAnsi="Calibri"/>
                <w:color w:val="000000"/>
              </w:rPr>
            </w:pPr>
            <w:r w:rsidRPr="00583CC8">
              <w:rPr>
                <w:rFonts w:ascii="Calibri" w:hAnsi="Calibri"/>
                <w:color w:val="000000"/>
              </w:rPr>
              <w:t>AML: MEC: Cytarabin (1000) d1-5, Etoposid (100) d1-5, Mitoxantron (8) d1-5</w:t>
            </w:r>
          </w:p>
        </w:tc>
      </w:tr>
      <w:tr w:rsidR="00FE6600" w:rsidRPr="00460DE7" w14:paraId="5F5EE4F0" w14:textId="77777777" w:rsidTr="00CF6E16">
        <w:tc>
          <w:tcPr>
            <w:tcW w:w="3313" w:type="dxa"/>
          </w:tcPr>
          <w:p w14:paraId="32A3410B" w14:textId="77777777" w:rsidR="00FE6600" w:rsidRPr="00583CC8" w:rsidRDefault="00FE6600" w:rsidP="00CF6E16">
            <w:pPr>
              <w:autoSpaceDE w:val="0"/>
              <w:autoSpaceDN w:val="0"/>
              <w:adjustRightInd w:val="0"/>
              <w:spacing w:line="276" w:lineRule="auto"/>
              <w:jc w:val="both"/>
              <w:rPr>
                <w:rFonts w:ascii="Calibri" w:hAnsi="Calibri"/>
                <w:b/>
                <w:color w:val="000000"/>
                <w:lang w:val="en-US"/>
              </w:rPr>
            </w:pPr>
            <w:r w:rsidRPr="00583CC8">
              <w:rPr>
                <w:rFonts w:ascii="Calibri" w:hAnsi="Calibri"/>
                <w:b/>
                <w:color w:val="000000"/>
                <w:lang w:val="en-US"/>
              </w:rPr>
              <w:t>ClofCy</w:t>
            </w:r>
          </w:p>
        </w:tc>
        <w:tc>
          <w:tcPr>
            <w:tcW w:w="6174" w:type="dxa"/>
          </w:tcPr>
          <w:p w14:paraId="3C0322E8" w14:textId="77777777" w:rsidR="00FE6600" w:rsidRPr="00582E7B" w:rsidRDefault="00583CC8" w:rsidP="00CF6E16">
            <w:pPr>
              <w:autoSpaceDE w:val="0"/>
              <w:autoSpaceDN w:val="0"/>
              <w:adjustRightInd w:val="0"/>
              <w:spacing w:line="276" w:lineRule="auto"/>
              <w:jc w:val="both"/>
              <w:rPr>
                <w:rFonts w:ascii="Calibri" w:hAnsi="Calibri"/>
                <w:color w:val="000000"/>
                <w:lang w:val="en-GB"/>
              </w:rPr>
            </w:pPr>
            <w:r w:rsidRPr="00582E7B">
              <w:rPr>
                <w:rFonts w:ascii="Calibri" w:hAnsi="Calibri"/>
                <w:color w:val="000000"/>
                <w:lang w:val="en-GB"/>
              </w:rPr>
              <w:t>AML: Clofarabin (10) d1-4, Cyclophosphamid (200) d1-4</w:t>
            </w:r>
          </w:p>
        </w:tc>
      </w:tr>
      <w:tr w:rsidR="00FE6600" w:rsidRPr="00365ED7" w14:paraId="6E986A2E" w14:textId="77777777" w:rsidTr="00CF6E16">
        <w:tc>
          <w:tcPr>
            <w:tcW w:w="3313" w:type="dxa"/>
          </w:tcPr>
          <w:p w14:paraId="5681B00A" w14:textId="77777777" w:rsidR="00FE6600" w:rsidRPr="00583CC8" w:rsidRDefault="00FE6600" w:rsidP="00CF6E16">
            <w:pPr>
              <w:autoSpaceDE w:val="0"/>
              <w:autoSpaceDN w:val="0"/>
              <w:adjustRightInd w:val="0"/>
              <w:spacing w:line="276" w:lineRule="auto"/>
              <w:jc w:val="both"/>
              <w:rPr>
                <w:rFonts w:ascii="Calibri" w:hAnsi="Calibri"/>
                <w:b/>
                <w:color w:val="000000"/>
              </w:rPr>
            </w:pPr>
            <w:r w:rsidRPr="00583CC8">
              <w:rPr>
                <w:rFonts w:ascii="Calibri" w:hAnsi="Calibri"/>
                <w:b/>
                <w:color w:val="000000"/>
              </w:rPr>
              <w:t xml:space="preserve">Gemtuzumab Ozogamicin </w:t>
            </w:r>
          </w:p>
          <w:p w14:paraId="484B5C34" w14:textId="77777777" w:rsidR="00FE6600" w:rsidRPr="00365ED7" w:rsidRDefault="00FE6600" w:rsidP="00CF6E16">
            <w:pPr>
              <w:autoSpaceDE w:val="0"/>
              <w:autoSpaceDN w:val="0"/>
              <w:adjustRightInd w:val="0"/>
              <w:spacing w:line="276" w:lineRule="auto"/>
              <w:jc w:val="both"/>
              <w:rPr>
                <w:rFonts w:ascii="Calibri" w:hAnsi="Calibri"/>
                <w:color w:val="000000"/>
              </w:rPr>
            </w:pPr>
            <w:r w:rsidRPr="00583CC8">
              <w:rPr>
                <w:rFonts w:ascii="Calibri" w:hAnsi="Calibri"/>
                <w:b/>
                <w:color w:val="000000"/>
              </w:rPr>
              <w:t>(Mylotarg®)</w:t>
            </w:r>
          </w:p>
        </w:tc>
        <w:tc>
          <w:tcPr>
            <w:tcW w:w="6174" w:type="dxa"/>
          </w:tcPr>
          <w:p w14:paraId="0E1D184D" w14:textId="77777777" w:rsidR="00583CC8" w:rsidRPr="00583CC8" w:rsidRDefault="00583CC8" w:rsidP="00CF6E16">
            <w:pPr>
              <w:autoSpaceDE w:val="0"/>
              <w:autoSpaceDN w:val="0"/>
              <w:adjustRightInd w:val="0"/>
              <w:spacing w:line="276" w:lineRule="auto"/>
              <w:jc w:val="left"/>
              <w:rPr>
                <w:rFonts w:ascii="Calibri" w:hAnsi="Calibri" w:cs="Calibri"/>
                <w:color w:val="000000"/>
                <w:szCs w:val="22"/>
                <w:lang w:eastAsia="de-AT"/>
              </w:rPr>
            </w:pPr>
            <w:r w:rsidRPr="00583CC8">
              <w:rPr>
                <w:rFonts w:ascii="Calibri" w:hAnsi="Calibri" w:cs="Calibri"/>
                <w:color w:val="000000"/>
                <w:szCs w:val="22"/>
                <w:lang w:eastAsia="de-AT"/>
              </w:rPr>
              <w:t>AML: Induktion: Gemtuzumab Ozogamicin (3) d1,4,7</w:t>
            </w:r>
          </w:p>
          <w:p w14:paraId="0D39FA8C" w14:textId="77777777" w:rsidR="00FE6600" w:rsidRPr="00B562DD" w:rsidRDefault="00FE6600" w:rsidP="00CF6E16">
            <w:pPr>
              <w:autoSpaceDE w:val="0"/>
              <w:autoSpaceDN w:val="0"/>
              <w:adjustRightInd w:val="0"/>
              <w:spacing w:line="276" w:lineRule="auto"/>
              <w:jc w:val="left"/>
              <w:rPr>
                <w:rFonts w:ascii="Calibri" w:hAnsi="Calibri" w:cs="Calibri"/>
                <w:color w:val="000000"/>
                <w:szCs w:val="22"/>
                <w:lang w:eastAsia="de-AT"/>
              </w:rPr>
            </w:pPr>
            <w:r w:rsidRPr="00307D44">
              <w:rPr>
                <w:rFonts w:ascii="Calibri" w:hAnsi="Calibri" w:cs="Calibri"/>
                <w:color w:val="000000"/>
                <w:szCs w:val="22"/>
                <w:u w:val="single"/>
                <w:lang w:eastAsia="de-AT"/>
              </w:rPr>
              <w:t>1. Induktion:</w:t>
            </w:r>
            <w:r w:rsidRPr="00B562DD">
              <w:rPr>
                <w:rFonts w:ascii="Calibri" w:hAnsi="Calibri" w:cs="Calibri"/>
                <w:color w:val="000000"/>
                <w:szCs w:val="22"/>
                <w:lang w:eastAsia="de-AT"/>
              </w:rPr>
              <w:t xml:space="preserve"> </w:t>
            </w:r>
            <w:r w:rsidRPr="00307D44">
              <w:rPr>
                <w:rFonts w:ascii="Calibri" w:hAnsi="Calibri"/>
                <w:color w:val="000000"/>
              </w:rPr>
              <w:t xml:space="preserve"> Dosierung von GO: 3 mg/m2 (max. 5 mg </w:t>
            </w:r>
            <w:r>
              <w:rPr>
                <w:rFonts w:ascii="Calibri" w:hAnsi="Calibri"/>
                <w:color w:val="000000"/>
              </w:rPr>
              <w:t>E</w:t>
            </w:r>
            <w:r w:rsidRPr="00307D44">
              <w:rPr>
                <w:rFonts w:ascii="Calibri" w:hAnsi="Calibri"/>
                <w:color w:val="000000"/>
              </w:rPr>
              <w:t>inzel</w:t>
            </w:r>
            <w:r>
              <w:rPr>
                <w:rFonts w:ascii="Calibri" w:hAnsi="Calibri"/>
                <w:color w:val="000000"/>
              </w:rPr>
              <w:t>-</w:t>
            </w:r>
            <w:r w:rsidRPr="00307D44">
              <w:rPr>
                <w:rFonts w:ascii="Calibri" w:hAnsi="Calibri"/>
                <w:color w:val="000000"/>
              </w:rPr>
              <w:t>dosis</w:t>
            </w:r>
            <w:r>
              <w:rPr>
                <w:rFonts w:ascii="Calibri" w:hAnsi="Calibri"/>
                <w:color w:val="000000"/>
              </w:rPr>
              <w:t>/Tag</w:t>
            </w:r>
            <w:r w:rsidRPr="00307D44">
              <w:rPr>
                <w:rFonts w:ascii="Calibri" w:hAnsi="Calibri"/>
                <w:color w:val="000000"/>
              </w:rPr>
              <w:t>) an Tag 1,4,7</w:t>
            </w:r>
          </w:p>
          <w:p w14:paraId="044D85A9" w14:textId="77777777" w:rsidR="00FE6600" w:rsidRDefault="00583CC8" w:rsidP="00CF6E16">
            <w:pPr>
              <w:autoSpaceDE w:val="0"/>
              <w:autoSpaceDN w:val="0"/>
              <w:adjustRightInd w:val="0"/>
              <w:spacing w:line="276" w:lineRule="auto"/>
              <w:jc w:val="left"/>
              <w:rPr>
                <w:rFonts w:ascii="Calibri" w:hAnsi="Calibri"/>
                <w:color w:val="000000"/>
              </w:rPr>
            </w:pPr>
            <w:r>
              <w:rPr>
                <w:rFonts w:ascii="Calibri" w:hAnsi="Calibri"/>
                <w:color w:val="000000"/>
              </w:rPr>
              <w:t>Falls</w:t>
            </w:r>
            <w:r w:rsidR="00FE6600">
              <w:rPr>
                <w:rFonts w:ascii="Calibri" w:hAnsi="Calibri"/>
                <w:color w:val="000000"/>
              </w:rPr>
              <w:t xml:space="preserve"> auf die 1. Induktion keine CR erzielt wird, sollte Mylotarg </w:t>
            </w:r>
            <w:r w:rsidR="00FE6600" w:rsidRPr="00307D44">
              <w:rPr>
                <w:rFonts w:ascii="Calibri" w:hAnsi="Calibri"/>
                <w:b/>
                <w:color w:val="000000"/>
                <w:u w:val="single"/>
              </w:rPr>
              <w:t>nicht</w:t>
            </w:r>
            <w:r w:rsidR="00FE6600">
              <w:rPr>
                <w:rFonts w:ascii="Calibri" w:hAnsi="Calibri"/>
                <w:color w:val="000000"/>
              </w:rPr>
              <w:t xml:space="preserve"> </w:t>
            </w:r>
            <w:r w:rsidR="00FE6600" w:rsidRPr="00322D22">
              <w:rPr>
                <w:rFonts w:ascii="Calibri" w:hAnsi="Calibri"/>
                <w:color w:val="000000"/>
              </w:rPr>
              <w:t>w</w:t>
            </w:r>
            <w:r w:rsidR="00FE6600">
              <w:rPr>
                <w:rFonts w:ascii="Calibri" w:hAnsi="Calibri"/>
                <w:color w:val="000000"/>
              </w:rPr>
              <w:t xml:space="preserve">ährend der 2. Induktion </w:t>
            </w:r>
            <w:r w:rsidR="00FE6600" w:rsidRPr="00322D22">
              <w:rPr>
                <w:rFonts w:ascii="Calibri" w:hAnsi="Calibri"/>
                <w:color w:val="000000"/>
              </w:rPr>
              <w:t>verabreicht werden.</w:t>
            </w:r>
          </w:p>
          <w:p w14:paraId="2D0D4BBC" w14:textId="77777777" w:rsidR="00FE6600" w:rsidRDefault="00FE6600" w:rsidP="00CF6E16">
            <w:pPr>
              <w:autoSpaceDE w:val="0"/>
              <w:autoSpaceDN w:val="0"/>
              <w:adjustRightInd w:val="0"/>
              <w:spacing w:line="276" w:lineRule="auto"/>
              <w:jc w:val="left"/>
              <w:rPr>
                <w:rFonts w:ascii="Calibri" w:hAnsi="Calibri" w:cs="Calibri"/>
                <w:color w:val="000000"/>
                <w:szCs w:val="22"/>
                <w:lang w:eastAsia="de-AT"/>
              </w:rPr>
            </w:pPr>
            <w:r w:rsidRPr="00307D44">
              <w:rPr>
                <w:rFonts w:ascii="Calibri" w:hAnsi="Calibri" w:cs="Calibri"/>
                <w:color w:val="000000"/>
                <w:szCs w:val="22"/>
                <w:u w:val="single"/>
                <w:lang w:eastAsia="de-AT"/>
              </w:rPr>
              <w:t>Konsolidierung 1 und 2:</w:t>
            </w:r>
            <w:r w:rsidRPr="00307D44">
              <w:rPr>
                <w:rFonts w:ascii="Calibri" w:hAnsi="Calibri"/>
                <w:color w:val="000000"/>
              </w:rPr>
              <w:t xml:space="preserve"> 3 mg/m2 (ma</w:t>
            </w:r>
            <w:r>
              <w:rPr>
                <w:rFonts w:ascii="Calibri" w:hAnsi="Calibri"/>
                <w:color w:val="000000"/>
              </w:rPr>
              <w:t xml:space="preserve">x 5 mg Einzeldosis) </w:t>
            </w:r>
            <w:r>
              <w:rPr>
                <w:rFonts w:ascii="Calibri" w:hAnsi="Calibri" w:cs="Calibri"/>
                <w:color w:val="000000"/>
                <w:szCs w:val="22"/>
                <w:lang w:eastAsia="de-AT"/>
              </w:rPr>
              <w:t>nur an Tag 1</w:t>
            </w:r>
          </w:p>
          <w:p w14:paraId="721F2CA2" w14:textId="77777777" w:rsidR="00FE6600" w:rsidRPr="00307D44" w:rsidRDefault="00FE6600" w:rsidP="00CF6E16">
            <w:pPr>
              <w:pStyle w:val="Listenabsatz"/>
              <w:numPr>
                <w:ilvl w:val="0"/>
                <w:numId w:val="22"/>
              </w:numPr>
              <w:autoSpaceDE w:val="0"/>
              <w:autoSpaceDN w:val="0"/>
              <w:adjustRightInd w:val="0"/>
              <w:spacing w:line="276" w:lineRule="auto"/>
              <w:ind w:left="174" w:hanging="186"/>
              <w:jc w:val="both"/>
              <w:rPr>
                <w:rFonts w:ascii="Calibri" w:hAnsi="Calibri"/>
                <w:color w:val="000000"/>
              </w:rPr>
            </w:pPr>
            <w:r w:rsidRPr="00307D44">
              <w:rPr>
                <w:rFonts w:ascii="Calibri" w:hAnsi="Calibri"/>
                <w:color w:val="000000"/>
              </w:rPr>
              <w:t>Verabreichung in der Konsolidierung nur, wenn eine Applikation bei Induktion erfolgt ist und nur für die ersten 2 Konsolidierungen</w:t>
            </w:r>
          </w:p>
          <w:p w14:paraId="31002BAD" w14:textId="77777777" w:rsidR="00FE6600" w:rsidRPr="00B562DD" w:rsidRDefault="00FE6600" w:rsidP="00CF6E16">
            <w:pPr>
              <w:pStyle w:val="Listenabsatz"/>
              <w:numPr>
                <w:ilvl w:val="0"/>
                <w:numId w:val="22"/>
              </w:numPr>
              <w:autoSpaceDE w:val="0"/>
              <w:autoSpaceDN w:val="0"/>
              <w:adjustRightInd w:val="0"/>
              <w:spacing w:line="276" w:lineRule="auto"/>
              <w:ind w:left="174" w:hanging="186"/>
              <w:jc w:val="both"/>
              <w:rPr>
                <w:rFonts w:ascii="Calibri" w:hAnsi="Calibri" w:cs="Calibri"/>
                <w:color w:val="000000"/>
                <w:szCs w:val="22"/>
                <w:lang w:eastAsia="de-AT"/>
              </w:rPr>
            </w:pPr>
            <w:r>
              <w:rPr>
                <w:rFonts w:ascii="Calibri" w:hAnsi="Calibri"/>
                <w:color w:val="000000"/>
              </w:rPr>
              <w:t>F</w:t>
            </w:r>
            <w:r w:rsidRPr="00307D44">
              <w:rPr>
                <w:rFonts w:ascii="Calibri" w:hAnsi="Calibri"/>
                <w:color w:val="000000"/>
              </w:rPr>
              <w:t xml:space="preserve">alls Stammzelltransplantation vorgesehen ist, Rücksprache mit Transplantteam vor Verwendung von GO </w:t>
            </w:r>
            <w:r w:rsidR="00857FCE">
              <w:rPr>
                <w:rFonts w:ascii="Calibri" w:hAnsi="Calibri"/>
                <w:color w:val="000000"/>
              </w:rPr>
              <w:t xml:space="preserve">sowohl in der Induktion, als auch </w:t>
            </w:r>
            <w:r w:rsidRPr="00307D44">
              <w:rPr>
                <w:rFonts w:ascii="Calibri" w:hAnsi="Calibri"/>
                <w:color w:val="000000"/>
              </w:rPr>
              <w:t xml:space="preserve">in der Konsolidierung wegen erhöhtem VOD-Risiko; </w:t>
            </w:r>
          </w:p>
        </w:tc>
      </w:tr>
      <w:tr w:rsidR="00FE6600" w:rsidRPr="00365ED7" w14:paraId="45827987" w14:textId="77777777" w:rsidTr="00CF6E16">
        <w:tc>
          <w:tcPr>
            <w:tcW w:w="3313" w:type="dxa"/>
          </w:tcPr>
          <w:p w14:paraId="682E5AD9" w14:textId="77777777" w:rsidR="00FE6600" w:rsidRPr="007B2301" w:rsidRDefault="00FE6600" w:rsidP="00CF6E16">
            <w:pPr>
              <w:autoSpaceDE w:val="0"/>
              <w:autoSpaceDN w:val="0"/>
              <w:adjustRightInd w:val="0"/>
              <w:spacing w:line="276" w:lineRule="auto"/>
              <w:jc w:val="both"/>
              <w:rPr>
                <w:rFonts w:ascii="Calibri" w:hAnsi="Calibri"/>
                <w:b/>
                <w:color w:val="000000"/>
              </w:rPr>
            </w:pPr>
            <w:r w:rsidRPr="007B2301">
              <w:rPr>
                <w:rFonts w:ascii="Calibri" w:hAnsi="Calibri"/>
                <w:b/>
                <w:color w:val="000000"/>
              </w:rPr>
              <w:t>ID-ARA-C</w:t>
            </w:r>
          </w:p>
          <w:p w14:paraId="556025A6" w14:textId="77777777" w:rsidR="006B1AC7" w:rsidRPr="007B2301" w:rsidRDefault="006B1AC7" w:rsidP="00CF6E16">
            <w:pPr>
              <w:autoSpaceDE w:val="0"/>
              <w:autoSpaceDN w:val="0"/>
              <w:adjustRightInd w:val="0"/>
              <w:spacing w:line="276" w:lineRule="auto"/>
              <w:jc w:val="both"/>
              <w:rPr>
                <w:rFonts w:ascii="Calibri" w:hAnsi="Calibri"/>
                <w:b/>
                <w:color w:val="000000"/>
              </w:rPr>
            </w:pPr>
          </w:p>
          <w:p w14:paraId="649143F1" w14:textId="77777777" w:rsidR="00D971C9" w:rsidRPr="007B2301" w:rsidRDefault="00D971C9" w:rsidP="00CF6E16">
            <w:pPr>
              <w:autoSpaceDE w:val="0"/>
              <w:autoSpaceDN w:val="0"/>
              <w:adjustRightInd w:val="0"/>
              <w:spacing w:line="276" w:lineRule="auto"/>
              <w:jc w:val="both"/>
              <w:rPr>
                <w:rFonts w:ascii="Calibri" w:hAnsi="Calibri"/>
                <w:b/>
                <w:color w:val="000000"/>
              </w:rPr>
            </w:pPr>
          </w:p>
          <w:p w14:paraId="33E8714F" w14:textId="77777777" w:rsidR="00D971C9" w:rsidRPr="007B2301" w:rsidRDefault="00D971C9" w:rsidP="00CF6E16">
            <w:pPr>
              <w:autoSpaceDE w:val="0"/>
              <w:autoSpaceDN w:val="0"/>
              <w:adjustRightInd w:val="0"/>
              <w:spacing w:line="276" w:lineRule="auto"/>
              <w:jc w:val="both"/>
              <w:rPr>
                <w:rFonts w:ascii="Calibri" w:hAnsi="Calibri"/>
                <w:b/>
                <w:color w:val="000000"/>
              </w:rPr>
            </w:pPr>
          </w:p>
          <w:p w14:paraId="774FA7BB" w14:textId="77777777" w:rsidR="00D971C9" w:rsidRPr="007B2301" w:rsidRDefault="00D971C9" w:rsidP="00CF6E16">
            <w:pPr>
              <w:autoSpaceDE w:val="0"/>
              <w:autoSpaceDN w:val="0"/>
              <w:adjustRightInd w:val="0"/>
              <w:spacing w:line="276" w:lineRule="auto"/>
              <w:jc w:val="both"/>
              <w:rPr>
                <w:rFonts w:ascii="Calibri" w:hAnsi="Calibri"/>
                <w:b/>
                <w:color w:val="000000"/>
              </w:rPr>
            </w:pPr>
          </w:p>
          <w:p w14:paraId="45E2AE70" w14:textId="77777777" w:rsidR="006B1AC7" w:rsidRPr="007B2301" w:rsidRDefault="006B1AC7" w:rsidP="00CF6E16">
            <w:pPr>
              <w:autoSpaceDE w:val="0"/>
              <w:autoSpaceDN w:val="0"/>
              <w:adjustRightInd w:val="0"/>
              <w:spacing w:line="276" w:lineRule="auto"/>
              <w:jc w:val="both"/>
              <w:rPr>
                <w:rFonts w:ascii="Calibri" w:hAnsi="Calibri"/>
                <w:b/>
                <w:color w:val="000000"/>
              </w:rPr>
            </w:pPr>
            <w:r w:rsidRPr="007B2301">
              <w:rPr>
                <w:rFonts w:ascii="Calibri" w:hAnsi="Calibri"/>
                <w:b/>
                <w:color w:val="000000"/>
              </w:rPr>
              <w:t>+GO</w:t>
            </w:r>
          </w:p>
        </w:tc>
        <w:tc>
          <w:tcPr>
            <w:tcW w:w="6174" w:type="dxa"/>
          </w:tcPr>
          <w:p w14:paraId="244AE21F" w14:textId="77777777" w:rsidR="00D971C9" w:rsidRDefault="00D971C9" w:rsidP="00CF6E16">
            <w:pPr>
              <w:autoSpaceDE w:val="0"/>
              <w:autoSpaceDN w:val="0"/>
              <w:adjustRightInd w:val="0"/>
              <w:spacing w:line="276" w:lineRule="auto"/>
              <w:jc w:val="both"/>
              <w:rPr>
                <w:rFonts w:ascii="Calibri" w:hAnsi="Calibri"/>
                <w:color w:val="000000"/>
              </w:rPr>
            </w:pPr>
            <w:r w:rsidRPr="00D971C9">
              <w:rPr>
                <w:rFonts w:ascii="Calibri" w:hAnsi="Calibri"/>
                <w:color w:val="000000"/>
              </w:rPr>
              <w:t>AML: ID-ARA-C-Konsolidierung (&lt;60a): Cytarabin (2x1500) d1-3</w:t>
            </w:r>
          </w:p>
          <w:p w14:paraId="67D17429" w14:textId="77777777" w:rsidR="00D971C9" w:rsidRPr="004F5F25" w:rsidRDefault="00D971C9" w:rsidP="00CF6E16">
            <w:pPr>
              <w:autoSpaceDE w:val="0"/>
              <w:autoSpaceDN w:val="0"/>
              <w:adjustRightInd w:val="0"/>
              <w:spacing w:line="276" w:lineRule="auto"/>
              <w:jc w:val="both"/>
              <w:rPr>
                <w:rFonts w:ascii="Calibri" w:hAnsi="Calibri"/>
                <w:color w:val="000000"/>
              </w:rPr>
            </w:pPr>
            <w:r w:rsidRPr="00D971C9">
              <w:rPr>
                <w:rFonts w:ascii="Calibri" w:hAnsi="Calibri"/>
                <w:color w:val="000000"/>
              </w:rPr>
              <w:t>AML: ID-ARA-C-Konsolidierung (&gt;60a): Cytarabin (2x1000) d1-3</w:t>
            </w:r>
          </w:p>
          <w:p w14:paraId="69622BDF" w14:textId="77777777" w:rsidR="00FE6600" w:rsidRDefault="00FE6600" w:rsidP="00CF6E16">
            <w:pPr>
              <w:pStyle w:val="Listenabsatz"/>
              <w:numPr>
                <w:ilvl w:val="0"/>
                <w:numId w:val="40"/>
              </w:numPr>
              <w:autoSpaceDE w:val="0"/>
              <w:autoSpaceDN w:val="0"/>
              <w:adjustRightInd w:val="0"/>
              <w:spacing w:line="276" w:lineRule="auto"/>
              <w:jc w:val="both"/>
              <w:rPr>
                <w:rFonts w:ascii="Calibri" w:hAnsi="Calibri"/>
                <w:color w:val="000000"/>
              </w:rPr>
            </w:pPr>
            <w:r w:rsidRPr="00365ED7">
              <w:rPr>
                <w:rFonts w:ascii="Calibri" w:hAnsi="Calibri"/>
                <w:color w:val="000000"/>
              </w:rPr>
              <w:t xml:space="preserve">Cytarabin </w:t>
            </w:r>
            <w:r w:rsidR="00583CC8">
              <w:rPr>
                <w:rFonts w:ascii="Calibri" w:hAnsi="Calibri"/>
                <w:color w:val="000000"/>
              </w:rPr>
              <w:t>1500mg</w:t>
            </w:r>
            <w:r w:rsidRPr="00365ED7">
              <w:rPr>
                <w:rFonts w:ascii="Calibri" w:hAnsi="Calibri"/>
                <w:color w:val="000000"/>
              </w:rPr>
              <w:t>/m2 alle 12 Stunden Tag 1-3, Für Patienten &gt; 60 Jahre: 1</w:t>
            </w:r>
            <w:r w:rsidR="00583CC8">
              <w:rPr>
                <w:rFonts w:ascii="Calibri" w:hAnsi="Calibri"/>
                <w:color w:val="000000"/>
              </w:rPr>
              <w:t>000mg</w:t>
            </w:r>
            <w:r w:rsidRPr="00365ED7">
              <w:rPr>
                <w:rFonts w:ascii="Calibri" w:hAnsi="Calibri"/>
                <w:color w:val="000000"/>
              </w:rPr>
              <w:t>/m2 alle 12 Stunden Tag 1-3</w:t>
            </w:r>
          </w:p>
          <w:p w14:paraId="763A0830" w14:textId="77777777" w:rsidR="00784C2F" w:rsidRPr="004F5F25" w:rsidRDefault="00784C2F" w:rsidP="00CF6E16">
            <w:pPr>
              <w:autoSpaceDE w:val="0"/>
              <w:autoSpaceDN w:val="0"/>
              <w:adjustRightInd w:val="0"/>
              <w:spacing w:line="276" w:lineRule="auto"/>
              <w:ind w:left="-12"/>
              <w:jc w:val="both"/>
              <w:rPr>
                <w:rFonts w:ascii="Calibri" w:hAnsi="Calibri"/>
                <w:color w:val="000000"/>
              </w:rPr>
            </w:pPr>
            <w:r w:rsidRPr="004F5F25">
              <w:rPr>
                <w:rFonts w:ascii="Calibri" w:hAnsi="Calibri"/>
                <w:color w:val="000000"/>
              </w:rPr>
              <w:t>AML: ID</w:t>
            </w:r>
            <w:r w:rsidR="004C0FF2" w:rsidRPr="004F5F25">
              <w:rPr>
                <w:rFonts w:ascii="Calibri" w:hAnsi="Calibri"/>
                <w:color w:val="000000"/>
              </w:rPr>
              <w:t>-</w:t>
            </w:r>
            <w:r w:rsidRPr="004F5F25">
              <w:rPr>
                <w:rFonts w:ascii="Calibri" w:hAnsi="Calibri"/>
                <w:color w:val="000000"/>
              </w:rPr>
              <w:t>A</w:t>
            </w:r>
            <w:r w:rsidR="004C0FF2" w:rsidRPr="004F5F25">
              <w:rPr>
                <w:rFonts w:ascii="Calibri" w:hAnsi="Calibri"/>
                <w:color w:val="000000"/>
              </w:rPr>
              <w:t>RA-</w:t>
            </w:r>
            <w:r w:rsidRPr="004F5F25">
              <w:rPr>
                <w:rFonts w:ascii="Calibri" w:hAnsi="Calibri"/>
                <w:color w:val="000000"/>
              </w:rPr>
              <w:t>C-Konsolidierung (&lt;60a)</w:t>
            </w:r>
            <w:r w:rsidR="00360246" w:rsidRPr="004F5F25">
              <w:rPr>
                <w:rFonts w:ascii="Calibri" w:hAnsi="Calibri"/>
                <w:color w:val="000000"/>
              </w:rPr>
              <w:t xml:space="preserve"> +GO</w:t>
            </w:r>
            <w:r w:rsidRPr="004F5F25">
              <w:rPr>
                <w:rFonts w:ascii="Calibri" w:hAnsi="Calibri"/>
                <w:color w:val="000000"/>
              </w:rPr>
              <w:t>: Cytarabin (</w:t>
            </w:r>
            <w:r w:rsidR="00A41A45" w:rsidRPr="004F5F25">
              <w:rPr>
                <w:rFonts w:ascii="Calibri" w:hAnsi="Calibri"/>
                <w:color w:val="000000"/>
              </w:rPr>
              <w:t>2x</w:t>
            </w:r>
            <w:r w:rsidRPr="004F5F25">
              <w:rPr>
                <w:rFonts w:ascii="Calibri" w:hAnsi="Calibri"/>
                <w:color w:val="000000"/>
              </w:rPr>
              <w:t>1500) d1-3 + Gemtuzumab ozogamicin (3) d1</w:t>
            </w:r>
          </w:p>
          <w:p w14:paraId="2B591525" w14:textId="77777777" w:rsidR="00784C2F" w:rsidRPr="004F5F25" w:rsidRDefault="00784C2F" w:rsidP="00CF6E16">
            <w:pPr>
              <w:autoSpaceDE w:val="0"/>
              <w:autoSpaceDN w:val="0"/>
              <w:adjustRightInd w:val="0"/>
              <w:spacing w:line="276" w:lineRule="auto"/>
              <w:jc w:val="both"/>
              <w:rPr>
                <w:rFonts w:ascii="Calibri" w:hAnsi="Calibri"/>
                <w:color w:val="000000"/>
              </w:rPr>
            </w:pPr>
            <w:r w:rsidRPr="004F5F25">
              <w:rPr>
                <w:rFonts w:ascii="Calibri" w:hAnsi="Calibri"/>
                <w:color w:val="000000"/>
              </w:rPr>
              <w:t>AML: ID</w:t>
            </w:r>
            <w:r w:rsidR="004C0FF2" w:rsidRPr="004F5F25">
              <w:rPr>
                <w:rFonts w:ascii="Calibri" w:hAnsi="Calibri"/>
                <w:color w:val="000000"/>
              </w:rPr>
              <w:t>-</w:t>
            </w:r>
            <w:r w:rsidRPr="004F5F25">
              <w:rPr>
                <w:rFonts w:ascii="Calibri" w:hAnsi="Calibri"/>
                <w:color w:val="000000"/>
              </w:rPr>
              <w:t>A</w:t>
            </w:r>
            <w:r w:rsidR="004C0FF2" w:rsidRPr="004F5F25">
              <w:rPr>
                <w:rFonts w:ascii="Calibri" w:hAnsi="Calibri"/>
                <w:color w:val="000000"/>
              </w:rPr>
              <w:t>RA-</w:t>
            </w:r>
            <w:r w:rsidRPr="004F5F25">
              <w:rPr>
                <w:rFonts w:ascii="Calibri" w:hAnsi="Calibri"/>
                <w:color w:val="000000"/>
              </w:rPr>
              <w:t>C-Konsolidierung (&gt;60a)</w:t>
            </w:r>
            <w:r w:rsidR="00100A91" w:rsidRPr="004F5F25">
              <w:rPr>
                <w:rFonts w:ascii="Calibri" w:hAnsi="Calibri"/>
                <w:color w:val="000000"/>
              </w:rPr>
              <w:t xml:space="preserve"> +GO</w:t>
            </w:r>
            <w:r w:rsidRPr="004F5F25">
              <w:rPr>
                <w:rFonts w:ascii="Calibri" w:hAnsi="Calibri"/>
                <w:color w:val="000000"/>
              </w:rPr>
              <w:t>: Cytarabin (</w:t>
            </w:r>
            <w:r w:rsidR="00A41A45" w:rsidRPr="004F5F25">
              <w:rPr>
                <w:rFonts w:ascii="Calibri" w:hAnsi="Calibri"/>
                <w:color w:val="000000"/>
              </w:rPr>
              <w:t>2x</w:t>
            </w:r>
            <w:r w:rsidRPr="004F5F25">
              <w:rPr>
                <w:rFonts w:ascii="Calibri" w:hAnsi="Calibri"/>
                <w:color w:val="000000"/>
              </w:rPr>
              <w:t>1000) d1-3 + Gemtuzumab ozogamicin (3) d1</w:t>
            </w:r>
          </w:p>
          <w:p w14:paraId="138D0216" w14:textId="77777777" w:rsidR="00724627" w:rsidRPr="00307D44" w:rsidRDefault="00724627" w:rsidP="00CF6E16">
            <w:pPr>
              <w:pStyle w:val="Listenabsatz"/>
              <w:numPr>
                <w:ilvl w:val="0"/>
                <w:numId w:val="40"/>
              </w:numPr>
              <w:autoSpaceDE w:val="0"/>
              <w:autoSpaceDN w:val="0"/>
              <w:adjustRightInd w:val="0"/>
              <w:spacing w:line="276" w:lineRule="auto"/>
              <w:jc w:val="both"/>
              <w:rPr>
                <w:rFonts w:ascii="Calibri" w:hAnsi="Calibri"/>
                <w:color w:val="000000"/>
              </w:rPr>
            </w:pPr>
            <w:r w:rsidRPr="00307D44">
              <w:rPr>
                <w:rFonts w:ascii="Calibri" w:hAnsi="Calibri"/>
                <w:color w:val="000000"/>
              </w:rPr>
              <w:t xml:space="preserve">Verabreichung </w:t>
            </w:r>
            <w:r>
              <w:rPr>
                <w:rFonts w:ascii="Calibri" w:hAnsi="Calibri"/>
                <w:color w:val="000000"/>
              </w:rPr>
              <w:t xml:space="preserve">von GO </w:t>
            </w:r>
            <w:r w:rsidRPr="00307D44">
              <w:rPr>
                <w:rFonts w:ascii="Calibri" w:hAnsi="Calibri"/>
                <w:color w:val="000000"/>
              </w:rPr>
              <w:t>in der Konsolidierung nur, wenn eine Applikation bei Induktion erfolgt ist und nur für die ersten 2 Konsolidierungen</w:t>
            </w:r>
          </w:p>
          <w:p w14:paraId="2395D113" w14:textId="77777777" w:rsidR="00205DF7" w:rsidRPr="00D971C9" w:rsidRDefault="00205DF7" w:rsidP="00CF6E16">
            <w:pPr>
              <w:pStyle w:val="Listenabsatz"/>
              <w:autoSpaceDE w:val="0"/>
              <w:autoSpaceDN w:val="0"/>
              <w:adjustRightInd w:val="0"/>
              <w:spacing w:line="276" w:lineRule="auto"/>
              <w:ind w:left="360"/>
              <w:jc w:val="both"/>
              <w:rPr>
                <w:rFonts w:ascii="Calibri" w:hAnsi="Calibri"/>
                <w:color w:val="000000"/>
              </w:rPr>
            </w:pPr>
          </w:p>
        </w:tc>
      </w:tr>
    </w:tbl>
    <w:p w14:paraId="397D0FA7" w14:textId="77777777" w:rsidR="00FE6600" w:rsidRDefault="00FE6600" w:rsidP="00FB49EB">
      <w:pPr>
        <w:pStyle w:val="Textkrper-Einzug2"/>
        <w:spacing w:after="0" w:line="276" w:lineRule="auto"/>
        <w:ind w:left="720"/>
        <w:jc w:val="both"/>
        <w:rPr>
          <w:rFonts w:asciiTheme="minorHAnsi" w:hAnsiTheme="minorHAnsi" w:cstheme="minorHAnsi"/>
          <w:szCs w:val="22"/>
        </w:rPr>
      </w:pPr>
    </w:p>
    <w:tbl>
      <w:tblPr>
        <w:tblStyle w:val="Tabellenraster"/>
        <w:tblW w:w="0" w:type="auto"/>
        <w:tblInd w:w="-147" w:type="dxa"/>
        <w:tblLook w:val="04A0" w:firstRow="1" w:lastRow="0" w:firstColumn="1" w:lastColumn="0" w:noHBand="0" w:noVBand="1"/>
      </w:tblPr>
      <w:tblGrid>
        <w:gridCol w:w="2836"/>
        <w:gridCol w:w="6798"/>
      </w:tblGrid>
      <w:tr w:rsidR="00F1281D" w14:paraId="3A04159E" w14:textId="77777777" w:rsidTr="00CF6E16">
        <w:tc>
          <w:tcPr>
            <w:tcW w:w="2836" w:type="dxa"/>
          </w:tcPr>
          <w:p w14:paraId="0DCE4AD2" w14:textId="77777777" w:rsidR="00F1281D" w:rsidRPr="007B2301" w:rsidRDefault="007572A0" w:rsidP="00FB49EB">
            <w:pPr>
              <w:pStyle w:val="Textkrper-Einzug2"/>
              <w:spacing w:after="0" w:line="276" w:lineRule="auto"/>
              <w:ind w:left="0"/>
              <w:jc w:val="both"/>
              <w:rPr>
                <w:rFonts w:asciiTheme="minorHAnsi" w:hAnsiTheme="minorHAnsi" w:cstheme="minorHAnsi"/>
                <w:b/>
                <w:szCs w:val="22"/>
              </w:rPr>
            </w:pPr>
            <w:r w:rsidRPr="007B2301">
              <w:rPr>
                <w:rFonts w:asciiTheme="minorHAnsi" w:hAnsiTheme="minorHAnsi" w:cstheme="minorHAnsi"/>
                <w:b/>
                <w:szCs w:val="22"/>
              </w:rPr>
              <w:t>APL: non-high-risk:</w:t>
            </w:r>
          </w:p>
        </w:tc>
        <w:tc>
          <w:tcPr>
            <w:tcW w:w="6798" w:type="dxa"/>
          </w:tcPr>
          <w:p w14:paraId="3E1902E7" w14:textId="77777777" w:rsidR="007572A0" w:rsidRDefault="007572A0" w:rsidP="007572A0">
            <w:pPr>
              <w:autoSpaceDE w:val="0"/>
              <w:autoSpaceDN w:val="0"/>
              <w:adjustRightInd w:val="0"/>
              <w:spacing w:line="276" w:lineRule="auto"/>
              <w:jc w:val="both"/>
              <w:rPr>
                <w:rFonts w:ascii="Calibri" w:hAnsi="Calibri" w:cs="Calibri"/>
                <w:color w:val="000000"/>
                <w:szCs w:val="22"/>
              </w:rPr>
            </w:pPr>
            <w:r w:rsidRPr="000C5744">
              <w:rPr>
                <w:rFonts w:ascii="Calibri" w:hAnsi="Calibri" w:cs="Calibri"/>
                <w:color w:val="000000"/>
                <w:szCs w:val="22"/>
              </w:rPr>
              <w:t>AML M3: Arsentrioxid / ATRA Induktion d 1-15 (</w:t>
            </w:r>
            <w:r w:rsidR="00857FCE">
              <w:rPr>
                <w:rFonts w:ascii="Calibri" w:hAnsi="Calibri" w:cs="Calibri"/>
                <w:color w:val="000000"/>
                <w:szCs w:val="22"/>
              </w:rPr>
              <w:t xml:space="preserve">mind. 28, </w:t>
            </w:r>
            <w:r w:rsidRPr="000C5744">
              <w:rPr>
                <w:rFonts w:ascii="Calibri" w:hAnsi="Calibri" w:cs="Calibri"/>
                <w:color w:val="000000"/>
                <w:szCs w:val="22"/>
              </w:rPr>
              <w:t>maximal 60 Tage)</w:t>
            </w:r>
          </w:p>
          <w:p w14:paraId="60911CA0" w14:textId="77777777" w:rsidR="00F1281D" w:rsidRDefault="007572A0" w:rsidP="007572A0">
            <w:pPr>
              <w:autoSpaceDE w:val="0"/>
              <w:autoSpaceDN w:val="0"/>
              <w:adjustRightInd w:val="0"/>
              <w:spacing w:line="276" w:lineRule="auto"/>
              <w:jc w:val="both"/>
              <w:rPr>
                <w:rFonts w:asciiTheme="minorHAnsi" w:hAnsiTheme="minorHAnsi" w:cstheme="minorHAnsi"/>
                <w:szCs w:val="22"/>
              </w:rPr>
            </w:pPr>
            <w:r w:rsidRPr="000C5744">
              <w:rPr>
                <w:rFonts w:ascii="Calibri" w:hAnsi="Calibri" w:cs="Calibri"/>
                <w:color w:val="000000"/>
                <w:szCs w:val="22"/>
              </w:rPr>
              <w:t>AML M3: Arsentrioxid / ATRA Konsolidierung d1-42; q8w</w:t>
            </w:r>
          </w:p>
        </w:tc>
      </w:tr>
      <w:tr w:rsidR="00F1281D" w:rsidRPr="00460DE7" w14:paraId="57EFA401" w14:textId="77777777" w:rsidTr="00CF6E16">
        <w:tc>
          <w:tcPr>
            <w:tcW w:w="2836" w:type="dxa"/>
          </w:tcPr>
          <w:p w14:paraId="49BE3307" w14:textId="77777777" w:rsidR="00F1281D" w:rsidRPr="007B2301" w:rsidRDefault="007572A0" w:rsidP="00FB49EB">
            <w:pPr>
              <w:pStyle w:val="Textkrper-Einzug2"/>
              <w:spacing w:after="0" w:line="276" w:lineRule="auto"/>
              <w:ind w:left="0"/>
              <w:jc w:val="both"/>
              <w:rPr>
                <w:rFonts w:asciiTheme="minorHAnsi" w:hAnsiTheme="minorHAnsi" w:cstheme="minorHAnsi"/>
                <w:b/>
                <w:szCs w:val="22"/>
              </w:rPr>
            </w:pPr>
            <w:r w:rsidRPr="007B2301">
              <w:rPr>
                <w:rFonts w:asciiTheme="minorHAnsi" w:hAnsiTheme="minorHAnsi" w:cstheme="minorHAnsi"/>
                <w:b/>
                <w:szCs w:val="22"/>
              </w:rPr>
              <w:t>APL: high-risk:</w:t>
            </w:r>
          </w:p>
        </w:tc>
        <w:tc>
          <w:tcPr>
            <w:tcW w:w="6798" w:type="dxa"/>
          </w:tcPr>
          <w:p w14:paraId="20B86B36" w14:textId="77777777" w:rsidR="007572A0" w:rsidRPr="00D2198E" w:rsidRDefault="007572A0" w:rsidP="007572A0">
            <w:pPr>
              <w:spacing w:line="240" w:lineRule="auto"/>
              <w:jc w:val="both"/>
              <w:rPr>
                <w:rFonts w:ascii="Calibri" w:hAnsi="Calibri" w:cs="Calibri"/>
                <w:color w:val="000000"/>
                <w:szCs w:val="22"/>
                <w:lang w:val="es-ES"/>
              </w:rPr>
            </w:pPr>
            <w:r w:rsidRPr="00D2198E">
              <w:rPr>
                <w:rFonts w:ascii="Calibri" w:hAnsi="Calibri" w:cs="Calibri"/>
                <w:color w:val="000000"/>
                <w:szCs w:val="22"/>
                <w:lang w:val="es-ES"/>
              </w:rPr>
              <w:t xml:space="preserve">AML M3,2015,AIDA (&lt;60a) INDUCTION: Tretinoin (45) d1-60 (max), Idarubicin (12) d 1,3,5,7 </w:t>
            </w:r>
          </w:p>
          <w:p w14:paraId="5DF5BE06" w14:textId="77777777" w:rsidR="007572A0" w:rsidRPr="00D2198E" w:rsidRDefault="007572A0" w:rsidP="007572A0">
            <w:pPr>
              <w:spacing w:line="240" w:lineRule="auto"/>
              <w:jc w:val="both"/>
              <w:rPr>
                <w:rFonts w:ascii="Calibri" w:hAnsi="Calibri" w:cs="Calibri"/>
                <w:color w:val="000000"/>
                <w:szCs w:val="22"/>
                <w:lang w:val="es-ES"/>
              </w:rPr>
            </w:pPr>
            <w:r w:rsidRPr="00D2198E">
              <w:rPr>
                <w:rFonts w:ascii="Calibri" w:hAnsi="Calibri" w:cs="Calibri"/>
                <w:color w:val="000000"/>
                <w:szCs w:val="22"/>
                <w:lang w:val="es-ES"/>
              </w:rPr>
              <w:t xml:space="preserve">CONSOLIDATION 1: Tretinoin (45) d1-15, Cytarabin (1000) d1-4 Idarubicin (5) d1-4 </w:t>
            </w:r>
          </w:p>
          <w:p w14:paraId="3787C9FE" w14:textId="77777777" w:rsidR="007572A0" w:rsidRPr="00D2198E" w:rsidRDefault="007572A0" w:rsidP="007572A0">
            <w:pPr>
              <w:spacing w:line="240" w:lineRule="auto"/>
              <w:jc w:val="both"/>
              <w:rPr>
                <w:rFonts w:ascii="Calibri" w:hAnsi="Calibri" w:cs="Calibri"/>
                <w:color w:val="000000"/>
                <w:szCs w:val="22"/>
                <w:lang w:val="es-ES"/>
              </w:rPr>
            </w:pPr>
            <w:r w:rsidRPr="00D2198E">
              <w:rPr>
                <w:rFonts w:ascii="Calibri" w:hAnsi="Calibri" w:cs="Calibri"/>
                <w:color w:val="000000"/>
                <w:szCs w:val="22"/>
                <w:lang w:val="es-ES"/>
              </w:rPr>
              <w:t xml:space="preserve">CONSOLIDATION 2: Tretinoin (45) d1-15, Mitoxantron (10) d1-5 </w:t>
            </w:r>
          </w:p>
          <w:p w14:paraId="6F5CD8A2" w14:textId="77777777" w:rsidR="00F1281D" w:rsidRPr="00582E7B" w:rsidRDefault="0078594C" w:rsidP="007572A0">
            <w:pPr>
              <w:autoSpaceDE w:val="0"/>
              <w:autoSpaceDN w:val="0"/>
              <w:adjustRightInd w:val="0"/>
              <w:spacing w:line="276" w:lineRule="auto"/>
              <w:jc w:val="both"/>
              <w:rPr>
                <w:rFonts w:asciiTheme="minorHAnsi" w:hAnsiTheme="minorHAnsi" w:cstheme="minorHAnsi"/>
                <w:szCs w:val="22"/>
                <w:lang w:val="en-GB"/>
              </w:rPr>
            </w:pPr>
            <w:r w:rsidRPr="00582E7B">
              <w:rPr>
                <w:rFonts w:asciiTheme="minorHAnsi" w:hAnsiTheme="minorHAnsi" w:cstheme="minorHAnsi"/>
                <w:szCs w:val="22"/>
                <w:lang w:val="en-GB"/>
              </w:rPr>
              <w:t>CONSOLIDATION 3: Tretinoin (45) d1-15, Cytarabin (150) d1-5, Idarubicin (12) d1</w:t>
            </w:r>
          </w:p>
        </w:tc>
      </w:tr>
    </w:tbl>
    <w:p w14:paraId="1F739C99" w14:textId="77777777" w:rsidR="00FE6600" w:rsidRPr="00582E7B" w:rsidRDefault="00FE6600" w:rsidP="00FB49EB">
      <w:pPr>
        <w:pStyle w:val="Textkrper-Einzug2"/>
        <w:spacing w:after="0" w:line="276" w:lineRule="auto"/>
        <w:ind w:left="720"/>
        <w:jc w:val="both"/>
        <w:rPr>
          <w:rFonts w:asciiTheme="minorHAnsi" w:hAnsiTheme="minorHAnsi" w:cstheme="minorHAnsi"/>
          <w:szCs w:val="22"/>
          <w:lang w:val="en-GB"/>
        </w:rPr>
      </w:pPr>
    </w:p>
    <w:p w14:paraId="314B5214" w14:textId="77777777" w:rsidR="00F61076" w:rsidRPr="00582E7B" w:rsidRDefault="00F61076" w:rsidP="00FB49EB">
      <w:pPr>
        <w:pStyle w:val="Textkrper-Einzug2"/>
        <w:spacing w:after="0" w:line="276" w:lineRule="auto"/>
        <w:ind w:left="720"/>
        <w:jc w:val="both"/>
        <w:rPr>
          <w:rFonts w:asciiTheme="minorHAnsi" w:hAnsiTheme="minorHAnsi" w:cstheme="minorHAnsi"/>
          <w:szCs w:val="22"/>
          <w:lang w:val="en-GB"/>
        </w:rPr>
      </w:pPr>
    </w:p>
    <w:p w14:paraId="3198A175" w14:textId="77777777" w:rsidR="00365ED7" w:rsidRDefault="00365ED7" w:rsidP="00365ED7">
      <w:pPr>
        <w:pStyle w:val="berschrift1"/>
      </w:pPr>
      <w:bookmarkStart w:id="80" w:name="_Toc367183623"/>
      <w:bookmarkStart w:id="81" w:name="_Toc367183861"/>
      <w:bookmarkStart w:id="82" w:name="_Toc63667690"/>
      <w:r w:rsidRPr="00E344D4">
        <w:t>Anhang: Wirtschaftliche Analyse</w:t>
      </w:r>
      <w:r>
        <w:t xml:space="preserve"> (optional)</w:t>
      </w:r>
      <w:bookmarkEnd w:id="80"/>
      <w:bookmarkEnd w:id="81"/>
      <w:bookmarkEnd w:id="82"/>
    </w:p>
    <w:p w14:paraId="4776D753" w14:textId="77777777" w:rsidR="00365ED7" w:rsidRDefault="00365ED7">
      <w:pPr>
        <w:spacing w:line="240" w:lineRule="auto"/>
        <w:jc w:val="left"/>
      </w:pPr>
    </w:p>
    <w:p w14:paraId="352F727B" w14:textId="77777777" w:rsidR="005172BD" w:rsidRDefault="005172BD">
      <w:pPr>
        <w:spacing w:line="240" w:lineRule="auto"/>
        <w:jc w:val="left"/>
        <w:rPr>
          <w:rFonts w:asciiTheme="minorHAnsi" w:hAnsiTheme="minorHAnsi" w:cs="Arial"/>
          <w:b/>
          <w:bCs/>
          <w:kern w:val="32"/>
          <w:szCs w:val="32"/>
        </w:rPr>
      </w:pPr>
      <w:r>
        <w:rPr>
          <w:rFonts w:asciiTheme="minorHAnsi" w:hAnsiTheme="minorHAnsi" w:cs="Arial"/>
          <w:b/>
          <w:bCs/>
          <w:kern w:val="32"/>
          <w:szCs w:val="32"/>
        </w:rPr>
        <w:t>-</w:t>
      </w:r>
    </w:p>
    <w:p w14:paraId="78479EAA" w14:textId="77777777" w:rsidR="005172BD" w:rsidRDefault="005172BD">
      <w:pPr>
        <w:spacing w:line="240" w:lineRule="auto"/>
        <w:jc w:val="left"/>
        <w:rPr>
          <w:rFonts w:asciiTheme="minorHAnsi" w:hAnsiTheme="minorHAnsi" w:cs="Arial"/>
          <w:b/>
          <w:bCs/>
          <w:kern w:val="32"/>
          <w:szCs w:val="32"/>
        </w:rPr>
      </w:pPr>
    </w:p>
    <w:sectPr w:rsidR="005172BD" w:rsidSect="0091252F">
      <w:headerReference w:type="even" r:id="rId43"/>
      <w:footerReference w:type="even" r:id="rId44"/>
      <w:headerReference w:type="first" r:id="rId45"/>
      <w:footerReference w:type="first" r:id="rId46"/>
      <w:pgSz w:w="11906" w:h="16838"/>
      <w:pgMar w:top="743" w:right="991" w:bottom="1134" w:left="1418" w:header="567" w:footer="403"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465C0" w16cex:dateUtc="2021-06-04T06:41:00Z"/>
  <w16cex:commentExtensible w16cex:durableId="2464672D" w16cex:dateUtc="2021-06-04T06:47:00Z"/>
  <w16cex:commentExtensible w16cex:durableId="246468BE" w16cex:dateUtc="2021-06-04T06:54:00Z"/>
  <w16cex:commentExtensible w16cex:durableId="24646B84" w16cex:dateUtc="2021-06-04T07:0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3D6960" w14:textId="77777777" w:rsidR="008D7252" w:rsidRDefault="008D7252">
      <w:r>
        <w:separator/>
      </w:r>
    </w:p>
    <w:p w14:paraId="13004F82" w14:textId="77777777" w:rsidR="008D7252" w:rsidRDefault="008D7252"/>
    <w:p w14:paraId="0DF6FA95" w14:textId="77777777" w:rsidR="008D7252" w:rsidRDefault="008D7252"/>
  </w:endnote>
  <w:endnote w:type="continuationSeparator" w:id="0">
    <w:p w14:paraId="56F7DD20" w14:textId="77777777" w:rsidR="008D7252" w:rsidRDefault="008D7252">
      <w:r>
        <w:continuationSeparator/>
      </w:r>
    </w:p>
    <w:p w14:paraId="7DEAFAE6" w14:textId="77777777" w:rsidR="008D7252" w:rsidRDefault="008D7252"/>
    <w:p w14:paraId="3AA8476F" w14:textId="77777777" w:rsidR="008D7252" w:rsidRDefault="008D72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OTNEJMQuadraat">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164D9" w14:textId="34706E75" w:rsidR="008D7252" w:rsidRDefault="008D7252" w:rsidP="00951BE2">
    <w:pPr>
      <w:pStyle w:val="Fuzeile"/>
      <w:pBdr>
        <w:top w:val="single" w:sz="4" w:space="1" w:color="000000"/>
      </w:pBdr>
      <w:tabs>
        <w:tab w:val="clear" w:pos="9072"/>
        <w:tab w:val="right" w:pos="9356"/>
      </w:tabs>
    </w:pPr>
    <w:r>
      <w:rPr>
        <w:sz w:val="18"/>
        <w:szCs w:val="18"/>
      </w:rPr>
      <w:tab/>
    </w:r>
    <w:r>
      <w:rPr>
        <w:sz w:val="18"/>
        <w:szCs w:val="18"/>
      </w:rPr>
      <w:tab/>
      <w:t xml:space="preserve">Seite </w:t>
    </w:r>
    <w:r>
      <w:rPr>
        <w:sz w:val="18"/>
        <w:szCs w:val="18"/>
      </w:rPr>
      <w:fldChar w:fldCharType="begin"/>
    </w:r>
    <w:r>
      <w:rPr>
        <w:sz w:val="18"/>
        <w:szCs w:val="18"/>
      </w:rPr>
      <w:instrText xml:space="preserve"> PAGE </w:instrText>
    </w:r>
    <w:r>
      <w:rPr>
        <w:sz w:val="18"/>
        <w:szCs w:val="18"/>
      </w:rPr>
      <w:fldChar w:fldCharType="separate"/>
    </w:r>
    <w:r w:rsidR="00460DE7">
      <w:rPr>
        <w:noProof/>
        <w:sz w:val="18"/>
        <w:szCs w:val="18"/>
      </w:rPr>
      <w:t>30</w:t>
    </w:r>
    <w:r>
      <w:rPr>
        <w:sz w:val="18"/>
        <w:szCs w:val="18"/>
      </w:rPr>
      <w:fldChar w:fldCharType="end"/>
    </w:r>
    <w:r>
      <w:rPr>
        <w:sz w:val="18"/>
        <w:szCs w:val="18"/>
      </w:rPr>
      <w:t xml:space="preserve"> von </w:t>
    </w:r>
    <w:r>
      <w:rPr>
        <w:sz w:val="18"/>
        <w:szCs w:val="18"/>
      </w:rPr>
      <w:fldChar w:fldCharType="begin"/>
    </w:r>
    <w:r>
      <w:rPr>
        <w:sz w:val="18"/>
        <w:szCs w:val="18"/>
      </w:rPr>
      <w:instrText xml:space="preserve"> NUMPAGES \*Arabic </w:instrText>
    </w:r>
    <w:r>
      <w:rPr>
        <w:sz w:val="18"/>
        <w:szCs w:val="18"/>
      </w:rPr>
      <w:fldChar w:fldCharType="separate"/>
    </w:r>
    <w:r w:rsidR="00460DE7">
      <w:rPr>
        <w:noProof/>
        <w:sz w:val="18"/>
        <w:szCs w:val="18"/>
      </w:rPr>
      <w:t>32</w:t>
    </w:r>
    <w:r>
      <w:rPr>
        <w:sz w:val="18"/>
        <w:szCs w:val="18"/>
      </w:rPr>
      <w:fldChar w:fldCharType="end"/>
    </w:r>
  </w:p>
  <w:p w14:paraId="5AD6DA88" w14:textId="77777777" w:rsidR="008D7252" w:rsidRPr="00B6342E" w:rsidRDefault="008D7252" w:rsidP="00B6342E">
    <w:pPr>
      <w:pStyle w:val="Fuzeile"/>
      <w:jc w:val="both"/>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10172" w14:textId="604B30B5" w:rsidR="008D7252" w:rsidRDefault="008D7252">
    <w:pPr>
      <w:pStyle w:val="Fuzeile"/>
      <w:jc w:val="left"/>
    </w:pPr>
    <w:r>
      <w:rPr>
        <w:snapToGrid w:val="0"/>
        <w:sz w:val="18"/>
      </w:rPr>
      <w:t xml:space="preserve">Abgelegt in: </w:t>
    </w:r>
    <w:r>
      <w:rPr>
        <w:snapToGrid w:val="0"/>
        <w:sz w:val="18"/>
      </w:rPr>
      <w:fldChar w:fldCharType="begin"/>
    </w:r>
    <w:r>
      <w:rPr>
        <w:snapToGrid w:val="0"/>
        <w:sz w:val="18"/>
      </w:rPr>
      <w:instrText xml:space="preserve"> FILENAME \p </w:instrText>
    </w:r>
    <w:r>
      <w:rPr>
        <w:snapToGrid w:val="0"/>
        <w:sz w:val="18"/>
      </w:rPr>
      <w:fldChar w:fldCharType="separate"/>
    </w:r>
    <w:r w:rsidR="004F75A3">
      <w:rPr>
        <w:noProof/>
        <w:snapToGrid w:val="0"/>
        <w:sz w:val="18"/>
      </w:rPr>
      <w:t>https://ooeg.info/dokumente/Lists/KH_Tumorzentrum_Extern/Leitlinie AML.docx</w:t>
    </w:r>
    <w:r>
      <w:rPr>
        <w:snapToGrid w:val="0"/>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B5112" w14:textId="77777777" w:rsidR="008D7252" w:rsidRDefault="008D7252">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A3D55" w14:textId="77777777" w:rsidR="008D7252" w:rsidRDefault="008D725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FFD334" w14:textId="77777777" w:rsidR="008D7252" w:rsidRDefault="008D7252">
      <w:r>
        <w:separator/>
      </w:r>
    </w:p>
    <w:p w14:paraId="595625E4" w14:textId="77777777" w:rsidR="008D7252" w:rsidRDefault="008D7252"/>
    <w:p w14:paraId="58F877EA" w14:textId="77777777" w:rsidR="008D7252" w:rsidRDefault="008D7252"/>
  </w:footnote>
  <w:footnote w:type="continuationSeparator" w:id="0">
    <w:p w14:paraId="4F1D2EEA" w14:textId="77777777" w:rsidR="008D7252" w:rsidRDefault="008D7252">
      <w:r>
        <w:continuationSeparator/>
      </w:r>
    </w:p>
    <w:p w14:paraId="2D9D97DB" w14:textId="77777777" w:rsidR="008D7252" w:rsidRDefault="008D7252"/>
    <w:p w14:paraId="11D78607" w14:textId="77777777" w:rsidR="008D7252" w:rsidRDefault="008D725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DF877" w14:textId="053EC843" w:rsidR="008D7252" w:rsidRDefault="008D7252">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4F75A3">
      <w:rPr>
        <w:rStyle w:val="Seitenzahl"/>
        <w:noProof/>
      </w:rPr>
      <w:t>32</w:t>
    </w:r>
    <w:r>
      <w:rPr>
        <w:rStyle w:val="Seitenzahl"/>
      </w:rPr>
      <w:fldChar w:fldCharType="end"/>
    </w:r>
  </w:p>
  <w:p w14:paraId="3761941E" w14:textId="77777777" w:rsidR="008D7252" w:rsidRDefault="008D7252">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10348" w:type="dxa"/>
      <w:tblInd w:w="-567"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3687"/>
      <w:gridCol w:w="3118"/>
      <w:gridCol w:w="3543"/>
    </w:tblGrid>
    <w:tr w:rsidR="008D7252" w14:paraId="5B5C8FD8" w14:textId="77777777" w:rsidTr="00D37B54">
      <w:tc>
        <w:tcPr>
          <w:tcW w:w="3687" w:type="dxa"/>
        </w:tcPr>
        <w:p w14:paraId="76F6DE5A" w14:textId="77777777" w:rsidR="008D7252" w:rsidRDefault="008D7252" w:rsidP="00D37B54">
          <w:pPr>
            <w:pStyle w:val="Kopfzeile"/>
            <w:tabs>
              <w:tab w:val="clear" w:pos="4536"/>
              <w:tab w:val="clear" w:pos="9072"/>
              <w:tab w:val="left" w:pos="7537"/>
            </w:tabs>
            <w:spacing w:line="240" w:lineRule="auto"/>
            <w:ind w:left="-74" w:right="357"/>
            <w:jc w:val="left"/>
          </w:pPr>
          <w:r>
            <w:rPr>
              <w:noProof/>
              <w:lang w:eastAsia="de-AT"/>
            </w:rPr>
            <w:drawing>
              <wp:inline distT="0" distB="0" distL="0" distR="0" wp14:anchorId="0D36C10D" wp14:editId="0898C8D2">
                <wp:extent cx="1080760" cy="469557"/>
                <wp:effectExtent l="0" t="0" r="5715" b="698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3312" b="12928"/>
                        <a:stretch/>
                      </pic:blipFill>
                      <pic:spPr bwMode="auto">
                        <a:xfrm>
                          <a:off x="0" y="0"/>
                          <a:ext cx="1106179" cy="480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vAlign w:val="center"/>
        </w:tcPr>
        <w:p w14:paraId="77BD2511" w14:textId="77777777" w:rsidR="008D7252" w:rsidRDefault="008D7252" w:rsidP="00D37B54">
          <w:pPr>
            <w:tabs>
              <w:tab w:val="center" w:pos="4536"/>
              <w:tab w:val="right" w:pos="9072"/>
            </w:tabs>
            <w:spacing w:line="240" w:lineRule="auto"/>
            <w:rPr>
              <w:rFonts w:cs="Arial"/>
              <w:b/>
              <w:sz w:val="18"/>
              <w:szCs w:val="18"/>
              <w:lang w:val="de-DE" w:eastAsia="ar-SA"/>
            </w:rPr>
          </w:pPr>
          <w:r>
            <w:rPr>
              <w:rFonts w:cs="Arial"/>
              <w:b/>
              <w:sz w:val="18"/>
              <w:szCs w:val="18"/>
              <w:lang w:val="de-DE" w:eastAsia="ar-SA"/>
            </w:rPr>
            <w:t>Gültigkeitsbereich:</w:t>
          </w:r>
        </w:p>
        <w:p w14:paraId="2E43FF7A" w14:textId="77777777" w:rsidR="008D7252" w:rsidRDefault="008D7252" w:rsidP="00D37B54">
          <w:pPr>
            <w:tabs>
              <w:tab w:val="center" w:pos="4536"/>
              <w:tab w:val="right" w:pos="9072"/>
            </w:tabs>
            <w:spacing w:line="240" w:lineRule="auto"/>
          </w:pPr>
          <w:r>
            <w:rPr>
              <w:rFonts w:cs="Arial"/>
              <w:b/>
              <w:sz w:val="18"/>
              <w:szCs w:val="18"/>
              <w:lang w:val="de-DE" w:eastAsia="ar-SA"/>
            </w:rPr>
            <w:t>Tumorzentrum Oberösterreich</w:t>
          </w:r>
        </w:p>
      </w:tc>
      <w:tc>
        <w:tcPr>
          <w:tcW w:w="3543" w:type="dxa"/>
          <w:vAlign w:val="center"/>
        </w:tcPr>
        <w:p w14:paraId="01ACC05E" w14:textId="77777777" w:rsidR="008D7252" w:rsidRDefault="008D7252" w:rsidP="00D37B54">
          <w:pPr>
            <w:pStyle w:val="Kopfzeile"/>
            <w:tabs>
              <w:tab w:val="clear" w:pos="4536"/>
              <w:tab w:val="clear" w:pos="9072"/>
              <w:tab w:val="left" w:pos="7537"/>
            </w:tabs>
            <w:spacing w:line="240" w:lineRule="auto"/>
            <w:jc w:val="right"/>
          </w:pPr>
          <w:r>
            <w:rPr>
              <w:rFonts w:cs="Arial"/>
              <w:b/>
              <w:sz w:val="18"/>
              <w:szCs w:val="18"/>
              <w:lang w:val="de-DE" w:eastAsia="ar-SA"/>
            </w:rPr>
            <w:t>Leitlinie</w:t>
          </w:r>
          <w:r w:rsidRPr="008544D2">
            <w:rPr>
              <w:rFonts w:cs="Arial"/>
              <w:b/>
              <w:sz w:val="18"/>
              <w:szCs w:val="18"/>
              <w:lang w:val="de-DE" w:eastAsia="ar-SA"/>
            </w:rPr>
            <w:br/>
          </w:r>
          <w:sdt>
            <w:sdtPr>
              <w:rPr>
                <w:rFonts w:cs="Arial"/>
                <w:sz w:val="18"/>
                <w:szCs w:val="18"/>
                <w:lang w:val="de-DE" w:eastAsia="ar-SA"/>
              </w:rPr>
              <w:alias w:val="Titel"/>
              <w:tag w:val=""/>
              <w:id w:val="-421801756"/>
              <w:dataBinding w:prefixMappings="xmlns:ns0='http://purl.org/dc/elements/1.1/' xmlns:ns1='http://schemas.openxmlformats.org/package/2006/metadata/core-properties' " w:xpath="/ns1:coreProperties[1]/ns0:title[1]" w:storeItemID="{6C3C8BC8-F283-45AE-878A-BAB7291924A1}"/>
              <w:text/>
            </w:sdtPr>
            <w:sdtEndPr/>
            <w:sdtContent>
              <w:r>
                <w:rPr>
                  <w:rFonts w:cs="Arial"/>
                  <w:sz w:val="18"/>
                  <w:szCs w:val="18"/>
                  <w:lang w:val="de-DE" w:eastAsia="ar-SA"/>
                </w:rPr>
                <w:t>AML</w:t>
              </w:r>
            </w:sdtContent>
          </w:sdt>
        </w:p>
      </w:tc>
    </w:tr>
  </w:tbl>
  <w:p w14:paraId="09072612" w14:textId="77777777" w:rsidR="008D7252" w:rsidRDefault="008D7252" w:rsidP="00F74762">
    <w:pPr>
      <w:pStyle w:val="Kopfzeile"/>
      <w:tabs>
        <w:tab w:val="clear" w:pos="4536"/>
        <w:tab w:val="clear" w:pos="9072"/>
        <w:tab w:val="left" w:pos="7537"/>
      </w:tabs>
      <w:spacing w:line="240" w:lineRule="auto"/>
      <w:ind w:right="357"/>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ABF9F" w14:textId="0204C463" w:rsidR="008D7252" w:rsidRDefault="008D7252">
    <w:pPr>
      <w:pStyle w:val="Kopfzeile"/>
      <w:jc w:val="right"/>
    </w:pPr>
    <w:r>
      <w:rPr>
        <w:noProof/>
        <w:sz w:val="20"/>
        <w:lang w:eastAsia="de-AT"/>
      </w:rPr>
      <w:drawing>
        <wp:anchor distT="0" distB="0" distL="114300" distR="114300" simplePos="0" relativeHeight="251657728" behindDoc="0" locked="0" layoutInCell="1" allowOverlap="1" wp14:anchorId="685CE37F" wp14:editId="4E907CB7">
          <wp:simplePos x="0" y="0"/>
          <wp:positionH relativeFrom="column">
            <wp:posOffset>-48895</wp:posOffset>
          </wp:positionH>
          <wp:positionV relativeFrom="paragraph">
            <wp:posOffset>-14605</wp:posOffset>
          </wp:positionV>
          <wp:extent cx="1010920" cy="310515"/>
          <wp:effectExtent l="0" t="0" r="0" b="0"/>
          <wp:wrapSquare wrapText="bothSides"/>
          <wp:docPr id="51" name="Bild 1" descr="Logo Qualitaetsmanagement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Qualitaetsmanagement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920" cy="310515"/>
                  </a:xfrm>
                  <a:prstGeom prst="rect">
                    <a:avLst/>
                  </a:prstGeom>
                  <a:noFill/>
                  <a:ln>
                    <a:noFill/>
                  </a:ln>
                </pic:spPr>
              </pic:pic>
            </a:graphicData>
          </a:graphic>
        </wp:anchor>
      </w:drawing>
    </w:r>
    <w:r>
      <w:rPr>
        <w:rStyle w:val="Seitenzahl"/>
        <w:sz w:val="18"/>
      </w:rPr>
      <w:t xml:space="preserve">Seite </w:t>
    </w:r>
    <w:r>
      <w:rPr>
        <w:rStyle w:val="Seitenzahl"/>
        <w:sz w:val="18"/>
      </w:rPr>
      <w:fldChar w:fldCharType="begin"/>
    </w:r>
    <w:r>
      <w:rPr>
        <w:rStyle w:val="Seitenzahl"/>
        <w:sz w:val="18"/>
      </w:rPr>
      <w:instrText xml:space="preserve">PAGE  </w:instrText>
    </w:r>
    <w:r>
      <w:rPr>
        <w:rStyle w:val="Seitenzahl"/>
        <w:sz w:val="18"/>
      </w:rPr>
      <w:fldChar w:fldCharType="separate"/>
    </w:r>
    <w:r w:rsidR="004F75A3">
      <w:rPr>
        <w:rStyle w:val="Seitenzahl"/>
        <w:noProof/>
        <w:sz w:val="18"/>
      </w:rPr>
      <w:t>32</w:t>
    </w:r>
    <w:r>
      <w:rPr>
        <w:rStyle w:val="Seitenzahl"/>
        <w:sz w:val="18"/>
      </w:rPr>
      <w:fldChar w:fldCharType="end"/>
    </w:r>
    <w:r>
      <w:rPr>
        <w:rStyle w:val="Seitenzahl"/>
        <w:sz w:val="18"/>
      </w:rPr>
      <w:t xml:space="preserve"> von </w:t>
    </w:r>
    <w:r>
      <w:rPr>
        <w:rStyle w:val="Seitenzahl"/>
        <w:sz w:val="18"/>
      </w:rPr>
      <w:fldChar w:fldCharType="begin"/>
    </w:r>
    <w:r>
      <w:rPr>
        <w:rStyle w:val="Seitenzahl"/>
        <w:sz w:val="18"/>
      </w:rPr>
      <w:instrText xml:space="preserve"> NUMPAGES </w:instrText>
    </w:r>
    <w:r>
      <w:rPr>
        <w:rStyle w:val="Seitenzahl"/>
        <w:sz w:val="18"/>
      </w:rPr>
      <w:fldChar w:fldCharType="separate"/>
    </w:r>
    <w:r w:rsidR="004F75A3">
      <w:rPr>
        <w:rStyle w:val="Seitenzahl"/>
        <w:noProof/>
        <w:sz w:val="18"/>
      </w:rPr>
      <w:t>32</w:t>
    </w:r>
    <w:r>
      <w:rPr>
        <w:rStyle w:val="Seitenzahl"/>
        <w:sz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30922" w14:textId="77777777" w:rsidR="008D7252" w:rsidRDefault="008D7252">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095F9" w14:textId="77777777" w:rsidR="008D7252" w:rsidRDefault="008D725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F02DC"/>
    <w:multiLevelType w:val="multilevel"/>
    <w:tmpl w:val="0DA48F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851F27"/>
    <w:multiLevelType w:val="hybridMultilevel"/>
    <w:tmpl w:val="E9FE3DA4"/>
    <w:lvl w:ilvl="0" w:tplc="0C070001">
      <w:start w:val="1"/>
      <w:numFmt w:val="bullet"/>
      <w:lvlText w:val=""/>
      <w:lvlJc w:val="left"/>
      <w:pPr>
        <w:ind w:left="720" w:hanging="360"/>
      </w:pPr>
      <w:rPr>
        <w:rFonts w:ascii="Symbol" w:hAnsi="Symbol"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7F15894"/>
    <w:multiLevelType w:val="multilevel"/>
    <w:tmpl w:val="2EFABAAA"/>
    <w:lvl w:ilvl="0">
      <w:start w:val="2"/>
      <w:numFmt w:val="decimal"/>
      <w:lvlText w:val="%1"/>
      <w:lvlJc w:val="left"/>
      <w:pPr>
        <w:ind w:left="360" w:hanging="360"/>
      </w:pPr>
      <w:rPr>
        <w:rFonts w:hint="default"/>
      </w:rPr>
    </w:lvl>
    <w:lvl w:ilvl="1">
      <w:start w:val="2"/>
      <w:numFmt w:val="decimal"/>
      <w:pStyle w:val="berschrift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0E3225"/>
    <w:multiLevelType w:val="hybridMultilevel"/>
    <w:tmpl w:val="0484A152"/>
    <w:lvl w:ilvl="0" w:tplc="0C070001">
      <w:start w:val="1"/>
      <w:numFmt w:val="bullet"/>
      <w:lvlText w:val=""/>
      <w:lvlJc w:val="left"/>
      <w:pPr>
        <w:ind w:left="1004" w:hanging="360"/>
      </w:pPr>
      <w:rPr>
        <w:rFonts w:ascii="Symbol" w:hAnsi="Symbol" w:hint="default"/>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4" w15:restartNumberingAfterBreak="0">
    <w:nsid w:val="097E4CFB"/>
    <w:multiLevelType w:val="hybridMultilevel"/>
    <w:tmpl w:val="0BE81AA0"/>
    <w:lvl w:ilvl="0" w:tplc="CA3E2408">
      <w:start w:val="1"/>
      <w:numFmt w:val="bullet"/>
      <w:lvlText w:val="•"/>
      <w:lvlJc w:val="left"/>
      <w:pPr>
        <w:tabs>
          <w:tab w:val="num" w:pos="720"/>
        </w:tabs>
        <w:ind w:left="720" w:hanging="360"/>
      </w:pPr>
      <w:rPr>
        <w:rFonts w:ascii="Arial" w:hAnsi="Arial" w:hint="default"/>
      </w:rPr>
    </w:lvl>
    <w:lvl w:ilvl="1" w:tplc="A0F2D534" w:tentative="1">
      <w:start w:val="1"/>
      <w:numFmt w:val="bullet"/>
      <w:lvlText w:val="•"/>
      <w:lvlJc w:val="left"/>
      <w:pPr>
        <w:tabs>
          <w:tab w:val="num" w:pos="1440"/>
        </w:tabs>
        <w:ind w:left="1440" w:hanging="360"/>
      </w:pPr>
      <w:rPr>
        <w:rFonts w:ascii="Arial" w:hAnsi="Arial" w:hint="default"/>
      </w:rPr>
    </w:lvl>
    <w:lvl w:ilvl="2" w:tplc="C7DCC06C" w:tentative="1">
      <w:start w:val="1"/>
      <w:numFmt w:val="bullet"/>
      <w:lvlText w:val="•"/>
      <w:lvlJc w:val="left"/>
      <w:pPr>
        <w:tabs>
          <w:tab w:val="num" w:pos="2160"/>
        </w:tabs>
        <w:ind w:left="2160" w:hanging="360"/>
      </w:pPr>
      <w:rPr>
        <w:rFonts w:ascii="Arial" w:hAnsi="Arial" w:hint="default"/>
      </w:rPr>
    </w:lvl>
    <w:lvl w:ilvl="3" w:tplc="7BECA616" w:tentative="1">
      <w:start w:val="1"/>
      <w:numFmt w:val="bullet"/>
      <w:lvlText w:val="•"/>
      <w:lvlJc w:val="left"/>
      <w:pPr>
        <w:tabs>
          <w:tab w:val="num" w:pos="2880"/>
        </w:tabs>
        <w:ind w:left="2880" w:hanging="360"/>
      </w:pPr>
      <w:rPr>
        <w:rFonts w:ascii="Arial" w:hAnsi="Arial" w:hint="default"/>
      </w:rPr>
    </w:lvl>
    <w:lvl w:ilvl="4" w:tplc="33C0AF14" w:tentative="1">
      <w:start w:val="1"/>
      <w:numFmt w:val="bullet"/>
      <w:lvlText w:val="•"/>
      <w:lvlJc w:val="left"/>
      <w:pPr>
        <w:tabs>
          <w:tab w:val="num" w:pos="3600"/>
        </w:tabs>
        <w:ind w:left="3600" w:hanging="360"/>
      </w:pPr>
      <w:rPr>
        <w:rFonts w:ascii="Arial" w:hAnsi="Arial" w:hint="default"/>
      </w:rPr>
    </w:lvl>
    <w:lvl w:ilvl="5" w:tplc="FDCE74F0" w:tentative="1">
      <w:start w:val="1"/>
      <w:numFmt w:val="bullet"/>
      <w:lvlText w:val="•"/>
      <w:lvlJc w:val="left"/>
      <w:pPr>
        <w:tabs>
          <w:tab w:val="num" w:pos="4320"/>
        </w:tabs>
        <w:ind w:left="4320" w:hanging="360"/>
      </w:pPr>
      <w:rPr>
        <w:rFonts w:ascii="Arial" w:hAnsi="Arial" w:hint="default"/>
      </w:rPr>
    </w:lvl>
    <w:lvl w:ilvl="6" w:tplc="8B0CB766" w:tentative="1">
      <w:start w:val="1"/>
      <w:numFmt w:val="bullet"/>
      <w:lvlText w:val="•"/>
      <w:lvlJc w:val="left"/>
      <w:pPr>
        <w:tabs>
          <w:tab w:val="num" w:pos="5040"/>
        </w:tabs>
        <w:ind w:left="5040" w:hanging="360"/>
      </w:pPr>
      <w:rPr>
        <w:rFonts w:ascii="Arial" w:hAnsi="Arial" w:hint="default"/>
      </w:rPr>
    </w:lvl>
    <w:lvl w:ilvl="7" w:tplc="62F4A29C" w:tentative="1">
      <w:start w:val="1"/>
      <w:numFmt w:val="bullet"/>
      <w:lvlText w:val="•"/>
      <w:lvlJc w:val="left"/>
      <w:pPr>
        <w:tabs>
          <w:tab w:val="num" w:pos="5760"/>
        </w:tabs>
        <w:ind w:left="5760" w:hanging="360"/>
      </w:pPr>
      <w:rPr>
        <w:rFonts w:ascii="Arial" w:hAnsi="Arial" w:hint="default"/>
      </w:rPr>
    </w:lvl>
    <w:lvl w:ilvl="8" w:tplc="EDCEA58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2E5911"/>
    <w:multiLevelType w:val="hybridMultilevel"/>
    <w:tmpl w:val="56009C8A"/>
    <w:lvl w:ilvl="0" w:tplc="0C070003">
      <w:start w:val="1"/>
      <w:numFmt w:val="bullet"/>
      <w:lvlText w:val="o"/>
      <w:lvlJc w:val="left"/>
      <w:pPr>
        <w:ind w:left="1004" w:hanging="360"/>
      </w:pPr>
      <w:rPr>
        <w:rFonts w:ascii="Courier New" w:hAnsi="Courier New" w:cs="Courier New" w:hint="default"/>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6" w15:restartNumberingAfterBreak="0">
    <w:nsid w:val="0F3F233C"/>
    <w:multiLevelType w:val="hybridMultilevel"/>
    <w:tmpl w:val="BA82818E"/>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1A6528F"/>
    <w:multiLevelType w:val="hybridMultilevel"/>
    <w:tmpl w:val="016E37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2172475"/>
    <w:multiLevelType w:val="multilevel"/>
    <w:tmpl w:val="DA4E6842"/>
    <w:lvl w:ilvl="0">
      <w:start w:val="1"/>
      <w:numFmt w:val="decimal"/>
      <w:lvlText w:val="%1."/>
      <w:lvlJc w:val="left"/>
      <w:pPr>
        <w:tabs>
          <w:tab w:val="num" w:pos="1429"/>
        </w:tabs>
        <w:ind w:left="1069" w:hanging="360"/>
      </w:pPr>
      <w:rPr>
        <w:rFonts w:hint="default"/>
      </w:rPr>
    </w:lvl>
    <w:lvl w:ilvl="1">
      <w:start w:val="1"/>
      <w:numFmt w:val="decimal"/>
      <w:pStyle w:val="Formatvorlageberschrift212pt"/>
      <w:lvlText w:val="%1.%2."/>
      <w:lvlJc w:val="left"/>
      <w:pPr>
        <w:tabs>
          <w:tab w:val="num" w:pos="2509"/>
        </w:tabs>
        <w:ind w:left="1501" w:hanging="432"/>
      </w:pPr>
      <w:rPr>
        <w:rFonts w:hint="default"/>
      </w:rPr>
    </w:lvl>
    <w:lvl w:ilvl="2">
      <w:start w:val="1"/>
      <w:numFmt w:val="decimal"/>
      <w:lvlText w:val="%1.%2.%3."/>
      <w:lvlJc w:val="left"/>
      <w:pPr>
        <w:tabs>
          <w:tab w:val="num" w:pos="3589"/>
        </w:tabs>
        <w:ind w:left="1933" w:hanging="504"/>
      </w:pPr>
      <w:rPr>
        <w:rFonts w:hint="default"/>
      </w:rPr>
    </w:lvl>
    <w:lvl w:ilvl="3">
      <w:start w:val="1"/>
      <w:numFmt w:val="decimal"/>
      <w:lvlText w:val="%1.%2.%3.%4."/>
      <w:lvlJc w:val="left"/>
      <w:pPr>
        <w:tabs>
          <w:tab w:val="num" w:pos="4669"/>
        </w:tabs>
        <w:ind w:left="2437" w:hanging="648"/>
      </w:pPr>
      <w:rPr>
        <w:rFonts w:hint="default"/>
      </w:rPr>
    </w:lvl>
    <w:lvl w:ilvl="4">
      <w:start w:val="1"/>
      <w:numFmt w:val="decimal"/>
      <w:lvlText w:val="%1.%2.%3.%4.%5."/>
      <w:lvlJc w:val="left"/>
      <w:pPr>
        <w:tabs>
          <w:tab w:val="num" w:pos="5389"/>
        </w:tabs>
        <w:ind w:left="2941" w:hanging="792"/>
      </w:pPr>
      <w:rPr>
        <w:rFonts w:hint="default"/>
      </w:rPr>
    </w:lvl>
    <w:lvl w:ilvl="5">
      <w:start w:val="1"/>
      <w:numFmt w:val="decimal"/>
      <w:lvlText w:val="%1.%2.%3.%4.%5.%6."/>
      <w:lvlJc w:val="left"/>
      <w:pPr>
        <w:tabs>
          <w:tab w:val="num" w:pos="6469"/>
        </w:tabs>
        <w:ind w:left="3445" w:hanging="936"/>
      </w:pPr>
      <w:rPr>
        <w:rFonts w:hint="default"/>
      </w:rPr>
    </w:lvl>
    <w:lvl w:ilvl="6">
      <w:start w:val="1"/>
      <w:numFmt w:val="decimal"/>
      <w:lvlText w:val="%1.%2.%3.%4.%5.%6.%7."/>
      <w:lvlJc w:val="left"/>
      <w:pPr>
        <w:tabs>
          <w:tab w:val="num" w:pos="7549"/>
        </w:tabs>
        <w:ind w:left="3949" w:hanging="1080"/>
      </w:pPr>
      <w:rPr>
        <w:rFonts w:hint="default"/>
      </w:rPr>
    </w:lvl>
    <w:lvl w:ilvl="7">
      <w:start w:val="1"/>
      <w:numFmt w:val="decimal"/>
      <w:lvlText w:val="%1.%2.%3.%4.%5.%6.%7.%8."/>
      <w:lvlJc w:val="left"/>
      <w:pPr>
        <w:tabs>
          <w:tab w:val="num" w:pos="8629"/>
        </w:tabs>
        <w:ind w:left="4453" w:hanging="1224"/>
      </w:pPr>
      <w:rPr>
        <w:rFonts w:hint="default"/>
      </w:rPr>
    </w:lvl>
    <w:lvl w:ilvl="8">
      <w:start w:val="1"/>
      <w:numFmt w:val="decimal"/>
      <w:lvlText w:val="%1.%2.%3.%4.%5.%6.%7.%8.%9."/>
      <w:lvlJc w:val="left"/>
      <w:pPr>
        <w:tabs>
          <w:tab w:val="num" w:pos="9349"/>
        </w:tabs>
        <w:ind w:left="5029" w:hanging="1440"/>
      </w:pPr>
      <w:rPr>
        <w:rFonts w:hint="default"/>
      </w:rPr>
    </w:lvl>
  </w:abstractNum>
  <w:abstractNum w:abstractNumId="9" w15:restartNumberingAfterBreak="0">
    <w:nsid w:val="122C48AE"/>
    <w:multiLevelType w:val="hybridMultilevel"/>
    <w:tmpl w:val="07F20DC8"/>
    <w:lvl w:ilvl="0" w:tplc="E61200C8">
      <w:numFmt w:val="bullet"/>
      <w:lvlText w:val="•"/>
      <w:lvlJc w:val="left"/>
      <w:pPr>
        <w:ind w:left="720" w:hanging="360"/>
      </w:pPr>
      <w:rPr>
        <w:rFonts w:hint="default"/>
        <w:w w:val="100"/>
        <w:sz w:val="18"/>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BB10D18"/>
    <w:multiLevelType w:val="hybridMultilevel"/>
    <w:tmpl w:val="075EEC06"/>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0DA7836"/>
    <w:multiLevelType w:val="hybridMultilevel"/>
    <w:tmpl w:val="F23231AA"/>
    <w:lvl w:ilvl="0" w:tplc="C8EEFF54">
      <w:start w:val="1"/>
      <w:numFmt w:val="bullet"/>
      <w:lvlText w:val="•"/>
      <w:lvlJc w:val="left"/>
      <w:pPr>
        <w:tabs>
          <w:tab w:val="num" w:pos="720"/>
        </w:tabs>
        <w:ind w:left="720" w:hanging="360"/>
      </w:pPr>
      <w:rPr>
        <w:rFonts w:ascii="Arial" w:hAnsi="Arial" w:hint="default"/>
      </w:rPr>
    </w:lvl>
    <w:lvl w:ilvl="1" w:tplc="DCE868AE" w:tentative="1">
      <w:start w:val="1"/>
      <w:numFmt w:val="bullet"/>
      <w:lvlText w:val="•"/>
      <w:lvlJc w:val="left"/>
      <w:pPr>
        <w:tabs>
          <w:tab w:val="num" w:pos="1440"/>
        </w:tabs>
        <w:ind w:left="1440" w:hanging="360"/>
      </w:pPr>
      <w:rPr>
        <w:rFonts w:ascii="Arial" w:hAnsi="Arial" w:hint="default"/>
      </w:rPr>
    </w:lvl>
    <w:lvl w:ilvl="2" w:tplc="5CC428E2" w:tentative="1">
      <w:start w:val="1"/>
      <w:numFmt w:val="bullet"/>
      <w:lvlText w:val="•"/>
      <w:lvlJc w:val="left"/>
      <w:pPr>
        <w:tabs>
          <w:tab w:val="num" w:pos="2160"/>
        </w:tabs>
        <w:ind w:left="2160" w:hanging="360"/>
      </w:pPr>
      <w:rPr>
        <w:rFonts w:ascii="Arial" w:hAnsi="Arial" w:hint="default"/>
      </w:rPr>
    </w:lvl>
    <w:lvl w:ilvl="3" w:tplc="B3F66BDE" w:tentative="1">
      <w:start w:val="1"/>
      <w:numFmt w:val="bullet"/>
      <w:lvlText w:val="•"/>
      <w:lvlJc w:val="left"/>
      <w:pPr>
        <w:tabs>
          <w:tab w:val="num" w:pos="2880"/>
        </w:tabs>
        <w:ind w:left="2880" w:hanging="360"/>
      </w:pPr>
      <w:rPr>
        <w:rFonts w:ascii="Arial" w:hAnsi="Arial" w:hint="default"/>
      </w:rPr>
    </w:lvl>
    <w:lvl w:ilvl="4" w:tplc="A8C2B57A" w:tentative="1">
      <w:start w:val="1"/>
      <w:numFmt w:val="bullet"/>
      <w:lvlText w:val="•"/>
      <w:lvlJc w:val="left"/>
      <w:pPr>
        <w:tabs>
          <w:tab w:val="num" w:pos="3600"/>
        </w:tabs>
        <w:ind w:left="3600" w:hanging="360"/>
      </w:pPr>
      <w:rPr>
        <w:rFonts w:ascii="Arial" w:hAnsi="Arial" w:hint="default"/>
      </w:rPr>
    </w:lvl>
    <w:lvl w:ilvl="5" w:tplc="93FEEF06" w:tentative="1">
      <w:start w:val="1"/>
      <w:numFmt w:val="bullet"/>
      <w:lvlText w:val="•"/>
      <w:lvlJc w:val="left"/>
      <w:pPr>
        <w:tabs>
          <w:tab w:val="num" w:pos="4320"/>
        </w:tabs>
        <w:ind w:left="4320" w:hanging="360"/>
      </w:pPr>
      <w:rPr>
        <w:rFonts w:ascii="Arial" w:hAnsi="Arial" w:hint="default"/>
      </w:rPr>
    </w:lvl>
    <w:lvl w:ilvl="6" w:tplc="7482318E" w:tentative="1">
      <w:start w:val="1"/>
      <w:numFmt w:val="bullet"/>
      <w:lvlText w:val="•"/>
      <w:lvlJc w:val="left"/>
      <w:pPr>
        <w:tabs>
          <w:tab w:val="num" w:pos="5040"/>
        </w:tabs>
        <w:ind w:left="5040" w:hanging="360"/>
      </w:pPr>
      <w:rPr>
        <w:rFonts w:ascii="Arial" w:hAnsi="Arial" w:hint="default"/>
      </w:rPr>
    </w:lvl>
    <w:lvl w:ilvl="7" w:tplc="68A05D14" w:tentative="1">
      <w:start w:val="1"/>
      <w:numFmt w:val="bullet"/>
      <w:lvlText w:val="•"/>
      <w:lvlJc w:val="left"/>
      <w:pPr>
        <w:tabs>
          <w:tab w:val="num" w:pos="5760"/>
        </w:tabs>
        <w:ind w:left="5760" w:hanging="360"/>
      </w:pPr>
      <w:rPr>
        <w:rFonts w:ascii="Arial" w:hAnsi="Arial" w:hint="default"/>
      </w:rPr>
    </w:lvl>
    <w:lvl w:ilvl="8" w:tplc="3474CAB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2B94122"/>
    <w:multiLevelType w:val="multilevel"/>
    <w:tmpl w:val="08C6DE5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4C72420"/>
    <w:multiLevelType w:val="multilevel"/>
    <w:tmpl w:val="7F6E2A32"/>
    <w:lvl w:ilvl="0">
      <w:start w:val="1"/>
      <w:numFmt w:val="decimal"/>
      <w:lvlText w:val="%1."/>
      <w:lvlJc w:val="left"/>
      <w:pPr>
        <w:ind w:left="720" w:hanging="360"/>
      </w:pPr>
      <w:rPr>
        <w:rFonts w:asciiTheme="minorHAnsi" w:hAnsiTheme="minorHAnsi" w:hint="default"/>
        <w:b/>
      </w:rPr>
    </w:lvl>
    <w:lvl w:ilvl="1">
      <w:start w:val="4"/>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14" w15:restartNumberingAfterBreak="0">
    <w:nsid w:val="251425E7"/>
    <w:multiLevelType w:val="hybridMultilevel"/>
    <w:tmpl w:val="4FDC06B2"/>
    <w:lvl w:ilvl="0" w:tplc="E61200C8">
      <w:numFmt w:val="bullet"/>
      <w:lvlText w:val="•"/>
      <w:lvlJc w:val="left"/>
      <w:pPr>
        <w:ind w:left="360" w:hanging="360"/>
      </w:pPr>
      <w:rPr>
        <w:rFonts w:hint="default"/>
        <w:w w:val="100"/>
        <w:sz w:val="18"/>
        <w:szCs w:val="22"/>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15:restartNumberingAfterBreak="0">
    <w:nsid w:val="26375083"/>
    <w:multiLevelType w:val="hybridMultilevel"/>
    <w:tmpl w:val="0440837E"/>
    <w:lvl w:ilvl="0" w:tplc="1BF85FB4">
      <w:start w:val="1"/>
      <w:numFmt w:val="bullet"/>
      <w:lvlText w:val=""/>
      <w:lvlJc w:val="left"/>
      <w:pPr>
        <w:tabs>
          <w:tab w:val="num" w:pos="720"/>
        </w:tabs>
        <w:ind w:left="720" w:hanging="360"/>
      </w:pPr>
      <w:rPr>
        <w:rFonts w:ascii="Wingdings" w:hAnsi="Wingdings" w:hint="default"/>
      </w:rPr>
    </w:lvl>
    <w:lvl w:ilvl="1" w:tplc="0D9EE7E8" w:tentative="1">
      <w:start w:val="1"/>
      <w:numFmt w:val="bullet"/>
      <w:lvlText w:val=""/>
      <w:lvlJc w:val="left"/>
      <w:pPr>
        <w:tabs>
          <w:tab w:val="num" w:pos="1440"/>
        </w:tabs>
        <w:ind w:left="1440" w:hanging="360"/>
      </w:pPr>
      <w:rPr>
        <w:rFonts w:ascii="Wingdings" w:hAnsi="Wingdings" w:hint="default"/>
      </w:rPr>
    </w:lvl>
    <w:lvl w:ilvl="2" w:tplc="3E26C8C0" w:tentative="1">
      <w:start w:val="1"/>
      <w:numFmt w:val="bullet"/>
      <w:lvlText w:val=""/>
      <w:lvlJc w:val="left"/>
      <w:pPr>
        <w:tabs>
          <w:tab w:val="num" w:pos="2160"/>
        </w:tabs>
        <w:ind w:left="2160" w:hanging="360"/>
      </w:pPr>
      <w:rPr>
        <w:rFonts w:ascii="Wingdings" w:hAnsi="Wingdings" w:hint="default"/>
      </w:rPr>
    </w:lvl>
    <w:lvl w:ilvl="3" w:tplc="E20A5CEA" w:tentative="1">
      <w:start w:val="1"/>
      <w:numFmt w:val="bullet"/>
      <w:lvlText w:val=""/>
      <w:lvlJc w:val="left"/>
      <w:pPr>
        <w:tabs>
          <w:tab w:val="num" w:pos="2880"/>
        </w:tabs>
        <w:ind w:left="2880" w:hanging="360"/>
      </w:pPr>
      <w:rPr>
        <w:rFonts w:ascii="Wingdings" w:hAnsi="Wingdings" w:hint="default"/>
      </w:rPr>
    </w:lvl>
    <w:lvl w:ilvl="4" w:tplc="E424D2CE" w:tentative="1">
      <w:start w:val="1"/>
      <w:numFmt w:val="bullet"/>
      <w:lvlText w:val=""/>
      <w:lvlJc w:val="left"/>
      <w:pPr>
        <w:tabs>
          <w:tab w:val="num" w:pos="3600"/>
        </w:tabs>
        <w:ind w:left="3600" w:hanging="360"/>
      </w:pPr>
      <w:rPr>
        <w:rFonts w:ascii="Wingdings" w:hAnsi="Wingdings" w:hint="default"/>
      </w:rPr>
    </w:lvl>
    <w:lvl w:ilvl="5" w:tplc="E71CA276" w:tentative="1">
      <w:start w:val="1"/>
      <w:numFmt w:val="bullet"/>
      <w:lvlText w:val=""/>
      <w:lvlJc w:val="left"/>
      <w:pPr>
        <w:tabs>
          <w:tab w:val="num" w:pos="4320"/>
        </w:tabs>
        <w:ind w:left="4320" w:hanging="360"/>
      </w:pPr>
      <w:rPr>
        <w:rFonts w:ascii="Wingdings" w:hAnsi="Wingdings" w:hint="default"/>
      </w:rPr>
    </w:lvl>
    <w:lvl w:ilvl="6" w:tplc="1D909A24" w:tentative="1">
      <w:start w:val="1"/>
      <w:numFmt w:val="bullet"/>
      <w:lvlText w:val=""/>
      <w:lvlJc w:val="left"/>
      <w:pPr>
        <w:tabs>
          <w:tab w:val="num" w:pos="5040"/>
        </w:tabs>
        <w:ind w:left="5040" w:hanging="360"/>
      </w:pPr>
      <w:rPr>
        <w:rFonts w:ascii="Wingdings" w:hAnsi="Wingdings" w:hint="default"/>
      </w:rPr>
    </w:lvl>
    <w:lvl w:ilvl="7" w:tplc="C09CD4FC" w:tentative="1">
      <w:start w:val="1"/>
      <w:numFmt w:val="bullet"/>
      <w:lvlText w:val=""/>
      <w:lvlJc w:val="left"/>
      <w:pPr>
        <w:tabs>
          <w:tab w:val="num" w:pos="5760"/>
        </w:tabs>
        <w:ind w:left="5760" w:hanging="360"/>
      </w:pPr>
      <w:rPr>
        <w:rFonts w:ascii="Wingdings" w:hAnsi="Wingdings" w:hint="default"/>
      </w:rPr>
    </w:lvl>
    <w:lvl w:ilvl="8" w:tplc="611ABBF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D5606C"/>
    <w:multiLevelType w:val="hybridMultilevel"/>
    <w:tmpl w:val="C02A9544"/>
    <w:lvl w:ilvl="0" w:tplc="0C070015">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2CEE54AD"/>
    <w:multiLevelType w:val="hybridMultilevel"/>
    <w:tmpl w:val="778240D8"/>
    <w:lvl w:ilvl="0" w:tplc="0C070001">
      <w:start w:val="1"/>
      <w:numFmt w:val="bullet"/>
      <w:lvlText w:val=""/>
      <w:lvlJc w:val="left"/>
      <w:pPr>
        <w:ind w:left="720" w:hanging="360"/>
      </w:pPr>
      <w:rPr>
        <w:rFonts w:ascii="Symbol" w:hAnsi="Symbol"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1">
      <w:start w:val="1"/>
      <w:numFmt w:val="bullet"/>
      <w:lvlText w:val=""/>
      <w:lvlJc w:val="left"/>
      <w:pPr>
        <w:ind w:left="2880" w:hanging="360"/>
      </w:pPr>
      <w:rPr>
        <w:rFonts w:ascii="Symbol" w:hAnsi="Symbol" w:hint="default"/>
      </w:r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2D6B1478"/>
    <w:multiLevelType w:val="hybridMultilevel"/>
    <w:tmpl w:val="BD30505E"/>
    <w:lvl w:ilvl="0" w:tplc="0C07000F">
      <w:start w:val="1"/>
      <w:numFmt w:val="decimal"/>
      <w:lvlText w:val="%1."/>
      <w:lvlJc w:val="left"/>
      <w:pPr>
        <w:ind w:left="720" w:hanging="360"/>
      </w:pPr>
    </w:lvl>
    <w:lvl w:ilvl="1" w:tplc="AD948208">
      <w:numFmt w:val="bullet"/>
      <w:lvlText w:val="-"/>
      <w:lvlJc w:val="left"/>
      <w:pPr>
        <w:ind w:left="1500" w:hanging="420"/>
      </w:pPr>
      <w:rPr>
        <w:rFonts w:ascii="Calibri" w:eastAsia="Times New Roman" w:hAnsi="Calibri" w:cs="Calibri"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305970AB"/>
    <w:multiLevelType w:val="hybridMultilevel"/>
    <w:tmpl w:val="10E8E85A"/>
    <w:lvl w:ilvl="0" w:tplc="E61200C8">
      <w:numFmt w:val="bullet"/>
      <w:lvlText w:val="•"/>
      <w:lvlJc w:val="left"/>
      <w:pPr>
        <w:ind w:left="360" w:hanging="360"/>
      </w:pPr>
      <w:rPr>
        <w:rFonts w:hint="default"/>
        <w:w w:val="100"/>
        <w:sz w:val="18"/>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8815E65"/>
    <w:multiLevelType w:val="hybridMultilevel"/>
    <w:tmpl w:val="3E12C5EA"/>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463113F5"/>
    <w:multiLevelType w:val="hybridMultilevel"/>
    <w:tmpl w:val="B358D29A"/>
    <w:lvl w:ilvl="0" w:tplc="1BACFD94">
      <w:start w:val="1"/>
      <w:numFmt w:val="bullet"/>
      <w:lvlText w:val=""/>
      <w:lvlJc w:val="left"/>
      <w:pPr>
        <w:tabs>
          <w:tab w:val="num" w:pos="720"/>
        </w:tabs>
        <w:ind w:left="720" w:hanging="360"/>
      </w:pPr>
      <w:rPr>
        <w:rFonts w:ascii="Wingdings" w:hAnsi="Wingdings" w:hint="default"/>
      </w:rPr>
    </w:lvl>
    <w:lvl w:ilvl="1" w:tplc="BCD4ACC6">
      <w:start w:val="1"/>
      <w:numFmt w:val="bullet"/>
      <w:lvlText w:val=""/>
      <w:lvlJc w:val="left"/>
      <w:pPr>
        <w:tabs>
          <w:tab w:val="num" w:pos="1440"/>
        </w:tabs>
        <w:ind w:left="1440" w:hanging="360"/>
      </w:pPr>
      <w:rPr>
        <w:rFonts w:ascii="Wingdings" w:hAnsi="Wingdings" w:hint="default"/>
      </w:rPr>
    </w:lvl>
    <w:lvl w:ilvl="2" w:tplc="B1721222">
      <w:start w:val="1"/>
      <w:numFmt w:val="bullet"/>
      <w:lvlText w:val=""/>
      <w:lvlJc w:val="left"/>
      <w:pPr>
        <w:tabs>
          <w:tab w:val="num" w:pos="2160"/>
        </w:tabs>
        <w:ind w:left="2160" w:hanging="360"/>
      </w:pPr>
      <w:rPr>
        <w:rFonts w:ascii="Wingdings" w:hAnsi="Wingdings" w:hint="default"/>
      </w:rPr>
    </w:lvl>
    <w:lvl w:ilvl="3" w:tplc="02A6EAD4">
      <w:start w:val="1"/>
      <w:numFmt w:val="bullet"/>
      <w:lvlText w:val=""/>
      <w:lvlJc w:val="left"/>
      <w:pPr>
        <w:tabs>
          <w:tab w:val="num" w:pos="2880"/>
        </w:tabs>
        <w:ind w:left="2880" w:hanging="360"/>
      </w:pPr>
      <w:rPr>
        <w:rFonts w:ascii="Wingdings" w:hAnsi="Wingdings" w:hint="default"/>
      </w:rPr>
    </w:lvl>
    <w:lvl w:ilvl="4" w:tplc="86A4D3F6">
      <w:start w:val="1"/>
      <w:numFmt w:val="bullet"/>
      <w:lvlText w:val=""/>
      <w:lvlJc w:val="left"/>
      <w:pPr>
        <w:tabs>
          <w:tab w:val="num" w:pos="3600"/>
        </w:tabs>
        <w:ind w:left="3600" w:hanging="360"/>
      </w:pPr>
      <w:rPr>
        <w:rFonts w:ascii="Wingdings" w:hAnsi="Wingdings" w:hint="default"/>
      </w:rPr>
    </w:lvl>
    <w:lvl w:ilvl="5" w:tplc="2E6A1F00">
      <w:start w:val="1"/>
      <w:numFmt w:val="bullet"/>
      <w:lvlText w:val=""/>
      <w:lvlJc w:val="left"/>
      <w:pPr>
        <w:tabs>
          <w:tab w:val="num" w:pos="4320"/>
        </w:tabs>
        <w:ind w:left="4320" w:hanging="360"/>
      </w:pPr>
      <w:rPr>
        <w:rFonts w:ascii="Wingdings" w:hAnsi="Wingdings" w:hint="default"/>
      </w:rPr>
    </w:lvl>
    <w:lvl w:ilvl="6" w:tplc="9A505506">
      <w:start w:val="1"/>
      <w:numFmt w:val="bullet"/>
      <w:lvlText w:val=""/>
      <w:lvlJc w:val="left"/>
      <w:pPr>
        <w:tabs>
          <w:tab w:val="num" w:pos="5040"/>
        </w:tabs>
        <w:ind w:left="5040" w:hanging="360"/>
      </w:pPr>
      <w:rPr>
        <w:rFonts w:ascii="Wingdings" w:hAnsi="Wingdings" w:hint="default"/>
      </w:rPr>
    </w:lvl>
    <w:lvl w:ilvl="7" w:tplc="59BABDF8">
      <w:start w:val="1"/>
      <w:numFmt w:val="bullet"/>
      <w:lvlText w:val=""/>
      <w:lvlJc w:val="left"/>
      <w:pPr>
        <w:tabs>
          <w:tab w:val="num" w:pos="5760"/>
        </w:tabs>
        <w:ind w:left="5760" w:hanging="360"/>
      </w:pPr>
      <w:rPr>
        <w:rFonts w:ascii="Wingdings" w:hAnsi="Wingdings" w:hint="default"/>
      </w:rPr>
    </w:lvl>
    <w:lvl w:ilvl="8" w:tplc="88A6C606">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9B4640"/>
    <w:multiLevelType w:val="hybridMultilevel"/>
    <w:tmpl w:val="A18CFCC6"/>
    <w:lvl w:ilvl="0" w:tplc="0C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47ED7FFC"/>
    <w:multiLevelType w:val="hybridMultilevel"/>
    <w:tmpl w:val="72BABC46"/>
    <w:lvl w:ilvl="0" w:tplc="04070001">
      <w:start w:val="1"/>
      <w:numFmt w:val="bullet"/>
      <w:lvlText w:val=""/>
      <w:lvlJc w:val="left"/>
      <w:pPr>
        <w:ind w:left="894" w:hanging="360"/>
      </w:pPr>
      <w:rPr>
        <w:rFonts w:ascii="Symbol" w:hAnsi="Symbol" w:hint="default"/>
      </w:rPr>
    </w:lvl>
    <w:lvl w:ilvl="1" w:tplc="04070003" w:tentative="1">
      <w:start w:val="1"/>
      <w:numFmt w:val="bullet"/>
      <w:lvlText w:val="o"/>
      <w:lvlJc w:val="left"/>
      <w:pPr>
        <w:ind w:left="1614" w:hanging="360"/>
      </w:pPr>
      <w:rPr>
        <w:rFonts w:ascii="Courier New" w:hAnsi="Courier New" w:cs="Courier New" w:hint="default"/>
      </w:rPr>
    </w:lvl>
    <w:lvl w:ilvl="2" w:tplc="04070005" w:tentative="1">
      <w:start w:val="1"/>
      <w:numFmt w:val="bullet"/>
      <w:lvlText w:val=""/>
      <w:lvlJc w:val="left"/>
      <w:pPr>
        <w:ind w:left="2334" w:hanging="360"/>
      </w:pPr>
      <w:rPr>
        <w:rFonts w:ascii="Wingdings" w:hAnsi="Wingdings" w:hint="default"/>
      </w:rPr>
    </w:lvl>
    <w:lvl w:ilvl="3" w:tplc="04070001" w:tentative="1">
      <w:start w:val="1"/>
      <w:numFmt w:val="bullet"/>
      <w:lvlText w:val=""/>
      <w:lvlJc w:val="left"/>
      <w:pPr>
        <w:ind w:left="3054" w:hanging="360"/>
      </w:pPr>
      <w:rPr>
        <w:rFonts w:ascii="Symbol" w:hAnsi="Symbol" w:hint="default"/>
      </w:rPr>
    </w:lvl>
    <w:lvl w:ilvl="4" w:tplc="04070003" w:tentative="1">
      <w:start w:val="1"/>
      <w:numFmt w:val="bullet"/>
      <w:lvlText w:val="o"/>
      <w:lvlJc w:val="left"/>
      <w:pPr>
        <w:ind w:left="3774" w:hanging="360"/>
      </w:pPr>
      <w:rPr>
        <w:rFonts w:ascii="Courier New" w:hAnsi="Courier New" w:cs="Courier New" w:hint="default"/>
      </w:rPr>
    </w:lvl>
    <w:lvl w:ilvl="5" w:tplc="04070005" w:tentative="1">
      <w:start w:val="1"/>
      <w:numFmt w:val="bullet"/>
      <w:lvlText w:val=""/>
      <w:lvlJc w:val="left"/>
      <w:pPr>
        <w:ind w:left="4494" w:hanging="360"/>
      </w:pPr>
      <w:rPr>
        <w:rFonts w:ascii="Wingdings" w:hAnsi="Wingdings" w:hint="default"/>
      </w:rPr>
    </w:lvl>
    <w:lvl w:ilvl="6" w:tplc="04070001" w:tentative="1">
      <w:start w:val="1"/>
      <w:numFmt w:val="bullet"/>
      <w:lvlText w:val=""/>
      <w:lvlJc w:val="left"/>
      <w:pPr>
        <w:ind w:left="5214" w:hanging="360"/>
      </w:pPr>
      <w:rPr>
        <w:rFonts w:ascii="Symbol" w:hAnsi="Symbol" w:hint="default"/>
      </w:rPr>
    </w:lvl>
    <w:lvl w:ilvl="7" w:tplc="04070003" w:tentative="1">
      <w:start w:val="1"/>
      <w:numFmt w:val="bullet"/>
      <w:lvlText w:val="o"/>
      <w:lvlJc w:val="left"/>
      <w:pPr>
        <w:ind w:left="5934" w:hanging="360"/>
      </w:pPr>
      <w:rPr>
        <w:rFonts w:ascii="Courier New" w:hAnsi="Courier New" w:cs="Courier New" w:hint="default"/>
      </w:rPr>
    </w:lvl>
    <w:lvl w:ilvl="8" w:tplc="04070005" w:tentative="1">
      <w:start w:val="1"/>
      <w:numFmt w:val="bullet"/>
      <w:lvlText w:val=""/>
      <w:lvlJc w:val="left"/>
      <w:pPr>
        <w:ind w:left="6654" w:hanging="360"/>
      </w:pPr>
      <w:rPr>
        <w:rFonts w:ascii="Wingdings" w:hAnsi="Wingdings" w:hint="default"/>
      </w:rPr>
    </w:lvl>
  </w:abstractNum>
  <w:abstractNum w:abstractNumId="24" w15:restartNumberingAfterBreak="0">
    <w:nsid w:val="4884404C"/>
    <w:multiLevelType w:val="multilevel"/>
    <w:tmpl w:val="B9907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57599E"/>
    <w:multiLevelType w:val="hybridMultilevel"/>
    <w:tmpl w:val="73842A3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A5905B9"/>
    <w:multiLevelType w:val="hybridMultilevel"/>
    <w:tmpl w:val="7C624EDC"/>
    <w:lvl w:ilvl="0" w:tplc="0C070001">
      <w:start w:val="1"/>
      <w:numFmt w:val="bullet"/>
      <w:lvlText w:val=""/>
      <w:lvlJc w:val="left"/>
      <w:pPr>
        <w:ind w:left="644" w:hanging="360"/>
      </w:pPr>
      <w:rPr>
        <w:rFonts w:ascii="Symbol" w:hAnsi="Symbol" w:hint="default"/>
      </w:rPr>
    </w:lvl>
    <w:lvl w:ilvl="1" w:tplc="0C070003" w:tentative="1">
      <w:start w:val="1"/>
      <w:numFmt w:val="bullet"/>
      <w:lvlText w:val="o"/>
      <w:lvlJc w:val="left"/>
      <w:pPr>
        <w:ind w:left="1364" w:hanging="360"/>
      </w:pPr>
      <w:rPr>
        <w:rFonts w:ascii="Courier New" w:hAnsi="Courier New" w:cs="Courier New" w:hint="default"/>
      </w:rPr>
    </w:lvl>
    <w:lvl w:ilvl="2" w:tplc="0C070005" w:tentative="1">
      <w:start w:val="1"/>
      <w:numFmt w:val="bullet"/>
      <w:lvlText w:val=""/>
      <w:lvlJc w:val="left"/>
      <w:pPr>
        <w:ind w:left="2084" w:hanging="360"/>
      </w:pPr>
      <w:rPr>
        <w:rFonts w:ascii="Wingdings" w:hAnsi="Wingdings" w:hint="default"/>
      </w:rPr>
    </w:lvl>
    <w:lvl w:ilvl="3" w:tplc="0C070001" w:tentative="1">
      <w:start w:val="1"/>
      <w:numFmt w:val="bullet"/>
      <w:lvlText w:val=""/>
      <w:lvlJc w:val="left"/>
      <w:pPr>
        <w:ind w:left="2804" w:hanging="360"/>
      </w:pPr>
      <w:rPr>
        <w:rFonts w:ascii="Symbol" w:hAnsi="Symbol" w:hint="default"/>
      </w:rPr>
    </w:lvl>
    <w:lvl w:ilvl="4" w:tplc="0C070003" w:tentative="1">
      <w:start w:val="1"/>
      <w:numFmt w:val="bullet"/>
      <w:lvlText w:val="o"/>
      <w:lvlJc w:val="left"/>
      <w:pPr>
        <w:ind w:left="3524" w:hanging="360"/>
      </w:pPr>
      <w:rPr>
        <w:rFonts w:ascii="Courier New" w:hAnsi="Courier New" w:cs="Courier New" w:hint="default"/>
      </w:rPr>
    </w:lvl>
    <w:lvl w:ilvl="5" w:tplc="0C070005" w:tentative="1">
      <w:start w:val="1"/>
      <w:numFmt w:val="bullet"/>
      <w:lvlText w:val=""/>
      <w:lvlJc w:val="left"/>
      <w:pPr>
        <w:ind w:left="4244" w:hanging="360"/>
      </w:pPr>
      <w:rPr>
        <w:rFonts w:ascii="Wingdings" w:hAnsi="Wingdings" w:hint="default"/>
      </w:rPr>
    </w:lvl>
    <w:lvl w:ilvl="6" w:tplc="0C070001" w:tentative="1">
      <w:start w:val="1"/>
      <w:numFmt w:val="bullet"/>
      <w:lvlText w:val=""/>
      <w:lvlJc w:val="left"/>
      <w:pPr>
        <w:ind w:left="4964" w:hanging="360"/>
      </w:pPr>
      <w:rPr>
        <w:rFonts w:ascii="Symbol" w:hAnsi="Symbol" w:hint="default"/>
      </w:rPr>
    </w:lvl>
    <w:lvl w:ilvl="7" w:tplc="0C070003" w:tentative="1">
      <w:start w:val="1"/>
      <w:numFmt w:val="bullet"/>
      <w:lvlText w:val="o"/>
      <w:lvlJc w:val="left"/>
      <w:pPr>
        <w:ind w:left="5684" w:hanging="360"/>
      </w:pPr>
      <w:rPr>
        <w:rFonts w:ascii="Courier New" w:hAnsi="Courier New" w:cs="Courier New" w:hint="default"/>
      </w:rPr>
    </w:lvl>
    <w:lvl w:ilvl="8" w:tplc="0C070005" w:tentative="1">
      <w:start w:val="1"/>
      <w:numFmt w:val="bullet"/>
      <w:lvlText w:val=""/>
      <w:lvlJc w:val="left"/>
      <w:pPr>
        <w:ind w:left="6404" w:hanging="360"/>
      </w:pPr>
      <w:rPr>
        <w:rFonts w:ascii="Wingdings" w:hAnsi="Wingdings" w:hint="default"/>
      </w:rPr>
    </w:lvl>
  </w:abstractNum>
  <w:abstractNum w:abstractNumId="27" w15:restartNumberingAfterBreak="0">
    <w:nsid w:val="4E7E748B"/>
    <w:multiLevelType w:val="hybridMultilevel"/>
    <w:tmpl w:val="A998AF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6694B86"/>
    <w:multiLevelType w:val="hybridMultilevel"/>
    <w:tmpl w:val="2E528E30"/>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93D4064"/>
    <w:multiLevelType w:val="hybridMultilevel"/>
    <w:tmpl w:val="C75A51B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0" w15:restartNumberingAfterBreak="0">
    <w:nsid w:val="5B021D6A"/>
    <w:multiLevelType w:val="hybridMultilevel"/>
    <w:tmpl w:val="3BA22ED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5CE46698"/>
    <w:multiLevelType w:val="hybridMultilevel"/>
    <w:tmpl w:val="C8783052"/>
    <w:lvl w:ilvl="0" w:tplc="0C07000F">
      <w:start w:val="1"/>
      <w:numFmt w:val="decimal"/>
      <w:lvlText w:val="%1."/>
      <w:lvlJc w:val="left"/>
      <w:pPr>
        <w:ind w:left="720" w:hanging="360"/>
      </w:pPr>
      <w:rPr>
        <w:rFonts w:hint="default"/>
      </w:rPr>
    </w:lvl>
    <w:lvl w:ilvl="1" w:tplc="4A344282">
      <w:start w:val="1"/>
      <w:numFmt w:val="lowerRoman"/>
      <w:lvlText w:val="%2."/>
      <w:lvlJc w:val="left"/>
      <w:pPr>
        <w:ind w:left="1800" w:hanging="720"/>
      </w:pPr>
      <w:rPr>
        <w:rFonts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15:restartNumberingAfterBreak="0">
    <w:nsid w:val="5DCF08ED"/>
    <w:multiLevelType w:val="hybridMultilevel"/>
    <w:tmpl w:val="90E2BD26"/>
    <w:lvl w:ilvl="0" w:tplc="E61200C8">
      <w:numFmt w:val="bullet"/>
      <w:lvlText w:val="•"/>
      <w:lvlJc w:val="left"/>
      <w:pPr>
        <w:ind w:left="360" w:hanging="360"/>
      </w:pPr>
      <w:rPr>
        <w:rFonts w:hint="default"/>
        <w:w w:val="100"/>
        <w:sz w:val="18"/>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5F1D1FCC"/>
    <w:multiLevelType w:val="multilevel"/>
    <w:tmpl w:val="CC042E52"/>
    <w:lvl w:ilvl="0">
      <w:start w:val="1"/>
      <w:numFmt w:val="decimal"/>
      <w:lvlText w:val="%1"/>
      <w:lvlJc w:val="left"/>
      <w:pPr>
        <w:tabs>
          <w:tab w:val="num" w:pos="432"/>
        </w:tabs>
        <w:ind w:left="432" w:hanging="432"/>
      </w:pPr>
      <w:rPr>
        <w:rFonts w:hint="default"/>
        <w:b/>
        <w:i w:val="0"/>
      </w:rPr>
    </w:lvl>
    <w:lvl w:ilvl="1">
      <w:start w:val="1"/>
      <w:numFmt w:val="decimal"/>
      <w:lvlText w:val="%2"/>
      <w:lvlJc w:val="left"/>
      <w:pPr>
        <w:tabs>
          <w:tab w:val="num" w:pos="576"/>
        </w:tabs>
        <w:ind w:left="576" w:hanging="576"/>
      </w:pPr>
      <w:rPr>
        <w:rFonts w:asciiTheme="minorHAnsi" w:eastAsia="Times New Roman" w:hAnsiTheme="minorHAnsi" w:cs="Arial"/>
      </w:rPr>
    </w:lvl>
    <w:lvl w:ilvl="2">
      <w:start w:val="1"/>
      <w:numFmt w:val="decimal"/>
      <w:pStyle w:val="berschrift3"/>
      <w:lvlText w:val="%1.%2.%3"/>
      <w:lvlJc w:val="left"/>
      <w:pPr>
        <w:tabs>
          <w:tab w:val="num" w:pos="1004"/>
        </w:tabs>
        <w:ind w:left="1004"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65EE19AE"/>
    <w:multiLevelType w:val="hybridMultilevel"/>
    <w:tmpl w:val="CBF29268"/>
    <w:lvl w:ilvl="0" w:tplc="38463692">
      <w:start w:val="1"/>
      <w:numFmt w:val="bullet"/>
      <w:lvlText w:val="•"/>
      <w:lvlJc w:val="left"/>
      <w:pPr>
        <w:tabs>
          <w:tab w:val="num" w:pos="720"/>
        </w:tabs>
        <w:ind w:left="720" w:hanging="360"/>
      </w:pPr>
      <w:rPr>
        <w:rFonts w:ascii="Arial" w:hAnsi="Arial" w:hint="default"/>
      </w:rPr>
    </w:lvl>
    <w:lvl w:ilvl="1" w:tplc="08589978" w:tentative="1">
      <w:start w:val="1"/>
      <w:numFmt w:val="bullet"/>
      <w:lvlText w:val="•"/>
      <w:lvlJc w:val="left"/>
      <w:pPr>
        <w:tabs>
          <w:tab w:val="num" w:pos="1440"/>
        </w:tabs>
        <w:ind w:left="1440" w:hanging="360"/>
      </w:pPr>
      <w:rPr>
        <w:rFonts w:ascii="Arial" w:hAnsi="Arial" w:hint="default"/>
      </w:rPr>
    </w:lvl>
    <w:lvl w:ilvl="2" w:tplc="3548915E" w:tentative="1">
      <w:start w:val="1"/>
      <w:numFmt w:val="bullet"/>
      <w:lvlText w:val="•"/>
      <w:lvlJc w:val="left"/>
      <w:pPr>
        <w:tabs>
          <w:tab w:val="num" w:pos="2160"/>
        </w:tabs>
        <w:ind w:left="2160" w:hanging="360"/>
      </w:pPr>
      <w:rPr>
        <w:rFonts w:ascii="Arial" w:hAnsi="Arial" w:hint="default"/>
      </w:rPr>
    </w:lvl>
    <w:lvl w:ilvl="3" w:tplc="6A2C9A3C" w:tentative="1">
      <w:start w:val="1"/>
      <w:numFmt w:val="bullet"/>
      <w:lvlText w:val="•"/>
      <w:lvlJc w:val="left"/>
      <w:pPr>
        <w:tabs>
          <w:tab w:val="num" w:pos="2880"/>
        </w:tabs>
        <w:ind w:left="2880" w:hanging="360"/>
      </w:pPr>
      <w:rPr>
        <w:rFonts w:ascii="Arial" w:hAnsi="Arial" w:hint="default"/>
      </w:rPr>
    </w:lvl>
    <w:lvl w:ilvl="4" w:tplc="885CB26C" w:tentative="1">
      <w:start w:val="1"/>
      <w:numFmt w:val="bullet"/>
      <w:lvlText w:val="•"/>
      <w:lvlJc w:val="left"/>
      <w:pPr>
        <w:tabs>
          <w:tab w:val="num" w:pos="3600"/>
        </w:tabs>
        <w:ind w:left="3600" w:hanging="360"/>
      </w:pPr>
      <w:rPr>
        <w:rFonts w:ascii="Arial" w:hAnsi="Arial" w:hint="default"/>
      </w:rPr>
    </w:lvl>
    <w:lvl w:ilvl="5" w:tplc="4F50240A" w:tentative="1">
      <w:start w:val="1"/>
      <w:numFmt w:val="bullet"/>
      <w:lvlText w:val="•"/>
      <w:lvlJc w:val="left"/>
      <w:pPr>
        <w:tabs>
          <w:tab w:val="num" w:pos="4320"/>
        </w:tabs>
        <w:ind w:left="4320" w:hanging="360"/>
      </w:pPr>
      <w:rPr>
        <w:rFonts w:ascii="Arial" w:hAnsi="Arial" w:hint="default"/>
      </w:rPr>
    </w:lvl>
    <w:lvl w:ilvl="6" w:tplc="E9F878A2" w:tentative="1">
      <w:start w:val="1"/>
      <w:numFmt w:val="bullet"/>
      <w:lvlText w:val="•"/>
      <w:lvlJc w:val="left"/>
      <w:pPr>
        <w:tabs>
          <w:tab w:val="num" w:pos="5040"/>
        </w:tabs>
        <w:ind w:left="5040" w:hanging="360"/>
      </w:pPr>
      <w:rPr>
        <w:rFonts w:ascii="Arial" w:hAnsi="Arial" w:hint="default"/>
      </w:rPr>
    </w:lvl>
    <w:lvl w:ilvl="7" w:tplc="49743A08" w:tentative="1">
      <w:start w:val="1"/>
      <w:numFmt w:val="bullet"/>
      <w:lvlText w:val="•"/>
      <w:lvlJc w:val="left"/>
      <w:pPr>
        <w:tabs>
          <w:tab w:val="num" w:pos="5760"/>
        </w:tabs>
        <w:ind w:left="5760" w:hanging="360"/>
      </w:pPr>
      <w:rPr>
        <w:rFonts w:ascii="Arial" w:hAnsi="Arial" w:hint="default"/>
      </w:rPr>
    </w:lvl>
    <w:lvl w:ilvl="8" w:tplc="C9C4E12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9FC3137"/>
    <w:multiLevelType w:val="hybridMultilevel"/>
    <w:tmpl w:val="83A2526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6A981C72"/>
    <w:multiLevelType w:val="multilevel"/>
    <w:tmpl w:val="F760ADB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2989"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D2229A"/>
    <w:multiLevelType w:val="multilevel"/>
    <w:tmpl w:val="2D2420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6FDF1424"/>
    <w:multiLevelType w:val="hybridMultilevel"/>
    <w:tmpl w:val="A184BBA0"/>
    <w:lvl w:ilvl="0" w:tplc="E61200C8">
      <w:numFmt w:val="bullet"/>
      <w:lvlText w:val="•"/>
      <w:lvlJc w:val="left"/>
      <w:pPr>
        <w:ind w:left="720" w:hanging="360"/>
      </w:pPr>
      <w:rPr>
        <w:rFonts w:hint="default"/>
        <w:w w:val="100"/>
        <w:sz w:val="18"/>
        <w:szCs w:val="22"/>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0C349C8"/>
    <w:multiLevelType w:val="hybridMultilevel"/>
    <w:tmpl w:val="85C8DC5A"/>
    <w:lvl w:ilvl="0" w:tplc="EC006586">
      <w:start w:val="1"/>
      <w:numFmt w:val="bullet"/>
      <w:lvlText w:val="•"/>
      <w:lvlJc w:val="left"/>
      <w:pPr>
        <w:tabs>
          <w:tab w:val="num" w:pos="720"/>
        </w:tabs>
        <w:ind w:left="720" w:hanging="360"/>
      </w:pPr>
      <w:rPr>
        <w:rFonts w:ascii="Arial" w:hAnsi="Arial" w:hint="default"/>
      </w:rPr>
    </w:lvl>
    <w:lvl w:ilvl="1" w:tplc="47087292" w:tentative="1">
      <w:start w:val="1"/>
      <w:numFmt w:val="bullet"/>
      <w:lvlText w:val="•"/>
      <w:lvlJc w:val="left"/>
      <w:pPr>
        <w:tabs>
          <w:tab w:val="num" w:pos="1440"/>
        </w:tabs>
        <w:ind w:left="1440" w:hanging="360"/>
      </w:pPr>
      <w:rPr>
        <w:rFonts w:ascii="Arial" w:hAnsi="Arial" w:hint="default"/>
      </w:rPr>
    </w:lvl>
    <w:lvl w:ilvl="2" w:tplc="B46C414C" w:tentative="1">
      <w:start w:val="1"/>
      <w:numFmt w:val="bullet"/>
      <w:lvlText w:val="•"/>
      <w:lvlJc w:val="left"/>
      <w:pPr>
        <w:tabs>
          <w:tab w:val="num" w:pos="2160"/>
        </w:tabs>
        <w:ind w:left="2160" w:hanging="360"/>
      </w:pPr>
      <w:rPr>
        <w:rFonts w:ascii="Arial" w:hAnsi="Arial" w:hint="default"/>
      </w:rPr>
    </w:lvl>
    <w:lvl w:ilvl="3" w:tplc="5B9CDF48" w:tentative="1">
      <w:start w:val="1"/>
      <w:numFmt w:val="bullet"/>
      <w:lvlText w:val="•"/>
      <w:lvlJc w:val="left"/>
      <w:pPr>
        <w:tabs>
          <w:tab w:val="num" w:pos="2880"/>
        </w:tabs>
        <w:ind w:left="2880" w:hanging="360"/>
      </w:pPr>
      <w:rPr>
        <w:rFonts w:ascii="Arial" w:hAnsi="Arial" w:hint="default"/>
      </w:rPr>
    </w:lvl>
    <w:lvl w:ilvl="4" w:tplc="5ECC317E" w:tentative="1">
      <w:start w:val="1"/>
      <w:numFmt w:val="bullet"/>
      <w:lvlText w:val="•"/>
      <w:lvlJc w:val="left"/>
      <w:pPr>
        <w:tabs>
          <w:tab w:val="num" w:pos="3600"/>
        </w:tabs>
        <w:ind w:left="3600" w:hanging="360"/>
      </w:pPr>
      <w:rPr>
        <w:rFonts w:ascii="Arial" w:hAnsi="Arial" w:hint="default"/>
      </w:rPr>
    </w:lvl>
    <w:lvl w:ilvl="5" w:tplc="3A38CCC2" w:tentative="1">
      <w:start w:val="1"/>
      <w:numFmt w:val="bullet"/>
      <w:lvlText w:val="•"/>
      <w:lvlJc w:val="left"/>
      <w:pPr>
        <w:tabs>
          <w:tab w:val="num" w:pos="4320"/>
        </w:tabs>
        <w:ind w:left="4320" w:hanging="360"/>
      </w:pPr>
      <w:rPr>
        <w:rFonts w:ascii="Arial" w:hAnsi="Arial" w:hint="default"/>
      </w:rPr>
    </w:lvl>
    <w:lvl w:ilvl="6" w:tplc="E9E81DBA" w:tentative="1">
      <w:start w:val="1"/>
      <w:numFmt w:val="bullet"/>
      <w:lvlText w:val="•"/>
      <w:lvlJc w:val="left"/>
      <w:pPr>
        <w:tabs>
          <w:tab w:val="num" w:pos="5040"/>
        </w:tabs>
        <w:ind w:left="5040" w:hanging="360"/>
      </w:pPr>
      <w:rPr>
        <w:rFonts w:ascii="Arial" w:hAnsi="Arial" w:hint="default"/>
      </w:rPr>
    </w:lvl>
    <w:lvl w:ilvl="7" w:tplc="B66CBF5E" w:tentative="1">
      <w:start w:val="1"/>
      <w:numFmt w:val="bullet"/>
      <w:lvlText w:val="•"/>
      <w:lvlJc w:val="left"/>
      <w:pPr>
        <w:tabs>
          <w:tab w:val="num" w:pos="5760"/>
        </w:tabs>
        <w:ind w:left="5760" w:hanging="360"/>
      </w:pPr>
      <w:rPr>
        <w:rFonts w:ascii="Arial" w:hAnsi="Arial" w:hint="default"/>
      </w:rPr>
    </w:lvl>
    <w:lvl w:ilvl="8" w:tplc="0E1EF5A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C80210"/>
    <w:multiLevelType w:val="hybridMultilevel"/>
    <w:tmpl w:val="7BBA0590"/>
    <w:lvl w:ilvl="0" w:tplc="0C07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8"/>
  </w:num>
  <w:num w:numId="2">
    <w:abstractNumId w:val="33"/>
  </w:num>
  <w:num w:numId="3">
    <w:abstractNumId w:val="33"/>
    <w:lvlOverride w:ilvl="0">
      <w:startOverride w:val="3"/>
    </w:lvlOverride>
  </w:num>
  <w:num w:numId="4">
    <w:abstractNumId w:val="18"/>
  </w:num>
  <w:num w:numId="5">
    <w:abstractNumId w:val="22"/>
  </w:num>
  <w:num w:numId="6">
    <w:abstractNumId w:val="2"/>
  </w:num>
  <w:num w:numId="7">
    <w:abstractNumId w:val="25"/>
  </w:num>
  <w:num w:numId="8">
    <w:abstractNumId w:val="5"/>
  </w:num>
  <w:num w:numId="9">
    <w:abstractNumId w:val="13"/>
  </w:num>
  <w:num w:numId="10">
    <w:abstractNumId w:val="40"/>
  </w:num>
  <w:num w:numId="11">
    <w:abstractNumId w:val="31"/>
  </w:num>
  <w:num w:numId="12">
    <w:abstractNumId w:val="16"/>
  </w:num>
  <w:num w:numId="13">
    <w:abstractNumId w:val="21"/>
  </w:num>
  <w:num w:numId="14">
    <w:abstractNumId w:val="30"/>
  </w:num>
  <w:num w:numId="15">
    <w:abstractNumId w:val="28"/>
  </w:num>
  <w:num w:numId="16">
    <w:abstractNumId w:val="6"/>
  </w:num>
  <w:num w:numId="17">
    <w:abstractNumId w:val="10"/>
  </w:num>
  <w:num w:numId="18">
    <w:abstractNumId w:val="26"/>
  </w:num>
  <w:num w:numId="19">
    <w:abstractNumId w:val="3"/>
  </w:num>
  <w:num w:numId="20">
    <w:abstractNumId w:val="35"/>
  </w:num>
  <w:num w:numId="21">
    <w:abstractNumId w:val="1"/>
  </w:num>
  <w:num w:numId="22">
    <w:abstractNumId w:val="14"/>
  </w:num>
  <w:num w:numId="23">
    <w:abstractNumId w:val="17"/>
  </w:num>
  <w:num w:numId="24">
    <w:abstractNumId w:val="0"/>
  </w:num>
  <w:num w:numId="25">
    <w:abstractNumId w:val="12"/>
  </w:num>
  <w:num w:numId="26">
    <w:abstractNumId w:val="36"/>
  </w:num>
  <w:num w:numId="27">
    <w:abstractNumId w:val="39"/>
  </w:num>
  <w:num w:numId="28">
    <w:abstractNumId w:val="11"/>
  </w:num>
  <w:num w:numId="29">
    <w:abstractNumId w:val="4"/>
  </w:num>
  <w:num w:numId="30">
    <w:abstractNumId w:val="29"/>
  </w:num>
  <w:num w:numId="31">
    <w:abstractNumId w:val="20"/>
  </w:num>
  <w:num w:numId="32">
    <w:abstractNumId w:val="34"/>
  </w:num>
  <w:num w:numId="33">
    <w:abstractNumId w:val="24"/>
  </w:num>
  <w:num w:numId="34">
    <w:abstractNumId w:val="33"/>
  </w:num>
  <w:num w:numId="35">
    <w:abstractNumId w:val="33"/>
  </w:num>
  <w:num w:numId="36">
    <w:abstractNumId w:val="33"/>
  </w:num>
  <w:num w:numId="37">
    <w:abstractNumId w:val="23"/>
  </w:num>
  <w:num w:numId="38">
    <w:abstractNumId w:val="27"/>
  </w:num>
  <w:num w:numId="39">
    <w:abstractNumId w:val="7"/>
  </w:num>
  <w:num w:numId="40">
    <w:abstractNumId w:val="32"/>
  </w:num>
  <w:num w:numId="41">
    <w:abstractNumId w:val="38"/>
  </w:num>
  <w:num w:numId="42">
    <w:abstractNumId w:val="19"/>
  </w:num>
  <w:num w:numId="43">
    <w:abstractNumId w:val="9"/>
  </w:num>
  <w:num w:numId="44">
    <w:abstractNumId w:val="15"/>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B47"/>
    <w:rsid w:val="000046F3"/>
    <w:rsid w:val="00007A0D"/>
    <w:rsid w:val="0002186C"/>
    <w:rsid w:val="00030D42"/>
    <w:rsid w:val="000413F2"/>
    <w:rsid w:val="00045ABC"/>
    <w:rsid w:val="00047D73"/>
    <w:rsid w:val="00056D2E"/>
    <w:rsid w:val="00057605"/>
    <w:rsid w:val="000621AE"/>
    <w:rsid w:val="000660ED"/>
    <w:rsid w:val="00085C18"/>
    <w:rsid w:val="00090105"/>
    <w:rsid w:val="0009476C"/>
    <w:rsid w:val="00095972"/>
    <w:rsid w:val="000A2240"/>
    <w:rsid w:val="000A2694"/>
    <w:rsid w:val="000B27AF"/>
    <w:rsid w:val="000B63B8"/>
    <w:rsid w:val="000C1C85"/>
    <w:rsid w:val="000C5744"/>
    <w:rsid w:val="000D5C01"/>
    <w:rsid w:val="000D66DD"/>
    <w:rsid w:val="000E3E25"/>
    <w:rsid w:val="000E3EFA"/>
    <w:rsid w:val="000E486E"/>
    <w:rsid w:val="000F289B"/>
    <w:rsid w:val="000F5686"/>
    <w:rsid w:val="000F59FF"/>
    <w:rsid w:val="00100A91"/>
    <w:rsid w:val="00100D51"/>
    <w:rsid w:val="00104D85"/>
    <w:rsid w:val="00115BB4"/>
    <w:rsid w:val="00122A48"/>
    <w:rsid w:val="00136299"/>
    <w:rsid w:val="00137388"/>
    <w:rsid w:val="001448E2"/>
    <w:rsid w:val="001546D6"/>
    <w:rsid w:val="001620A6"/>
    <w:rsid w:val="00166DAB"/>
    <w:rsid w:val="00170FFF"/>
    <w:rsid w:val="00176746"/>
    <w:rsid w:val="001772F1"/>
    <w:rsid w:val="00183CD1"/>
    <w:rsid w:val="001876E7"/>
    <w:rsid w:val="00195521"/>
    <w:rsid w:val="001A336E"/>
    <w:rsid w:val="001A5DCA"/>
    <w:rsid w:val="001B222A"/>
    <w:rsid w:val="001C725E"/>
    <w:rsid w:val="001D11C7"/>
    <w:rsid w:val="001D34A4"/>
    <w:rsid w:val="001F2BEC"/>
    <w:rsid w:val="00205DF7"/>
    <w:rsid w:val="00214327"/>
    <w:rsid w:val="00217C51"/>
    <w:rsid w:val="002201ED"/>
    <w:rsid w:val="00220BF1"/>
    <w:rsid w:val="00221975"/>
    <w:rsid w:val="00226F29"/>
    <w:rsid w:val="00230C08"/>
    <w:rsid w:val="00237E40"/>
    <w:rsid w:val="00250E53"/>
    <w:rsid w:val="00251734"/>
    <w:rsid w:val="00263837"/>
    <w:rsid w:val="002758C3"/>
    <w:rsid w:val="00277A88"/>
    <w:rsid w:val="002A2023"/>
    <w:rsid w:val="002A61DD"/>
    <w:rsid w:val="002B19F5"/>
    <w:rsid w:val="002C1951"/>
    <w:rsid w:val="002D0D56"/>
    <w:rsid w:val="002E4DD8"/>
    <w:rsid w:val="002E7743"/>
    <w:rsid w:val="002F296D"/>
    <w:rsid w:val="002F3DA6"/>
    <w:rsid w:val="00301963"/>
    <w:rsid w:val="003050D6"/>
    <w:rsid w:val="00307D44"/>
    <w:rsid w:val="00311416"/>
    <w:rsid w:val="00313B47"/>
    <w:rsid w:val="00322D22"/>
    <w:rsid w:val="00325248"/>
    <w:rsid w:val="00327D55"/>
    <w:rsid w:val="00330AFE"/>
    <w:rsid w:val="003311BD"/>
    <w:rsid w:val="00332A40"/>
    <w:rsid w:val="00337942"/>
    <w:rsid w:val="00337BFC"/>
    <w:rsid w:val="00340F90"/>
    <w:rsid w:val="00346244"/>
    <w:rsid w:val="003474A3"/>
    <w:rsid w:val="00360246"/>
    <w:rsid w:val="00363894"/>
    <w:rsid w:val="00365ED7"/>
    <w:rsid w:val="00365F7A"/>
    <w:rsid w:val="003703D4"/>
    <w:rsid w:val="00375B90"/>
    <w:rsid w:val="00377AAB"/>
    <w:rsid w:val="003867F3"/>
    <w:rsid w:val="003A70E3"/>
    <w:rsid w:val="003B3FF6"/>
    <w:rsid w:val="003B78FF"/>
    <w:rsid w:val="003C182E"/>
    <w:rsid w:val="003C1B5D"/>
    <w:rsid w:val="003C4308"/>
    <w:rsid w:val="003C629B"/>
    <w:rsid w:val="003C6310"/>
    <w:rsid w:val="003D245A"/>
    <w:rsid w:val="003E7068"/>
    <w:rsid w:val="003F3644"/>
    <w:rsid w:val="004139BD"/>
    <w:rsid w:val="004231B3"/>
    <w:rsid w:val="004252AA"/>
    <w:rsid w:val="0042619C"/>
    <w:rsid w:val="004306BF"/>
    <w:rsid w:val="00431CF4"/>
    <w:rsid w:val="00434AFD"/>
    <w:rsid w:val="00442045"/>
    <w:rsid w:val="00450568"/>
    <w:rsid w:val="00454BA4"/>
    <w:rsid w:val="0045594E"/>
    <w:rsid w:val="00460DE7"/>
    <w:rsid w:val="00466735"/>
    <w:rsid w:val="00467A9D"/>
    <w:rsid w:val="00470F84"/>
    <w:rsid w:val="00471696"/>
    <w:rsid w:val="00473EA8"/>
    <w:rsid w:val="00480033"/>
    <w:rsid w:val="00486C3A"/>
    <w:rsid w:val="00491093"/>
    <w:rsid w:val="0049768A"/>
    <w:rsid w:val="004B2BC0"/>
    <w:rsid w:val="004B34FF"/>
    <w:rsid w:val="004B38E8"/>
    <w:rsid w:val="004C0C7A"/>
    <w:rsid w:val="004C0FF2"/>
    <w:rsid w:val="004C6907"/>
    <w:rsid w:val="004D1B58"/>
    <w:rsid w:val="004D5CA7"/>
    <w:rsid w:val="004D742A"/>
    <w:rsid w:val="004E2397"/>
    <w:rsid w:val="004F0D6D"/>
    <w:rsid w:val="004F5F25"/>
    <w:rsid w:val="004F75A3"/>
    <w:rsid w:val="00501BE5"/>
    <w:rsid w:val="0051553E"/>
    <w:rsid w:val="005163F4"/>
    <w:rsid w:val="00516467"/>
    <w:rsid w:val="005172BD"/>
    <w:rsid w:val="0052231A"/>
    <w:rsid w:val="00522FFB"/>
    <w:rsid w:val="00524A45"/>
    <w:rsid w:val="00530F04"/>
    <w:rsid w:val="00534643"/>
    <w:rsid w:val="00534A4C"/>
    <w:rsid w:val="00545067"/>
    <w:rsid w:val="00554144"/>
    <w:rsid w:val="005641DD"/>
    <w:rsid w:val="00567D60"/>
    <w:rsid w:val="005716B3"/>
    <w:rsid w:val="005729ED"/>
    <w:rsid w:val="00582E7B"/>
    <w:rsid w:val="00583CC8"/>
    <w:rsid w:val="005847E4"/>
    <w:rsid w:val="005915C3"/>
    <w:rsid w:val="00591C2C"/>
    <w:rsid w:val="00592BA2"/>
    <w:rsid w:val="00594982"/>
    <w:rsid w:val="005973BD"/>
    <w:rsid w:val="005A3EDD"/>
    <w:rsid w:val="005C2135"/>
    <w:rsid w:val="005C5568"/>
    <w:rsid w:val="005D0011"/>
    <w:rsid w:val="005D0D5C"/>
    <w:rsid w:val="005D23B9"/>
    <w:rsid w:val="005D255F"/>
    <w:rsid w:val="005D5403"/>
    <w:rsid w:val="005D7BBA"/>
    <w:rsid w:val="005E0058"/>
    <w:rsid w:val="005E68F4"/>
    <w:rsid w:val="005F3CC3"/>
    <w:rsid w:val="005F73DA"/>
    <w:rsid w:val="00601C83"/>
    <w:rsid w:val="0062318C"/>
    <w:rsid w:val="00623FC7"/>
    <w:rsid w:val="00632D4B"/>
    <w:rsid w:val="0065633E"/>
    <w:rsid w:val="0066234E"/>
    <w:rsid w:val="00670B44"/>
    <w:rsid w:val="0067150E"/>
    <w:rsid w:val="00671A8B"/>
    <w:rsid w:val="0069569C"/>
    <w:rsid w:val="006971A4"/>
    <w:rsid w:val="006A0570"/>
    <w:rsid w:val="006A190C"/>
    <w:rsid w:val="006A5AB8"/>
    <w:rsid w:val="006A5DF9"/>
    <w:rsid w:val="006B1AC7"/>
    <w:rsid w:val="006B5078"/>
    <w:rsid w:val="006B68E2"/>
    <w:rsid w:val="006B6E62"/>
    <w:rsid w:val="006C5B6D"/>
    <w:rsid w:val="006C5EB4"/>
    <w:rsid w:val="006D0E57"/>
    <w:rsid w:val="006D3FAC"/>
    <w:rsid w:val="006D4DAC"/>
    <w:rsid w:val="006D6C87"/>
    <w:rsid w:val="006E488E"/>
    <w:rsid w:val="006E714E"/>
    <w:rsid w:val="006E7EE2"/>
    <w:rsid w:val="006F1DB2"/>
    <w:rsid w:val="00701184"/>
    <w:rsid w:val="00702142"/>
    <w:rsid w:val="007132F1"/>
    <w:rsid w:val="007153C6"/>
    <w:rsid w:val="007172A6"/>
    <w:rsid w:val="00721C4B"/>
    <w:rsid w:val="00724627"/>
    <w:rsid w:val="00724889"/>
    <w:rsid w:val="00733408"/>
    <w:rsid w:val="00734878"/>
    <w:rsid w:val="0074476D"/>
    <w:rsid w:val="007473D9"/>
    <w:rsid w:val="00750A7E"/>
    <w:rsid w:val="007572A0"/>
    <w:rsid w:val="0075744F"/>
    <w:rsid w:val="00764D32"/>
    <w:rsid w:val="00777C84"/>
    <w:rsid w:val="007811AD"/>
    <w:rsid w:val="00781DD2"/>
    <w:rsid w:val="00784585"/>
    <w:rsid w:val="00784C2F"/>
    <w:rsid w:val="0078594C"/>
    <w:rsid w:val="00786195"/>
    <w:rsid w:val="00793157"/>
    <w:rsid w:val="007942B3"/>
    <w:rsid w:val="00794700"/>
    <w:rsid w:val="007A3322"/>
    <w:rsid w:val="007B2301"/>
    <w:rsid w:val="007C18C9"/>
    <w:rsid w:val="007C4AD6"/>
    <w:rsid w:val="007D44EC"/>
    <w:rsid w:val="007D485B"/>
    <w:rsid w:val="007E1009"/>
    <w:rsid w:val="007F0A54"/>
    <w:rsid w:val="007F3064"/>
    <w:rsid w:val="00800B21"/>
    <w:rsid w:val="00803A0F"/>
    <w:rsid w:val="00811922"/>
    <w:rsid w:val="00822E59"/>
    <w:rsid w:val="00833260"/>
    <w:rsid w:val="008345EF"/>
    <w:rsid w:val="00836586"/>
    <w:rsid w:val="00836BD5"/>
    <w:rsid w:val="00836EC1"/>
    <w:rsid w:val="00837FDE"/>
    <w:rsid w:val="008456E6"/>
    <w:rsid w:val="008544D2"/>
    <w:rsid w:val="00857FCE"/>
    <w:rsid w:val="00864E4B"/>
    <w:rsid w:val="00874AEB"/>
    <w:rsid w:val="008772E0"/>
    <w:rsid w:val="008775DC"/>
    <w:rsid w:val="00880B3B"/>
    <w:rsid w:val="00892DA5"/>
    <w:rsid w:val="008A0453"/>
    <w:rsid w:val="008A1E23"/>
    <w:rsid w:val="008A3694"/>
    <w:rsid w:val="008A7324"/>
    <w:rsid w:val="008B2595"/>
    <w:rsid w:val="008B2917"/>
    <w:rsid w:val="008B3EE4"/>
    <w:rsid w:val="008B4432"/>
    <w:rsid w:val="008B5511"/>
    <w:rsid w:val="008C17A3"/>
    <w:rsid w:val="008D317C"/>
    <w:rsid w:val="008D52D7"/>
    <w:rsid w:val="008D7252"/>
    <w:rsid w:val="008E2288"/>
    <w:rsid w:val="008E2521"/>
    <w:rsid w:val="008E7E98"/>
    <w:rsid w:val="008F3C62"/>
    <w:rsid w:val="008F4D5E"/>
    <w:rsid w:val="00900461"/>
    <w:rsid w:val="00907FC9"/>
    <w:rsid w:val="0091252F"/>
    <w:rsid w:val="00913AC8"/>
    <w:rsid w:val="00913D1D"/>
    <w:rsid w:val="009229DF"/>
    <w:rsid w:val="00922A92"/>
    <w:rsid w:val="009253FD"/>
    <w:rsid w:val="009321A5"/>
    <w:rsid w:val="00932ADE"/>
    <w:rsid w:val="0093305E"/>
    <w:rsid w:val="00933ED1"/>
    <w:rsid w:val="00934802"/>
    <w:rsid w:val="00934CD1"/>
    <w:rsid w:val="00934CFE"/>
    <w:rsid w:val="00936055"/>
    <w:rsid w:val="00945755"/>
    <w:rsid w:val="0095092F"/>
    <w:rsid w:val="00951BE2"/>
    <w:rsid w:val="00951F93"/>
    <w:rsid w:val="00955DBC"/>
    <w:rsid w:val="0096742E"/>
    <w:rsid w:val="00976359"/>
    <w:rsid w:val="0099254E"/>
    <w:rsid w:val="00993753"/>
    <w:rsid w:val="009952D0"/>
    <w:rsid w:val="00996D15"/>
    <w:rsid w:val="009A01D6"/>
    <w:rsid w:val="009A2CFB"/>
    <w:rsid w:val="009C0FBD"/>
    <w:rsid w:val="009C1F85"/>
    <w:rsid w:val="009C39DC"/>
    <w:rsid w:val="009C66C3"/>
    <w:rsid w:val="009D19A1"/>
    <w:rsid w:val="009E34D7"/>
    <w:rsid w:val="009E4A1A"/>
    <w:rsid w:val="009F1C6D"/>
    <w:rsid w:val="009F6718"/>
    <w:rsid w:val="00A04F27"/>
    <w:rsid w:val="00A07681"/>
    <w:rsid w:val="00A10C70"/>
    <w:rsid w:val="00A171BD"/>
    <w:rsid w:val="00A2388E"/>
    <w:rsid w:val="00A24E96"/>
    <w:rsid w:val="00A34253"/>
    <w:rsid w:val="00A34AB1"/>
    <w:rsid w:val="00A41A45"/>
    <w:rsid w:val="00A54122"/>
    <w:rsid w:val="00A6435E"/>
    <w:rsid w:val="00A71F1C"/>
    <w:rsid w:val="00A76551"/>
    <w:rsid w:val="00A76585"/>
    <w:rsid w:val="00AA0D47"/>
    <w:rsid w:val="00AA5041"/>
    <w:rsid w:val="00AA7B86"/>
    <w:rsid w:val="00AB010D"/>
    <w:rsid w:val="00AB20C4"/>
    <w:rsid w:val="00AC7335"/>
    <w:rsid w:val="00AD1B8D"/>
    <w:rsid w:val="00AD2019"/>
    <w:rsid w:val="00AD248D"/>
    <w:rsid w:val="00AE3DFF"/>
    <w:rsid w:val="00AF1DD9"/>
    <w:rsid w:val="00AF2F2E"/>
    <w:rsid w:val="00B00C98"/>
    <w:rsid w:val="00B1056B"/>
    <w:rsid w:val="00B114EA"/>
    <w:rsid w:val="00B135EB"/>
    <w:rsid w:val="00B15CEF"/>
    <w:rsid w:val="00B45895"/>
    <w:rsid w:val="00B52820"/>
    <w:rsid w:val="00B558AF"/>
    <w:rsid w:val="00B562DD"/>
    <w:rsid w:val="00B63247"/>
    <w:rsid w:val="00B6342E"/>
    <w:rsid w:val="00B6515A"/>
    <w:rsid w:val="00B65295"/>
    <w:rsid w:val="00B76073"/>
    <w:rsid w:val="00B7657F"/>
    <w:rsid w:val="00B76C7B"/>
    <w:rsid w:val="00B775DB"/>
    <w:rsid w:val="00B80CD1"/>
    <w:rsid w:val="00B84430"/>
    <w:rsid w:val="00B9349C"/>
    <w:rsid w:val="00B96F18"/>
    <w:rsid w:val="00B97865"/>
    <w:rsid w:val="00B97DC9"/>
    <w:rsid w:val="00BA6342"/>
    <w:rsid w:val="00BA6854"/>
    <w:rsid w:val="00BB0871"/>
    <w:rsid w:val="00BB2D1D"/>
    <w:rsid w:val="00BB2EA4"/>
    <w:rsid w:val="00BB4567"/>
    <w:rsid w:val="00BC0548"/>
    <w:rsid w:val="00BC1A80"/>
    <w:rsid w:val="00BD259B"/>
    <w:rsid w:val="00BD2FE2"/>
    <w:rsid w:val="00BE1632"/>
    <w:rsid w:val="00BF0C08"/>
    <w:rsid w:val="00BF5538"/>
    <w:rsid w:val="00C01699"/>
    <w:rsid w:val="00C02676"/>
    <w:rsid w:val="00C11099"/>
    <w:rsid w:val="00C12E87"/>
    <w:rsid w:val="00C206CC"/>
    <w:rsid w:val="00C21B11"/>
    <w:rsid w:val="00C263BC"/>
    <w:rsid w:val="00C26F7E"/>
    <w:rsid w:val="00C35E8B"/>
    <w:rsid w:val="00C43598"/>
    <w:rsid w:val="00C45DF3"/>
    <w:rsid w:val="00C46AF6"/>
    <w:rsid w:val="00C47A83"/>
    <w:rsid w:val="00C529CA"/>
    <w:rsid w:val="00C64B0D"/>
    <w:rsid w:val="00C709F4"/>
    <w:rsid w:val="00C727BB"/>
    <w:rsid w:val="00C758E7"/>
    <w:rsid w:val="00C7780A"/>
    <w:rsid w:val="00C80423"/>
    <w:rsid w:val="00C81BA8"/>
    <w:rsid w:val="00C86F05"/>
    <w:rsid w:val="00C90FB9"/>
    <w:rsid w:val="00CA5AAA"/>
    <w:rsid w:val="00CA75DF"/>
    <w:rsid w:val="00CB2971"/>
    <w:rsid w:val="00CC4A36"/>
    <w:rsid w:val="00CC7339"/>
    <w:rsid w:val="00CD247C"/>
    <w:rsid w:val="00CD6389"/>
    <w:rsid w:val="00CE09EE"/>
    <w:rsid w:val="00CE318A"/>
    <w:rsid w:val="00CE42A2"/>
    <w:rsid w:val="00CE59DE"/>
    <w:rsid w:val="00CF0EFD"/>
    <w:rsid w:val="00CF3031"/>
    <w:rsid w:val="00CF6E16"/>
    <w:rsid w:val="00D02334"/>
    <w:rsid w:val="00D03899"/>
    <w:rsid w:val="00D03B7B"/>
    <w:rsid w:val="00D0615C"/>
    <w:rsid w:val="00D12CAD"/>
    <w:rsid w:val="00D20105"/>
    <w:rsid w:val="00D21136"/>
    <w:rsid w:val="00D215AA"/>
    <w:rsid w:val="00D2198E"/>
    <w:rsid w:val="00D21D68"/>
    <w:rsid w:val="00D24A57"/>
    <w:rsid w:val="00D3262E"/>
    <w:rsid w:val="00D37B54"/>
    <w:rsid w:val="00D50840"/>
    <w:rsid w:val="00D50919"/>
    <w:rsid w:val="00D561CB"/>
    <w:rsid w:val="00D570ED"/>
    <w:rsid w:val="00D57F20"/>
    <w:rsid w:val="00D60E5E"/>
    <w:rsid w:val="00D768B2"/>
    <w:rsid w:val="00D777C4"/>
    <w:rsid w:val="00D85B76"/>
    <w:rsid w:val="00D91E7C"/>
    <w:rsid w:val="00D923DA"/>
    <w:rsid w:val="00D941F4"/>
    <w:rsid w:val="00D960A9"/>
    <w:rsid w:val="00D970CC"/>
    <w:rsid w:val="00D971C9"/>
    <w:rsid w:val="00DA40E4"/>
    <w:rsid w:val="00DA784B"/>
    <w:rsid w:val="00DB3EB6"/>
    <w:rsid w:val="00DB67BC"/>
    <w:rsid w:val="00DC65EB"/>
    <w:rsid w:val="00DC79C1"/>
    <w:rsid w:val="00DD7B03"/>
    <w:rsid w:val="00DD7CCB"/>
    <w:rsid w:val="00DE6F1A"/>
    <w:rsid w:val="00DF02D4"/>
    <w:rsid w:val="00DF62C6"/>
    <w:rsid w:val="00E036CC"/>
    <w:rsid w:val="00E12F9B"/>
    <w:rsid w:val="00E1687B"/>
    <w:rsid w:val="00E2185A"/>
    <w:rsid w:val="00E21F59"/>
    <w:rsid w:val="00E344D4"/>
    <w:rsid w:val="00E435F5"/>
    <w:rsid w:val="00E475D2"/>
    <w:rsid w:val="00E55456"/>
    <w:rsid w:val="00E6076A"/>
    <w:rsid w:val="00E62655"/>
    <w:rsid w:val="00E63272"/>
    <w:rsid w:val="00E67988"/>
    <w:rsid w:val="00E821F6"/>
    <w:rsid w:val="00E834DE"/>
    <w:rsid w:val="00E83A55"/>
    <w:rsid w:val="00E872CF"/>
    <w:rsid w:val="00E90E54"/>
    <w:rsid w:val="00E94351"/>
    <w:rsid w:val="00E95F39"/>
    <w:rsid w:val="00E97A58"/>
    <w:rsid w:val="00EA2FC9"/>
    <w:rsid w:val="00ED1117"/>
    <w:rsid w:val="00ED24ED"/>
    <w:rsid w:val="00ED50EF"/>
    <w:rsid w:val="00ED656A"/>
    <w:rsid w:val="00ED757E"/>
    <w:rsid w:val="00EE2A07"/>
    <w:rsid w:val="00EF0996"/>
    <w:rsid w:val="00EF0F48"/>
    <w:rsid w:val="00EF46F8"/>
    <w:rsid w:val="00F0310F"/>
    <w:rsid w:val="00F03583"/>
    <w:rsid w:val="00F1281D"/>
    <w:rsid w:val="00F146E9"/>
    <w:rsid w:val="00F15D74"/>
    <w:rsid w:val="00F17214"/>
    <w:rsid w:val="00F2548D"/>
    <w:rsid w:val="00F26C01"/>
    <w:rsid w:val="00F31FAD"/>
    <w:rsid w:val="00F37EDD"/>
    <w:rsid w:val="00F42E5B"/>
    <w:rsid w:val="00F435F0"/>
    <w:rsid w:val="00F443D5"/>
    <w:rsid w:val="00F54D35"/>
    <w:rsid w:val="00F55814"/>
    <w:rsid w:val="00F55B3C"/>
    <w:rsid w:val="00F61076"/>
    <w:rsid w:val="00F70285"/>
    <w:rsid w:val="00F718DC"/>
    <w:rsid w:val="00F71BDB"/>
    <w:rsid w:val="00F72AC8"/>
    <w:rsid w:val="00F73B24"/>
    <w:rsid w:val="00F73C57"/>
    <w:rsid w:val="00F74762"/>
    <w:rsid w:val="00F74E28"/>
    <w:rsid w:val="00F80C40"/>
    <w:rsid w:val="00F939C1"/>
    <w:rsid w:val="00FA0941"/>
    <w:rsid w:val="00FA5241"/>
    <w:rsid w:val="00FA5F96"/>
    <w:rsid w:val="00FB2D10"/>
    <w:rsid w:val="00FB49EB"/>
    <w:rsid w:val="00FC7DEA"/>
    <w:rsid w:val="00FD06A8"/>
    <w:rsid w:val="00FD1CFD"/>
    <w:rsid w:val="00FD6D58"/>
    <w:rsid w:val="00FE1454"/>
    <w:rsid w:val="00FE312C"/>
    <w:rsid w:val="00FE5439"/>
    <w:rsid w:val="00FE6600"/>
    <w:rsid w:val="00FF3C3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17DA52E"/>
  <w15:docId w15:val="{DA447809-346C-42B6-B0F9-DC908A5F1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544D2"/>
    <w:pPr>
      <w:spacing w:line="360" w:lineRule="auto"/>
      <w:jc w:val="center"/>
    </w:pPr>
    <w:rPr>
      <w:rFonts w:ascii="Arial" w:hAnsi="Arial"/>
      <w:sz w:val="22"/>
      <w:lang w:eastAsia="de-DE"/>
    </w:rPr>
  </w:style>
  <w:style w:type="paragraph" w:styleId="berschrift1">
    <w:name w:val="heading 1"/>
    <w:aliases w:val="Überschrift 1 Leitlinien"/>
    <w:basedOn w:val="Standard"/>
    <w:next w:val="Standard"/>
    <w:qFormat/>
    <w:rsid w:val="007F3064"/>
    <w:pPr>
      <w:keepNext/>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line="240" w:lineRule="auto"/>
      <w:jc w:val="left"/>
      <w:outlineLvl w:val="0"/>
    </w:pPr>
    <w:rPr>
      <w:rFonts w:asciiTheme="minorHAnsi" w:hAnsiTheme="minorHAnsi" w:cs="Arial"/>
      <w:b/>
      <w:bCs/>
      <w:kern w:val="32"/>
      <w:szCs w:val="32"/>
    </w:rPr>
  </w:style>
  <w:style w:type="paragraph" w:styleId="berschrift2">
    <w:name w:val="heading 2"/>
    <w:basedOn w:val="Standard"/>
    <w:next w:val="Standard"/>
    <w:autoRedefine/>
    <w:qFormat/>
    <w:rsid w:val="00F17214"/>
    <w:pPr>
      <w:keepNext/>
      <w:numPr>
        <w:ilvl w:val="1"/>
        <w:numId w:val="6"/>
      </w:numPr>
      <w:spacing w:before="240" w:after="60" w:line="276" w:lineRule="auto"/>
      <w:jc w:val="left"/>
      <w:outlineLvl w:val="1"/>
    </w:pPr>
    <w:rPr>
      <w:rFonts w:ascii="Calibri" w:hAnsi="Calibri" w:cs="Arial"/>
      <w:b/>
      <w:bCs/>
      <w:i/>
      <w:iCs/>
      <w:sz w:val="24"/>
      <w:szCs w:val="24"/>
    </w:rPr>
  </w:style>
  <w:style w:type="paragraph" w:styleId="berschrift3">
    <w:name w:val="heading 3"/>
    <w:basedOn w:val="Standard"/>
    <w:next w:val="Standard"/>
    <w:qFormat/>
    <w:rsid w:val="00D37B54"/>
    <w:pPr>
      <w:keepNext/>
      <w:numPr>
        <w:ilvl w:val="2"/>
        <w:numId w:val="2"/>
      </w:numPr>
      <w:jc w:val="left"/>
      <w:outlineLvl w:val="2"/>
    </w:pPr>
    <w:rPr>
      <w:rFonts w:ascii="Calibri" w:hAnsi="Calibri"/>
      <w:b/>
      <w:bCs/>
    </w:rPr>
  </w:style>
  <w:style w:type="paragraph" w:styleId="berschrift4">
    <w:name w:val="heading 4"/>
    <w:basedOn w:val="Standard"/>
    <w:next w:val="Standard"/>
    <w:qFormat/>
    <w:rsid w:val="00450568"/>
    <w:pPr>
      <w:keepNext/>
      <w:numPr>
        <w:ilvl w:val="3"/>
        <w:numId w:val="2"/>
      </w:numPr>
      <w:ind w:right="-142"/>
      <w:jc w:val="left"/>
      <w:outlineLvl w:val="3"/>
    </w:pPr>
    <w:rPr>
      <w:b/>
      <w:bCs/>
    </w:rPr>
  </w:style>
  <w:style w:type="paragraph" w:styleId="berschrift5">
    <w:name w:val="heading 5"/>
    <w:basedOn w:val="Standard"/>
    <w:next w:val="Standard"/>
    <w:qFormat/>
    <w:rsid w:val="003C182E"/>
    <w:pPr>
      <w:keepNext/>
      <w:numPr>
        <w:ilvl w:val="4"/>
        <w:numId w:val="2"/>
      </w:numPr>
      <w:tabs>
        <w:tab w:val="left" w:pos="2338"/>
        <w:tab w:val="left" w:pos="6449"/>
        <w:tab w:val="left" w:pos="9284"/>
      </w:tabs>
      <w:jc w:val="left"/>
      <w:outlineLvl w:val="4"/>
    </w:pPr>
    <w:rPr>
      <w:b/>
      <w:bCs/>
      <w:noProof/>
      <w:sz w:val="26"/>
    </w:rPr>
  </w:style>
  <w:style w:type="paragraph" w:styleId="berschrift6">
    <w:name w:val="heading 6"/>
    <w:basedOn w:val="Standard"/>
    <w:next w:val="Standard"/>
    <w:qFormat/>
    <w:rsid w:val="009952D0"/>
    <w:pPr>
      <w:numPr>
        <w:ilvl w:val="5"/>
        <w:numId w:val="2"/>
      </w:numPr>
      <w:spacing w:before="240" w:after="60"/>
      <w:outlineLvl w:val="5"/>
    </w:pPr>
    <w:rPr>
      <w:rFonts w:ascii="Times New Roman" w:hAnsi="Times New Roman"/>
      <w:b/>
      <w:bCs/>
      <w:szCs w:val="22"/>
    </w:rPr>
  </w:style>
  <w:style w:type="paragraph" w:styleId="berschrift7">
    <w:name w:val="heading 7"/>
    <w:basedOn w:val="Standard"/>
    <w:next w:val="Standard"/>
    <w:qFormat/>
    <w:rsid w:val="009952D0"/>
    <w:pPr>
      <w:numPr>
        <w:ilvl w:val="6"/>
        <w:numId w:val="2"/>
      </w:numPr>
      <w:spacing w:before="240" w:after="60"/>
      <w:outlineLvl w:val="6"/>
    </w:pPr>
    <w:rPr>
      <w:rFonts w:ascii="Times New Roman" w:hAnsi="Times New Roman"/>
      <w:sz w:val="24"/>
      <w:szCs w:val="24"/>
    </w:rPr>
  </w:style>
  <w:style w:type="paragraph" w:styleId="berschrift8">
    <w:name w:val="heading 8"/>
    <w:basedOn w:val="Standard"/>
    <w:next w:val="Standard"/>
    <w:qFormat/>
    <w:rsid w:val="009952D0"/>
    <w:pPr>
      <w:numPr>
        <w:ilvl w:val="7"/>
        <w:numId w:val="2"/>
      </w:numPr>
      <w:spacing w:before="240" w:after="60"/>
      <w:outlineLvl w:val="7"/>
    </w:pPr>
    <w:rPr>
      <w:rFonts w:ascii="Times New Roman" w:hAnsi="Times New Roman"/>
      <w:i/>
      <w:iCs/>
      <w:sz w:val="24"/>
      <w:szCs w:val="24"/>
    </w:rPr>
  </w:style>
  <w:style w:type="paragraph" w:styleId="berschrift9">
    <w:name w:val="heading 9"/>
    <w:aliases w:val="Überschrift Leitlinie"/>
    <w:basedOn w:val="Standard"/>
    <w:next w:val="Standard"/>
    <w:qFormat/>
    <w:rsid w:val="00ED24ED"/>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before="240" w:after="60"/>
      <w:jc w:val="left"/>
      <w:outlineLvl w:val="8"/>
    </w:pPr>
    <w:rPr>
      <w:rFonts w:asciiTheme="minorHAnsi" w:hAnsiTheme="minorHAnsi" w:cs="Arial"/>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C182E"/>
    <w:pPr>
      <w:tabs>
        <w:tab w:val="center" w:pos="4536"/>
        <w:tab w:val="right" w:pos="9072"/>
      </w:tabs>
    </w:pPr>
  </w:style>
  <w:style w:type="character" w:styleId="Seitenzahl">
    <w:name w:val="page number"/>
    <w:basedOn w:val="Absatz-Standardschriftart"/>
    <w:rsid w:val="003C182E"/>
  </w:style>
  <w:style w:type="paragraph" w:styleId="Fuzeile">
    <w:name w:val="footer"/>
    <w:basedOn w:val="Standard"/>
    <w:rsid w:val="003C182E"/>
    <w:pPr>
      <w:tabs>
        <w:tab w:val="center" w:pos="4536"/>
        <w:tab w:val="right" w:pos="9072"/>
      </w:tabs>
    </w:pPr>
  </w:style>
  <w:style w:type="table" w:styleId="Tabellenraster">
    <w:name w:val="Table Grid"/>
    <w:basedOn w:val="NormaleTabelle"/>
    <w:rsid w:val="003C1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3">
    <w:name w:val="Body Text Indent 3"/>
    <w:basedOn w:val="Standard"/>
    <w:rsid w:val="00F74E28"/>
    <w:pPr>
      <w:widowControl w:val="0"/>
      <w:spacing w:before="100" w:after="100"/>
      <w:ind w:left="2410" w:hanging="2410"/>
      <w:jc w:val="both"/>
    </w:pPr>
    <w:rPr>
      <w:bCs/>
      <w:sz w:val="26"/>
      <w:lang w:val="de-DE"/>
    </w:rPr>
  </w:style>
  <w:style w:type="paragraph" w:customStyle="1" w:styleId="Formatvorlageberschrift212pt">
    <w:name w:val="Formatvorlage Überschrift 2 + 12 pt"/>
    <w:basedOn w:val="Standard"/>
    <w:rsid w:val="00BB2D1D"/>
    <w:pPr>
      <w:numPr>
        <w:ilvl w:val="1"/>
        <w:numId w:val="1"/>
      </w:numPr>
    </w:pPr>
  </w:style>
  <w:style w:type="paragraph" w:styleId="Textkrper-Einzug2">
    <w:name w:val="Body Text Indent 2"/>
    <w:basedOn w:val="Standard"/>
    <w:link w:val="Textkrper-Einzug2Zchn"/>
    <w:rsid w:val="00F74E28"/>
    <w:pPr>
      <w:spacing w:after="120" w:line="480" w:lineRule="auto"/>
      <w:ind w:left="283"/>
    </w:pPr>
  </w:style>
  <w:style w:type="paragraph" w:styleId="Titel">
    <w:name w:val="Title"/>
    <w:basedOn w:val="Standard"/>
    <w:qFormat/>
    <w:rsid w:val="008A7324"/>
    <w:pPr>
      <w:overflowPunct w:val="0"/>
      <w:autoSpaceDE w:val="0"/>
      <w:autoSpaceDN w:val="0"/>
      <w:adjustRightInd w:val="0"/>
      <w:spacing w:line="240" w:lineRule="auto"/>
      <w:textAlignment w:val="baseline"/>
    </w:pPr>
    <w:rPr>
      <w:sz w:val="36"/>
      <w:lang w:val="de-DE"/>
    </w:rPr>
  </w:style>
  <w:style w:type="paragraph" w:styleId="Sprechblasentext">
    <w:name w:val="Balloon Text"/>
    <w:basedOn w:val="Standard"/>
    <w:link w:val="SprechblasentextZchn"/>
    <w:rsid w:val="00784585"/>
    <w:pPr>
      <w:spacing w:line="240" w:lineRule="auto"/>
    </w:pPr>
    <w:rPr>
      <w:rFonts w:ascii="Tahoma" w:hAnsi="Tahoma" w:cs="Tahoma"/>
      <w:sz w:val="16"/>
      <w:szCs w:val="16"/>
    </w:rPr>
  </w:style>
  <w:style w:type="character" w:customStyle="1" w:styleId="SprechblasentextZchn">
    <w:name w:val="Sprechblasentext Zchn"/>
    <w:link w:val="Sprechblasentext"/>
    <w:rsid w:val="00784585"/>
    <w:rPr>
      <w:rFonts w:ascii="Tahoma" w:hAnsi="Tahoma" w:cs="Tahoma"/>
      <w:sz w:val="16"/>
      <w:szCs w:val="16"/>
      <w:lang w:eastAsia="de-DE"/>
    </w:rPr>
  </w:style>
  <w:style w:type="character" w:styleId="Hyperlink">
    <w:name w:val="Hyperlink"/>
    <w:basedOn w:val="Absatz-Standardschriftart"/>
    <w:uiPriority w:val="99"/>
    <w:rsid w:val="00F54D35"/>
    <w:rPr>
      <w:color w:val="0000FF" w:themeColor="hyperlink"/>
      <w:u w:val="single"/>
    </w:rPr>
  </w:style>
  <w:style w:type="character" w:styleId="BesuchterLink">
    <w:name w:val="FollowedHyperlink"/>
    <w:basedOn w:val="Absatz-Standardschriftart"/>
    <w:rsid w:val="00F54D35"/>
    <w:rPr>
      <w:color w:val="800080" w:themeColor="followedHyperlink"/>
      <w:u w:val="single"/>
    </w:rPr>
  </w:style>
  <w:style w:type="character" w:customStyle="1" w:styleId="txtcontentsmall">
    <w:name w:val="txt_content_small"/>
    <w:basedOn w:val="Absatz-Standardschriftart"/>
    <w:rsid w:val="005163F4"/>
  </w:style>
  <w:style w:type="character" w:customStyle="1" w:styleId="Textkrper-Einzug2Zchn">
    <w:name w:val="Textkörper-Einzug 2 Zchn"/>
    <w:basedOn w:val="Absatz-Standardschriftart"/>
    <w:link w:val="Textkrper-Einzug2"/>
    <w:rsid w:val="005C5568"/>
    <w:rPr>
      <w:rFonts w:ascii="Arial" w:hAnsi="Arial"/>
      <w:sz w:val="22"/>
      <w:lang w:eastAsia="de-DE"/>
    </w:rPr>
  </w:style>
  <w:style w:type="table" w:customStyle="1" w:styleId="Tabellenraster1">
    <w:name w:val="Tabellenraster1"/>
    <w:basedOn w:val="NormaleTabelle"/>
    <w:next w:val="Tabellenraster"/>
    <w:rsid w:val="002E7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007A0D"/>
    <w:rPr>
      <w:color w:val="808080"/>
    </w:rPr>
  </w:style>
  <w:style w:type="paragraph" w:styleId="Inhaltsverzeichnisberschrift">
    <w:name w:val="TOC Heading"/>
    <w:basedOn w:val="berschrift1"/>
    <w:next w:val="Standard"/>
    <w:uiPriority w:val="39"/>
    <w:unhideWhenUsed/>
    <w:qFormat/>
    <w:rsid w:val="00ED24ED"/>
    <w:pPr>
      <w:keepLines/>
      <w:pBdr>
        <w:top w:val="none" w:sz="0" w:space="0" w:color="auto"/>
        <w:left w:val="none" w:sz="0" w:space="0" w:color="auto"/>
        <w:bottom w:val="none" w:sz="0" w:space="0" w:color="auto"/>
        <w:right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Cs w:val="28"/>
      <w:lang w:eastAsia="de-AT"/>
    </w:rPr>
  </w:style>
  <w:style w:type="paragraph" w:styleId="Verzeichnis9">
    <w:name w:val="toc 9"/>
    <w:basedOn w:val="Standard"/>
    <w:next w:val="Standard"/>
    <w:autoRedefine/>
    <w:uiPriority w:val="39"/>
    <w:rsid w:val="007F3064"/>
    <w:pPr>
      <w:spacing w:after="100"/>
      <w:ind w:left="1760"/>
    </w:pPr>
  </w:style>
  <w:style w:type="paragraph" w:styleId="Verzeichnis1">
    <w:name w:val="toc 1"/>
    <w:basedOn w:val="Standard"/>
    <w:next w:val="Standard"/>
    <w:autoRedefine/>
    <w:uiPriority w:val="39"/>
    <w:rsid w:val="000B63B8"/>
    <w:pPr>
      <w:tabs>
        <w:tab w:val="left" w:pos="1276"/>
        <w:tab w:val="right" w:leader="dot" w:pos="9487"/>
      </w:tabs>
      <w:spacing w:after="100" w:line="240" w:lineRule="auto"/>
    </w:pPr>
    <w:rPr>
      <w:rFonts w:asciiTheme="minorHAnsi" w:hAnsiTheme="minorHAnsi" w:cstheme="minorHAnsi"/>
      <w:b/>
      <w:noProof/>
    </w:rPr>
  </w:style>
  <w:style w:type="paragraph" w:styleId="Listenabsatz">
    <w:name w:val="List Paragraph"/>
    <w:basedOn w:val="Standard"/>
    <w:uiPriority w:val="34"/>
    <w:qFormat/>
    <w:rsid w:val="00913D1D"/>
    <w:pPr>
      <w:ind w:left="720"/>
      <w:contextualSpacing/>
    </w:pPr>
  </w:style>
  <w:style w:type="paragraph" w:styleId="Verzeichnis2">
    <w:name w:val="toc 2"/>
    <w:basedOn w:val="Standard"/>
    <w:next w:val="Standard"/>
    <w:autoRedefine/>
    <w:uiPriority w:val="39"/>
    <w:rsid w:val="00F73B24"/>
    <w:pPr>
      <w:tabs>
        <w:tab w:val="left" w:pos="1320"/>
        <w:tab w:val="right" w:leader="dot" w:pos="9487"/>
      </w:tabs>
      <w:spacing w:after="100" w:line="276" w:lineRule="auto"/>
      <w:ind w:left="220"/>
      <w:jc w:val="left"/>
    </w:pPr>
  </w:style>
  <w:style w:type="paragraph" w:styleId="Verzeichnis3">
    <w:name w:val="toc 3"/>
    <w:basedOn w:val="Standard"/>
    <w:next w:val="Standard"/>
    <w:autoRedefine/>
    <w:uiPriority w:val="39"/>
    <w:rsid w:val="000B63B8"/>
    <w:pPr>
      <w:tabs>
        <w:tab w:val="left" w:pos="1276"/>
        <w:tab w:val="right" w:leader="dot" w:pos="9487"/>
      </w:tabs>
      <w:spacing w:after="60" w:line="276" w:lineRule="auto"/>
      <w:ind w:left="1276" w:hanging="567"/>
      <w:jc w:val="left"/>
    </w:pPr>
  </w:style>
  <w:style w:type="paragraph" w:customStyle="1" w:styleId="Default">
    <w:name w:val="Default"/>
    <w:rsid w:val="00836BD5"/>
    <w:pPr>
      <w:autoSpaceDE w:val="0"/>
      <w:autoSpaceDN w:val="0"/>
      <w:adjustRightInd w:val="0"/>
    </w:pPr>
    <w:rPr>
      <w:rFonts w:ascii="Arial" w:eastAsiaTheme="minorHAnsi" w:hAnsi="Arial" w:cs="Arial"/>
      <w:color w:val="000000"/>
      <w:sz w:val="24"/>
      <w:szCs w:val="24"/>
      <w:lang w:eastAsia="en-US"/>
    </w:rPr>
  </w:style>
  <w:style w:type="paragraph" w:styleId="HTMLVorformatiert">
    <w:name w:val="HTML Preformatted"/>
    <w:basedOn w:val="Standard"/>
    <w:link w:val="HTMLVorformatiertZchn"/>
    <w:uiPriority w:val="99"/>
    <w:unhideWhenUsed/>
    <w:rsid w:val="001C72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lang w:val="de-DE"/>
    </w:rPr>
  </w:style>
  <w:style w:type="character" w:customStyle="1" w:styleId="HTMLVorformatiertZchn">
    <w:name w:val="HTML Vorformatiert Zchn"/>
    <w:basedOn w:val="Absatz-Standardschriftart"/>
    <w:link w:val="HTMLVorformatiert"/>
    <w:uiPriority w:val="99"/>
    <w:rsid w:val="001C725E"/>
    <w:rPr>
      <w:rFonts w:ascii="Courier New" w:hAnsi="Courier New" w:cs="Courier New"/>
      <w:lang w:val="de-DE" w:eastAsia="de-DE"/>
    </w:rPr>
  </w:style>
  <w:style w:type="character" w:styleId="Kommentarzeichen">
    <w:name w:val="annotation reference"/>
    <w:basedOn w:val="Absatz-Standardschriftart"/>
    <w:semiHidden/>
    <w:unhideWhenUsed/>
    <w:rsid w:val="00F939C1"/>
    <w:rPr>
      <w:sz w:val="16"/>
      <w:szCs w:val="16"/>
    </w:rPr>
  </w:style>
  <w:style w:type="paragraph" w:styleId="Kommentartext">
    <w:name w:val="annotation text"/>
    <w:basedOn w:val="Standard"/>
    <w:link w:val="KommentartextZchn"/>
    <w:semiHidden/>
    <w:unhideWhenUsed/>
    <w:rsid w:val="00F939C1"/>
    <w:pPr>
      <w:spacing w:line="240" w:lineRule="auto"/>
    </w:pPr>
    <w:rPr>
      <w:sz w:val="20"/>
    </w:rPr>
  </w:style>
  <w:style w:type="character" w:customStyle="1" w:styleId="KommentartextZchn">
    <w:name w:val="Kommentartext Zchn"/>
    <w:basedOn w:val="Absatz-Standardschriftart"/>
    <w:link w:val="Kommentartext"/>
    <w:semiHidden/>
    <w:rsid w:val="00F939C1"/>
    <w:rPr>
      <w:rFonts w:ascii="Arial" w:hAnsi="Arial"/>
      <w:lang w:eastAsia="de-DE"/>
    </w:rPr>
  </w:style>
  <w:style w:type="paragraph" w:styleId="Kommentarthema">
    <w:name w:val="annotation subject"/>
    <w:basedOn w:val="Kommentartext"/>
    <w:next w:val="Kommentartext"/>
    <w:link w:val="KommentarthemaZchn"/>
    <w:semiHidden/>
    <w:unhideWhenUsed/>
    <w:rsid w:val="00F939C1"/>
    <w:rPr>
      <w:b/>
      <w:bCs/>
    </w:rPr>
  </w:style>
  <w:style w:type="character" w:customStyle="1" w:styleId="KommentarthemaZchn">
    <w:name w:val="Kommentarthema Zchn"/>
    <w:basedOn w:val="KommentartextZchn"/>
    <w:link w:val="Kommentarthema"/>
    <w:semiHidden/>
    <w:rsid w:val="00F939C1"/>
    <w:rPr>
      <w:rFonts w:ascii="Arial" w:hAnsi="Arial"/>
      <w:b/>
      <w:bCs/>
      <w:lang w:eastAsia="de-DE"/>
    </w:rPr>
  </w:style>
  <w:style w:type="paragraph" w:customStyle="1" w:styleId="Titel1">
    <w:name w:val="Titel1"/>
    <w:basedOn w:val="Standard"/>
    <w:rsid w:val="00B97DC9"/>
    <w:pPr>
      <w:spacing w:before="100" w:beforeAutospacing="1" w:after="100" w:afterAutospacing="1" w:line="240" w:lineRule="auto"/>
      <w:jc w:val="left"/>
    </w:pPr>
    <w:rPr>
      <w:rFonts w:ascii="Times New Roman" w:hAnsi="Times New Roman"/>
      <w:sz w:val="24"/>
      <w:szCs w:val="24"/>
      <w:lang w:eastAsia="de-AT"/>
    </w:rPr>
  </w:style>
  <w:style w:type="paragraph" w:customStyle="1" w:styleId="desc">
    <w:name w:val="desc"/>
    <w:basedOn w:val="Standard"/>
    <w:rsid w:val="00B97DC9"/>
    <w:pPr>
      <w:spacing w:before="100" w:beforeAutospacing="1" w:after="100" w:afterAutospacing="1" w:line="240" w:lineRule="auto"/>
      <w:jc w:val="left"/>
    </w:pPr>
    <w:rPr>
      <w:rFonts w:ascii="Times New Roman" w:hAnsi="Times New Roman"/>
      <w:sz w:val="24"/>
      <w:szCs w:val="24"/>
      <w:lang w:eastAsia="de-AT"/>
    </w:rPr>
  </w:style>
  <w:style w:type="paragraph" w:customStyle="1" w:styleId="details">
    <w:name w:val="details"/>
    <w:basedOn w:val="Standard"/>
    <w:rsid w:val="00B97DC9"/>
    <w:pPr>
      <w:spacing w:before="100" w:beforeAutospacing="1" w:after="100" w:afterAutospacing="1" w:line="240" w:lineRule="auto"/>
      <w:jc w:val="left"/>
    </w:pPr>
    <w:rPr>
      <w:rFonts w:ascii="Times New Roman" w:hAnsi="Times New Roman"/>
      <w:sz w:val="24"/>
      <w:szCs w:val="24"/>
      <w:lang w:eastAsia="de-AT"/>
    </w:rPr>
  </w:style>
  <w:style w:type="character" w:customStyle="1" w:styleId="jrnl">
    <w:name w:val="jrnl"/>
    <w:basedOn w:val="Absatz-Standardschriftart"/>
    <w:rsid w:val="00B97DC9"/>
  </w:style>
  <w:style w:type="paragraph" w:styleId="StandardWeb">
    <w:name w:val="Normal (Web)"/>
    <w:basedOn w:val="Standard"/>
    <w:uiPriority w:val="99"/>
    <w:semiHidden/>
    <w:unhideWhenUsed/>
    <w:rsid w:val="00047D73"/>
    <w:pPr>
      <w:spacing w:before="100" w:beforeAutospacing="1" w:after="100" w:afterAutospacing="1" w:line="240" w:lineRule="auto"/>
      <w:jc w:val="left"/>
    </w:pPr>
    <w:rPr>
      <w:rFonts w:ascii="Times New Roman" w:hAnsi="Times New Roman"/>
      <w:sz w:val="24"/>
      <w:szCs w:val="24"/>
      <w:lang w:eastAsia="de-AT"/>
    </w:rPr>
  </w:style>
  <w:style w:type="character" w:customStyle="1" w:styleId="KopfzeileZchn">
    <w:name w:val="Kopfzeile Zchn"/>
    <w:basedOn w:val="Absatz-Standardschriftart"/>
    <w:link w:val="Kopfzeile"/>
    <w:rsid w:val="00D37B54"/>
    <w:rPr>
      <w:rFonts w:ascii="Arial" w:hAnsi="Arial"/>
      <w:sz w:val="22"/>
      <w:lang w:eastAsia="de-DE"/>
    </w:rPr>
  </w:style>
  <w:style w:type="character" w:customStyle="1" w:styleId="period">
    <w:name w:val="period"/>
    <w:basedOn w:val="Absatz-Standardschriftart"/>
    <w:rsid w:val="00346244"/>
  </w:style>
  <w:style w:type="character" w:customStyle="1" w:styleId="cit">
    <w:name w:val="cit"/>
    <w:basedOn w:val="Absatz-Standardschriftart"/>
    <w:rsid w:val="00346244"/>
  </w:style>
  <w:style w:type="paragraph" w:customStyle="1" w:styleId="c-article-referencestext">
    <w:name w:val="c-article-references__text"/>
    <w:basedOn w:val="Standard"/>
    <w:uiPriority w:val="99"/>
    <w:rsid w:val="00951F93"/>
    <w:pPr>
      <w:spacing w:line="240" w:lineRule="auto"/>
      <w:jc w:val="left"/>
    </w:pPr>
    <w:rPr>
      <w:rFonts w:ascii="Times New Roman" w:eastAsiaTheme="minorHAnsi" w:hAnsi="Times New Roman"/>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15171">
      <w:bodyDiv w:val="1"/>
      <w:marLeft w:val="0"/>
      <w:marRight w:val="0"/>
      <w:marTop w:val="0"/>
      <w:marBottom w:val="0"/>
      <w:divBdr>
        <w:top w:val="none" w:sz="0" w:space="0" w:color="auto"/>
        <w:left w:val="none" w:sz="0" w:space="0" w:color="auto"/>
        <w:bottom w:val="none" w:sz="0" w:space="0" w:color="auto"/>
        <w:right w:val="none" w:sz="0" w:space="0" w:color="auto"/>
      </w:divBdr>
    </w:div>
    <w:div w:id="94904327">
      <w:bodyDiv w:val="1"/>
      <w:marLeft w:val="0"/>
      <w:marRight w:val="0"/>
      <w:marTop w:val="0"/>
      <w:marBottom w:val="0"/>
      <w:divBdr>
        <w:top w:val="none" w:sz="0" w:space="0" w:color="auto"/>
        <w:left w:val="none" w:sz="0" w:space="0" w:color="auto"/>
        <w:bottom w:val="none" w:sz="0" w:space="0" w:color="auto"/>
        <w:right w:val="none" w:sz="0" w:space="0" w:color="auto"/>
      </w:divBdr>
    </w:div>
    <w:div w:id="115368725">
      <w:bodyDiv w:val="1"/>
      <w:marLeft w:val="0"/>
      <w:marRight w:val="0"/>
      <w:marTop w:val="0"/>
      <w:marBottom w:val="0"/>
      <w:divBdr>
        <w:top w:val="none" w:sz="0" w:space="0" w:color="auto"/>
        <w:left w:val="none" w:sz="0" w:space="0" w:color="auto"/>
        <w:bottom w:val="none" w:sz="0" w:space="0" w:color="auto"/>
        <w:right w:val="none" w:sz="0" w:space="0" w:color="auto"/>
      </w:divBdr>
    </w:div>
    <w:div w:id="119343215">
      <w:bodyDiv w:val="1"/>
      <w:marLeft w:val="0"/>
      <w:marRight w:val="0"/>
      <w:marTop w:val="0"/>
      <w:marBottom w:val="0"/>
      <w:divBdr>
        <w:top w:val="none" w:sz="0" w:space="0" w:color="auto"/>
        <w:left w:val="none" w:sz="0" w:space="0" w:color="auto"/>
        <w:bottom w:val="none" w:sz="0" w:space="0" w:color="auto"/>
        <w:right w:val="none" w:sz="0" w:space="0" w:color="auto"/>
      </w:divBdr>
    </w:div>
    <w:div w:id="125661336">
      <w:bodyDiv w:val="1"/>
      <w:marLeft w:val="0"/>
      <w:marRight w:val="0"/>
      <w:marTop w:val="0"/>
      <w:marBottom w:val="0"/>
      <w:divBdr>
        <w:top w:val="none" w:sz="0" w:space="0" w:color="auto"/>
        <w:left w:val="none" w:sz="0" w:space="0" w:color="auto"/>
        <w:bottom w:val="none" w:sz="0" w:space="0" w:color="auto"/>
        <w:right w:val="none" w:sz="0" w:space="0" w:color="auto"/>
      </w:divBdr>
      <w:divsChild>
        <w:div w:id="1575354652">
          <w:marLeft w:val="0"/>
          <w:marRight w:val="0"/>
          <w:marTop w:val="0"/>
          <w:marBottom w:val="0"/>
          <w:divBdr>
            <w:top w:val="none" w:sz="0" w:space="0" w:color="auto"/>
            <w:left w:val="none" w:sz="0" w:space="0" w:color="auto"/>
            <w:bottom w:val="none" w:sz="0" w:space="0" w:color="auto"/>
            <w:right w:val="none" w:sz="0" w:space="0" w:color="auto"/>
          </w:divBdr>
          <w:divsChild>
            <w:div w:id="1327511338">
              <w:marLeft w:val="0"/>
              <w:marRight w:val="0"/>
              <w:marTop w:val="0"/>
              <w:marBottom w:val="0"/>
              <w:divBdr>
                <w:top w:val="none" w:sz="0" w:space="0" w:color="auto"/>
                <w:left w:val="none" w:sz="0" w:space="0" w:color="auto"/>
                <w:bottom w:val="none" w:sz="0" w:space="0" w:color="auto"/>
                <w:right w:val="none" w:sz="0" w:space="0" w:color="auto"/>
              </w:divBdr>
              <w:divsChild>
                <w:div w:id="21337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00442">
      <w:bodyDiv w:val="1"/>
      <w:marLeft w:val="0"/>
      <w:marRight w:val="0"/>
      <w:marTop w:val="0"/>
      <w:marBottom w:val="0"/>
      <w:divBdr>
        <w:top w:val="none" w:sz="0" w:space="0" w:color="auto"/>
        <w:left w:val="none" w:sz="0" w:space="0" w:color="auto"/>
        <w:bottom w:val="none" w:sz="0" w:space="0" w:color="auto"/>
        <w:right w:val="none" w:sz="0" w:space="0" w:color="auto"/>
      </w:divBdr>
    </w:div>
    <w:div w:id="248588947">
      <w:bodyDiv w:val="1"/>
      <w:marLeft w:val="0"/>
      <w:marRight w:val="0"/>
      <w:marTop w:val="0"/>
      <w:marBottom w:val="0"/>
      <w:divBdr>
        <w:top w:val="none" w:sz="0" w:space="0" w:color="auto"/>
        <w:left w:val="none" w:sz="0" w:space="0" w:color="auto"/>
        <w:bottom w:val="none" w:sz="0" w:space="0" w:color="auto"/>
        <w:right w:val="none" w:sz="0" w:space="0" w:color="auto"/>
      </w:divBdr>
      <w:divsChild>
        <w:div w:id="904266319">
          <w:marLeft w:val="0"/>
          <w:marRight w:val="0"/>
          <w:marTop w:val="0"/>
          <w:marBottom w:val="0"/>
          <w:divBdr>
            <w:top w:val="none" w:sz="0" w:space="0" w:color="auto"/>
            <w:left w:val="none" w:sz="0" w:space="0" w:color="auto"/>
            <w:bottom w:val="none" w:sz="0" w:space="0" w:color="auto"/>
            <w:right w:val="none" w:sz="0" w:space="0" w:color="auto"/>
          </w:divBdr>
        </w:div>
        <w:div w:id="330642140">
          <w:marLeft w:val="0"/>
          <w:marRight w:val="0"/>
          <w:marTop w:val="0"/>
          <w:marBottom w:val="0"/>
          <w:divBdr>
            <w:top w:val="none" w:sz="0" w:space="0" w:color="auto"/>
            <w:left w:val="none" w:sz="0" w:space="0" w:color="auto"/>
            <w:bottom w:val="none" w:sz="0" w:space="0" w:color="auto"/>
            <w:right w:val="none" w:sz="0" w:space="0" w:color="auto"/>
          </w:divBdr>
        </w:div>
        <w:div w:id="843861642">
          <w:marLeft w:val="0"/>
          <w:marRight w:val="0"/>
          <w:marTop w:val="0"/>
          <w:marBottom w:val="0"/>
          <w:divBdr>
            <w:top w:val="none" w:sz="0" w:space="0" w:color="auto"/>
            <w:left w:val="none" w:sz="0" w:space="0" w:color="auto"/>
            <w:bottom w:val="none" w:sz="0" w:space="0" w:color="auto"/>
            <w:right w:val="none" w:sz="0" w:space="0" w:color="auto"/>
          </w:divBdr>
        </w:div>
        <w:div w:id="396973789">
          <w:marLeft w:val="0"/>
          <w:marRight w:val="0"/>
          <w:marTop w:val="0"/>
          <w:marBottom w:val="0"/>
          <w:divBdr>
            <w:top w:val="none" w:sz="0" w:space="0" w:color="auto"/>
            <w:left w:val="none" w:sz="0" w:space="0" w:color="auto"/>
            <w:bottom w:val="none" w:sz="0" w:space="0" w:color="auto"/>
            <w:right w:val="none" w:sz="0" w:space="0" w:color="auto"/>
          </w:divBdr>
        </w:div>
        <w:div w:id="1858036600">
          <w:marLeft w:val="0"/>
          <w:marRight w:val="0"/>
          <w:marTop w:val="0"/>
          <w:marBottom w:val="0"/>
          <w:divBdr>
            <w:top w:val="none" w:sz="0" w:space="0" w:color="auto"/>
            <w:left w:val="none" w:sz="0" w:space="0" w:color="auto"/>
            <w:bottom w:val="none" w:sz="0" w:space="0" w:color="auto"/>
            <w:right w:val="none" w:sz="0" w:space="0" w:color="auto"/>
          </w:divBdr>
        </w:div>
      </w:divsChild>
    </w:div>
    <w:div w:id="327054158">
      <w:bodyDiv w:val="1"/>
      <w:marLeft w:val="0"/>
      <w:marRight w:val="0"/>
      <w:marTop w:val="0"/>
      <w:marBottom w:val="0"/>
      <w:divBdr>
        <w:top w:val="none" w:sz="0" w:space="0" w:color="auto"/>
        <w:left w:val="none" w:sz="0" w:space="0" w:color="auto"/>
        <w:bottom w:val="none" w:sz="0" w:space="0" w:color="auto"/>
        <w:right w:val="none" w:sz="0" w:space="0" w:color="auto"/>
      </w:divBdr>
    </w:div>
    <w:div w:id="331881572">
      <w:bodyDiv w:val="1"/>
      <w:marLeft w:val="0"/>
      <w:marRight w:val="0"/>
      <w:marTop w:val="0"/>
      <w:marBottom w:val="0"/>
      <w:divBdr>
        <w:top w:val="none" w:sz="0" w:space="0" w:color="auto"/>
        <w:left w:val="none" w:sz="0" w:space="0" w:color="auto"/>
        <w:bottom w:val="none" w:sz="0" w:space="0" w:color="auto"/>
        <w:right w:val="none" w:sz="0" w:space="0" w:color="auto"/>
      </w:divBdr>
      <w:divsChild>
        <w:div w:id="697321160">
          <w:marLeft w:val="446"/>
          <w:marRight w:val="0"/>
          <w:marTop w:val="0"/>
          <w:marBottom w:val="0"/>
          <w:divBdr>
            <w:top w:val="none" w:sz="0" w:space="0" w:color="auto"/>
            <w:left w:val="none" w:sz="0" w:space="0" w:color="auto"/>
            <w:bottom w:val="none" w:sz="0" w:space="0" w:color="auto"/>
            <w:right w:val="none" w:sz="0" w:space="0" w:color="auto"/>
          </w:divBdr>
        </w:div>
      </w:divsChild>
    </w:div>
    <w:div w:id="401418024">
      <w:bodyDiv w:val="1"/>
      <w:marLeft w:val="0"/>
      <w:marRight w:val="0"/>
      <w:marTop w:val="0"/>
      <w:marBottom w:val="0"/>
      <w:divBdr>
        <w:top w:val="none" w:sz="0" w:space="0" w:color="auto"/>
        <w:left w:val="none" w:sz="0" w:space="0" w:color="auto"/>
        <w:bottom w:val="none" w:sz="0" w:space="0" w:color="auto"/>
        <w:right w:val="none" w:sz="0" w:space="0" w:color="auto"/>
      </w:divBdr>
    </w:div>
    <w:div w:id="464393848">
      <w:bodyDiv w:val="1"/>
      <w:marLeft w:val="0"/>
      <w:marRight w:val="0"/>
      <w:marTop w:val="0"/>
      <w:marBottom w:val="0"/>
      <w:divBdr>
        <w:top w:val="none" w:sz="0" w:space="0" w:color="auto"/>
        <w:left w:val="none" w:sz="0" w:space="0" w:color="auto"/>
        <w:bottom w:val="none" w:sz="0" w:space="0" w:color="auto"/>
        <w:right w:val="none" w:sz="0" w:space="0" w:color="auto"/>
      </w:divBdr>
    </w:div>
    <w:div w:id="769853872">
      <w:bodyDiv w:val="1"/>
      <w:marLeft w:val="0"/>
      <w:marRight w:val="0"/>
      <w:marTop w:val="0"/>
      <w:marBottom w:val="0"/>
      <w:divBdr>
        <w:top w:val="none" w:sz="0" w:space="0" w:color="auto"/>
        <w:left w:val="none" w:sz="0" w:space="0" w:color="auto"/>
        <w:bottom w:val="none" w:sz="0" w:space="0" w:color="auto"/>
        <w:right w:val="none" w:sz="0" w:space="0" w:color="auto"/>
      </w:divBdr>
    </w:div>
    <w:div w:id="870412033">
      <w:bodyDiv w:val="1"/>
      <w:marLeft w:val="0"/>
      <w:marRight w:val="0"/>
      <w:marTop w:val="0"/>
      <w:marBottom w:val="0"/>
      <w:divBdr>
        <w:top w:val="none" w:sz="0" w:space="0" w:color="auto"/>
        <w:left w:val="none" w:sz="0" w:space="0" w:color="auto"/>
        <w:bottom w:val="none" w:sz="0" w:space="0" w:color="auto"/>
        <w:right w:val="none" w:sz="0" w:space="0" w:color="auto"/>
      </w:divBdr>
    </w:div>
    <w:div w:id="904803612">
      <w:bodyDiv w:val="1"/>
      <w:marLeft w:val="0"/>
      <w:marRight w:val="0"/>
      <w:marTop w:val="0"/>
      <w:marBottom w:val="0"/>
      <w:divBdr>
        <w:top w:val="none" w:sz="0" w:space="0" w:color="auto"/>
        <w:left w:val="none" w:sz="0" w:space="0" w:color="auto"/>
        <w:bottom w:val="none" w:sz="0" w:space="0" w:color="auto"/>
        <w:right w:val="none" w:sz="0" w:space="0" w:color="auto"/>
      </w:divBdr>
    </w:div>
    <w:div w:id="925923272">
      <w:bodyDiv w:val="1"/>
      <w:marLeft w:val="0"/>
      <w:marRight w:val="0"/>
      <w:marTop w:val="0"/>
      <w:marBottom w:val="0"/>
      <w:divBdr>
        <w:top w:val="none" w:sz="0" w:space="0" w:color="auto"/>
        <w:left w:val="none" w:sz="0" w:space="0" w:color="auto"/>
        <w:bottom w:val="none" w:sz="0" w:space="0" w:color="auto"/>
        <w:right w:val="none" w:sz="0" w:space="0" w:color="auto"/>
      </w:divBdr>
    </w:div>
    <w:div w:id="1046024278">
      <w:bodyDiv w:val="1"/>
      <w:marLeft w:val="0"/>
      <w:marRight w:val="0"/>
      <w:marTop w:val="0"/>
      <w:marBottom w:val="0"/>
      <w:divBdr>
        <w:top w:val="none" w:sz="0" w:space="0" w:color="auto"/>
        <w:left w:val="none" w:sz="0" w:space="0" w:color="auto"/>
        <w:bottom w:val="none" w:sz="0" w:space="0" w:color="auto"/>
        <w:right w:val="none" w:sz="0" w:space="0" w:color="auto"/>
      </w:divBdr>
    </w:div>
    <w:div w:id="1128742865">
      <w:bodyDiv w:val="1"/>
      <w:marLeft w:val="0"/>
      <w:marRight w:val="0"/>
      <w:marTop w:val="0"/>
      <w:marBottom w:val="0"/>
      <w:divBdr>
        <w:top w:val="none" w:sz="0" w:space="0" w:color="auto"/>
        <w:left w:val="none" w:sz="0" w:space="0" w:color="auto"/>
        <w:bottom w:val="none" w:sz="0" w:space="0" w:color="auto"/>
        <w:right w:val="none" w:sz="0" w:space="0" w:color="auto"/>
      </w:divBdr>
    </w:div>
    <w:div w:id="1259678016">
      <w:bodyDiv w:val="1"/>
      <w:marLeft w:val="0"/>
      <w:marRight w:val="0"/>
      <w:marTop w:val="0"/>
      <w:marBottom w:val="0"/>
      <w:divBdr>
        <w:top w:val="none" w:sz="0" w:space="0" w:color="auto"/>
        <w:left w:val="none" w:sz="0" w:space="0" w:color="auto"/>
        <w:bottom w:val="none" w:sz="0" w:space="0" w:color="auto"/>
        <w:right w:val="none" w:sz="0" w:space="0" w:color="auto"/>
      </w:divBdr>
    </w:div>
    <w:div w:id="1300303183">
      <w:bodyDiv w:val="1"/>
      <w:marLeft w:val="0"/>
      <w:marRight w:val="0"/>
      <w:marTop w:val="0"/>
      <w:marBottom w:val="0"/>
      <w:divBdr>
        <w:top w:val="none" w:sz="0" w:space="0" w:color="auto"/>
        <w:left w:val="none" w:sz="0" w:space="0" w:color="auto"/>
        <w:bottom w:val="none" w:sz="0" w:space="0" w:color="auto"/>
        <w:right w:val="none" w:sz="0" w:space="0" w:color="auto"/>
      </w:divBdr>
    </w:div>
    <w:div w:id="1316760924">
      <w:bodyDiv w:val="1"/>
      <w:marLeft w:val="0"/>
      <w:marRight w:val="0"/>
      <w:marTop w:val="0"/>
      <w:marBottom w:val="0"/>
      <w:divBdr>
        <w:top w:val="none" w:sz="0" w:space="0" w:color="auto"/>
        <w:left w:val="none" w:sz="0" w:space="0" w:color="auto"/>
        <w:bottom w:val="none" w:sz="0" w:space="0" w:color="auto"/>
        <w:right w:val="none" w:sz="0" w:space="0" w:color="auto"/>
      </w:divBdr>
    </w:div>
    <w:div w:id="1359350283">
      <w:bodyDiv w:val="1"/>
      <w:marLeft w:val="0"/>
      <w:marRight w:val="0"/>
      <w:marTop w:val="0"/>
      <w:marBottom w:val="0"/>
      <w:divBdr>
        <w:top w:val="none" w:sz="0" w:space="0" w:color="auto"/>
        <w:left w:val="none" w:sz="0" w:space="0" w:color="auto"/>
        <w:bottom w:val="none" w:sz="0" w:space="0" w:color="auto"/>
        <w:right w:val="none" w:sz="0" w:space="0" w:color="auto"/>
      </w:divBdr>
    </w:div>
    <w:div w:id="1391423139">
      <w:bodyDiv w:val="1"/>
      <w:marLeft w:val="0"/>
      <w:marRight w:val="0"/>
      <w:marTop w:val="0"/>
      <w:marBottom w:val="0"/>
      <w:divBdr>
        <w:top w:val="none" w:sz="0" w:space="0" w:color="auto"/>
        <w:left w:val="none" w:sz="0" w:space="0" w:color="auto"/>
        <w:bottom w:val="none" w:sz="0" w:space="0" w:color="auto"/>
        <w:right w:val="none" w:sz="0" w:space="0" w:color="auto"/>
      </w:divBdr>
      <w:divsChild>
        <w:div w:id="973481555">
          <w:marLeft w:val="0"/>
          <w:marRight w:val="0"/>
          <w:marTop w:val="0"/>
          <w:marBottom w:val="0"/>
          <w:divBdr>
            <w:top w:val="none" w:sz="0" w:space="0" w:color="auto"/>
            <w:left w:val="none" w:sz="0" w:space="0" w:color="auto"/>
            <w:bottom w:val="none" w:sz="0" w:space="0" w:color="auto"/>
            <w:right w:val="none" w:sz="0" w:space="0" w:color="auto"/>
          </w:divBdr>
          <w:divsChild>
            <w:div w:id="15376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79428">
      <w:bodyDiv w:val="1"/>
      <w:marLeft w:val="0"/>
      <w:marRight w:val="0"/>
      <w:marTop w:val="0"/>
      <w:marBottom w:val="0"/>
      <w:divBdr>
        <w:top w:val="none" w:sz="0" w:space="0" w:color="auto"/>
        <w:left w:val="none" w:sz="0" w:space="0" w:color="auto"/>
        <w:bottom w:val="none" w:sz="0" w:space="0" w:color="auto"/>
        <w:right w:val="none" w:sz="0" w:space="0" w:color="auto"/>
      </w:divBdr>
    </w:div>
    <w:div w:id="1478494188">
      <w:bodyDiv w:val="1"/>
      <w:marLeft w:val="0"/>
      <w:marRight w:val="0"/>
      <w:marTop w:val="0"/>
      <w:marBottom w:val="0"/>
      <w:divBdr>
        <w:top w:val="none" w:sz="0" w:space="0" w:color="auto"/>
        <w:left w:val="none" w:sz="0" w:space="0" w:color="auto"/>
        <w:bottom w:val="none" w:sz="0" w:space="0" w:color="auto"/>
        <w:right w:val="none" w:sz="0" w:space="0" w:color="auto"/>
      </w:divBdr>
    </w:div>
    <w:div w:id="1506901689">
      <w:bodyDiv w:val="1"/>
      <w:marLeft w:val="0"/>
      <w:marRight w:val="0"/>
      <w:marTop w:val="0"/>
      <w:marBottom w:val="0"/>
      <w:divBdr>
        <w:top w:val="none" w:sz="0" w:space="0" w:color="auto"/>
        <w:left w:val="none" w:sz="0" w:space="0" w:color="auto"/>
        <w:bottom w:val="none" w:sz="0" w:space="0" w:color="auto"/>
        <w:right w:val="none" w:sz="0" w:space="0" w:color="auto"/>
      </w:divBdr>
    </w:div>
    <w:div w:id="1579442339">
      <w:bodyDiv w:val="1"/>
      <w:marLeft w:val="0"/>
      <w:marRight w:val="0"/>
      <w:marTop w:val="0"/>
      <w:marBottom w:val="0"/>
      <w:divBdr>
        <w:top w:val="none" w:sz="0" w:space="0" w:color="auto"/>
        <w:left w:val="none" w:sz="0" w:space="0" w:color="auto"/>
        <w:bottom w:val="none" w:sz="0" w:space="0" w:color="auto"/>
        <w:right w:val="none" w:sz="0" w:space="0" w:color="auto"/>
      </w:divBdr>
    </w:div>
    <w:div w:id="1597858921">
      <w:bodyDiv w:val="1"/>
      <w:marLeft w:val="0"/>
      <w:marRight w:val="0"/>
      <w:marTop w:val="0"/>
      <w:marBottom w:val="0"/>
      <w:divBdr>
        <w:top w:val="none" w:sz="0" w:space="0" w:color="auto"/>
        <w:left w:val="none" w:sz="0" w:space="0" w:color="auto"/>
        <w:bottom w:val="none" w:sz="0" w:space="0" w:color="auto"/>
        <w:right w:val="none" w:sz="0" w:space="0" w:color="auto"/>
      </w:divBdr>
    </w:div>
    <w:div w:id="1617637914">
      <w:bodyDiv w:val="1"/>
      <w:marLeft w:val="0"/>
      <w:marRight w:val="0"/>
      <w:marTop w:val="0"/>
      <w:marBottom w:val="0"/>
      <w:divBdr>
        <w:top w:val="none" w:sz="0" w:space="0" w:color="auto"/>
        <w:left w:val="none" w:sz="0" w:space="0" w:color="auto"/>
        <w:bottom w:val="none" w:sz="0" w:space="0" w:color="auto"/>
        <w:right w:val="none" w:sz="0" w:space="0" w:color="auto"/>
      </w:divBdr>
    </w:div>
    <w:div w:id="1667661709">
      <w:bodyDiv w:val="1"/>
      <w:marLeft w:val="0"/>
      <w:marRight w:val="0"/>
      <w:marTop w:val="0"/>
      <w:marBottom w:val="0"/>
      <w:divBdr>
        <w:top w:val="none" w:sz="0" w:space="0" w:color="auto"/>
        <w:left w:val="none" w:sz="0" w:space="0" w:color="auto"/>
        <w:bottom w:val="none" w:sz="0" w:space="0" w:color="auto"/>
        <w:right w:val="none" w:sz="0" w:space="0" w:color="auto"/>
      </w:divBdr>
      <w:divsChild>
        <w:div w:id="1272086292">
          <w:marLeft w:val="0"/>
          <w:marRight w:val="0"/>
          <w:marTop w:val="0"/>
          <w:marBottom w:val="0"/>
          <w:divBdr>
            <w:top w:val="none" w:sz="0" w:space="0" w:color="auto"/>
            <w:left w:val="none" w:sz="0" w:space="0" w:color="auto"/>
            <w:bottom w:val="none" w:sz="0" w:space="0" w:color="auto"/>
            <w:right w:val="none" w:sz="0" w:space="0" w:color="auto"/>
          </w:divBdr>
          <w:divsChild>
            <w:div w:id="1135560060">
              <w:marLeft w:val="0"/>
              <w:marRight w:val="0"/>
              <w:marTop w:val="0"/>
              <w:marBottom w:val="0"/>
              <w:divBdr>
                <w:top w:val="none" w:sz="0" w:space="0" w:color="auto"/>
                <w:left w:val="none" w:sz="0" w:space="0" w:color="auto"/>
                <w:bottom w:val="none" w:sz="0" w:space="0" w:color="auto"/>
                <w:right w:val="none" w:sz="0" w:space="0" w:color="auto"/>
              </w:divBdr>
              <w:divsChild>
                <w:div w:id="11510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65792">
      <w:bodyDiv w:val="1"/>
      <w:marLeft w:val="0"/>
      <w:marRight w:val="0"/>
      <w:marTop w:val="0"/>
      <w:marBottom w:val="0"/>
      <w:divBdr>
        <w:top w:val="none" w:sz="0" w:space="0" w:color="auto"/>
        <w:left w:val="none" w:sz="0" w:space="0" w:color="auto"/>
        <w:bottom w:val="none" w:sz="0" w:space="0" w:color="auto"/>
        <w:right w:val="none" w:sz="0" w:space="0" w:color="auto"/>
      </w:divBdr>
      <w:divsChild>
        <w:div w:id="1736395903">
          <w:marLeft w:val="547"/>
          <w:marRight w:val="0"/>
          <w:marTop w:val="0"/>
          <w:marBottom w:val="0"/>
          <w:divBdr>
            <w:top w:val="none" w:sz="0" w:space="0" w:color="auto"/>
            <w:left w:val="none" w:sz="0" w:space="0" w:color="auto"/>
            <w:bottom w:val="none" w:sz="0" w:space="0" w:color="auto"/>
            <w:right w:val="none" w:sz="0" w:space="0" w:color="auto"/>
          </w:divBdr>
        </w:div>
        <w:div w:id="598106575">
          <w:marLeft w:val="547"/>
          <w:marRight w:val="0"/>
          <w:marTop w:val="0"/>
          <w:marBottom w:val="0"/>
          <w:divBdr>
            <w:top w:val="none" w:sz="0" w:space="0" w:color="auto"/>
            <w:left w:val="none" w:sz="0" w:space="0" w:color="auto"/>
            <w:bottom w:val="none" w:sz="0" w:space="0" w:color="auto"/>
            <w:right w:val="none" w:sz="0" w:space="0" w:color="auto"/>
          </w:divBdr>
        </w:div>
        <w:div w:id="690952918">
          <w:marLeft w:val="547"/>
          <w:marRight w:val="0"/>
          <w:marTop w:val="0"/>
          <w:marBottom w:val="0"/>
          <w:divBdr>
            <w:top w:val="none" w:sz="0" w:space="0" w:color="auto"/>
            <w:left w:val="none" w:sz="0" w:space="0" w:color="auto"/>
            <w:bottom w:val="none" w:sz="0" w:space="0" w:color="auto"/>
            <w:right w:val="none" w:sz="0" w:space="0" w:color="auto"/>
          </w:divBdr>
        </w:div>
        <w:div w:id="2016766685">
          <w:marLeft w:val="547"/>
          <w:marRight w:val="0"/>
          <w:marTop w:val="0"/>
          <w:marBottom w:val="0"/>
          <w:divBdr>
            <w:top w:val="none" w:sz="0" w:space="0" w:color="auto"/>
            <w:left w:val="none" w:sz="0" w:space="0" w:color="auto"/>
            <w:bottom w:val="none" w:sz="0" w:space="0" w:color="auto"/>
            <w:right w:val="none" w:sz="0" w:space="0" w:color="auto"/>
          </w:divBdr>
        </w:div>
        <w:div w:id="809519729">
          <w:marLeft w:val="547"/>
          <w:marRight w:val="0"/>
          <w:marTop w:val="0"/>
          <w:marBottom w:val="0"/>
          <w:divBdr>
            <w:top w:val="none" w:sz="0" w:space="0" w:color="auto"/>
            <w:left w:val="none" w:sz="0" w:space="0" w:color="auto"/>
            <w:bottom w:val="none" w:sz="0" w:space="0" w:color="auto"/>
            <w:right w:val="none" w:sz="0" w:space="0" w:color="auto"/>
          </w:divBdr>
        </w:div>
      </w:divsChild>
    </w:div>
    <w:div w:id="1766073676">
      <w:bodyDiv w:val="1"/>
      <w:marLeft w:val="0"/>
      <w:marRight w:val="0"/>
      <w:marTop w:val="0"/>
      <w:marBottom w:val="0"/>
      <w:divBdr>
        <w:top w:val="none" w:sz="0" w:space="0" w:color="auto"/>
        <w:left w:val="none" w:sz="0" w:space="0" w:color="auto"/>
        <w:bottom w:val="none" w:sz="0" w:space="0" w:color="auto"/>
        <w:right w:val="none" w:sz="0" w:space="0" w:color="auto"/>
      </w:divBdr>
      <w:divsChild>
        <w:div w:id="1758360123">
          <w:marLeft w:val="446"/>
          <w:marRight w:val="0"/>
          <w:marTop w:val="0"/>
          <w:marBottom w:val="0"/>
          <w:divBdr>
            <w:top w:val="none" w:sz="0" w:space="0" w:color="auto"/>
            <w:left w:val="none" w:sz="0" w:space="0" w:color="auto"/>
            <w:bottom w:val="none" w:sz="0" w:space="0" w:color="auto"/>
            <w:right w:val="none" w:sz="0" w:space="0" w:color="auto"/>
          </w:divBdr>
        </w:div>
      </w:divsChild>
    </w:div>
    <w:div w:id="1787965367">
      <w:bodyDiv w:val="1"/>
      <w:marLeft w:val="0"/>
      <w:marRight w:val="0"/>
      <w:marTop w:val="0"/>
      <w:marBottom w:val="0"/>
      <w:divBdr>
        <w:top w:val="none" w:sz="0" w:space="0" w:color="auto"/>
        <w:left w:val="none" w:sz="0" w:space="0" w:color="auto"/>
        <w:bottom w:val="none" w:sz="0" w:space="0" w:color="auto"/>
        <w:right w:val="none" w:sz="0" w:space="0" w:color="auto"/>
      </w:divBdr>
      <w:divsChild>
        <w:div w:id="2058386156">
          <w:marLeft w:val="0"/>
          <w:marRight w:val="0"/>
          <w:marTop w:val="0"/>
          <w:marBottom w:val="0"/>
          <w:divBdr>
            <w:top w:val="none" w:sz="0" w:space="0" w:color="auto"/>
            <w:left w:val="none" w:sz="0" w:space="0" w:color="auto"/>
            <w:bottom w:val="none" w:sz="0" w:space="0" w:color="auto"/>
            <w:right w:val="none" w:sz="0" w:space="0" w:color="auto"/>
          </w:divBdr>
          <w:divsChild>
            <w:div w:id="65077952">
              <w:marLeft w:val="0"/>
              <w:marRight w:val="0"/>
              <w:marTop w:val="0"/>
              <w:marBottom w:val="0"/>
              <w:divBdr>
                <w:top w:val="none" w:sz="0" w:space="0" w:color="auto"/>
                <w:left w:val="none" w:sz="0" w:space="0" w:color="auto"/>
                <w:bottom w:val="none" w:sz="0" w:space="0" w:color="auto"/>
                <w:right w:val="none" w:sz="0" w:space="0" w:color="auto"/>
              </w:divBdr>
              <w:divsChild>
                <w:div w:id="161316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82664">
      <w:bodyDiv w:val="1"/>
      <w:marLeft w:val="0"/>
      <w:marRight w:val="0"/>
      <w:marTop w:val="0"/>
      <w:marBottom w:val="0"/>
      <w:divBdr>
        <w:top w:val="none" w:sz="0" w:space="0" w:color="auto"/>
        <w:left w:val="none" w:sz="0" w:space="0" w:color="auto"/>
        <w:bottom w:val="none" w:sz="0" w:space="0" w:color="auto"/>
        <w:right w:val="none" w:sz="0" w:space="0" w:color="auto"/>
      </w:divBdr>
      <w:divsChild>
        <w:div w:id="17390221">
          <w:marLeft w:val="446"/>
          <w:marRight w:val="0"/>
          <w:marTop w:val="0"/>
          <w:marBottom w:val="0"/>
          <w:divBdr>
            <w:top w:val="none" w:sz="0" w:space="0" w:color="auto"/>
            <w:left w:val="none" w:sz="0" w:space="0" w:color="auto"/>
            <w:bottom w:val="none" w:sz="0" w:space="0" w:color="auto"/>
            <w:right w:val="none" w:sz="0" w:space="0" w:color="auto"/>
          </w:divBdr>
        </w:div>
        <w:div w:id="753668424">
          <w:marLeft w:val="446"/>
          <w:marRight w:val="0"/>
          <w:marTop w:val="0"/>
          <w:marBottom w:val="0"/>
          <w:divBdr>
            <w:top w:val="none" w:sz="0" w:space="0" w:color="auto"/>
            <w:left w:val="none" w:sz="0" w:space="0" w:color="auto"/>
            <w:bottom w:val="none" w:sz="0" w:space="0" w:color="auto"/>
            <w:right w:val="none" w:sz="0" w:space="0" w:color="auto"/>
          </w:divBdr>
        </w:div>
        <w:div w:id="928542421">
          <w:marLeft w:val="446"/>
          <w:marRight w:val="0"/>
          <w:marTop w:val="0"/>
          <w:marBottom w:val="0"/>
          <w:divBdr>
            <w:top w:val="none" w:sz="0" w:space="0" w:color="auto"/>
            <w:left w:val="none" w:sz="0" w:space="0" w:color="auto"/>
            <w:bottom w:val="none" w:sz="0" w:space="0" w:color="auto"/>
            <w:right w:val="none" w:sz="0" w:space="0" w:color="auto"/>
          </w:divBdr>
        </w:div>
      </w:divsChild>
    </w:div>
    <w:div w:id="1879707282">
      <w:bodyDiv w:val="1"/>
      <w:marLeft w:val="0"/>
      <w:marRight w:val="0"/>
      <w:marTop w:val="0"/>
      <w:marBottom w:val="0"/>
      <w:divBdr>
        <w:top w:val="none" w:sz="0" w:space="0" w:color="auto"/>
        <w:left w:val="none" w:sz="0" w:space="0" w:color="auto"/>
        <w:bottom w:val="none" w:sz="0" w:space="0" w:color="auto"/>
        <w:right w:val="none" w:sz="0" w:space="0" w:color="auto"/>
      </w:divBdr>
    </w:div>
    <w:div w:id="1889216586">
      <w:bodyDiv w:val="1"/>
      <w:marLeft w:val="0"/>
      <w:marRight w:val="0"/>
      <w:marTop w:val="0"/>
      <w:marBottom w:val="0"/>
      <w:divBdr>
        <w:top w:val="none" w:sz="0" w:space="0" w:color="auto"/>
        <w:left w:val="none" w:sz="0" w:space="0" w:color="auto"/>
        <w:bottom w:val="none" w:sz="0" w:space="0" w:color="auto"/>
        <w:right w:val="none" w:sz="0" w:space="0" w:color="auto"/>
      </w:divBdr>
    </w:div>
    <w:div w:id="1941061072">
      <w:bodyDiv w:val="1"/>
      <w:marLeft w:val="0"/>
      <w:marRight w:val="0"/>
      <w:marTop w:val="0"/>
      <w:marBottom w:val="0"/>
      <w:divBdr>
        <w:top w:val="none" w:sz="0" w:space="0" w:color="auto"/>
        <w:left w:val="none" w:sz="0" w:space="0" w:color="auto"/>
        <w:bottom w:val="none" w:sz="0" w:space="0" w:color="auto"/>
        <w:right w:val="none" w:sz="0" w:space="0" w:color="auto"/>
      </w:divBdr>
    </w:div>
    <w:div w:id="1959097903">
      <w:bodyDiv w:val="1"/>
      <w:marLeft w:val="0"/>
      <w:marRight w:val="0"/>
      <w:marTop w:val="0"/>
      <w:marBottom w:val="0"/>
      <w:divBdr>
        <w:top w:val="none" w:sz="0" w:space="0" w:color="auto"/>
        <w:left w:val="none" w:sz="0" w:space="0" w:color="auto"/>
        <w:bottom w:val="none" w:sz="0" w:space="0" w:color="auto"/>
        <w:right w:val="none" w:sz="0" w:space="0" w:color="auto"/>
      </w:divBdr>
      <w:divsChild>
        <w:div w:id="134881983">
          <w:marLeft w:val="446"/>
          <w:marRight w:val="0"/>
          <w:marTop w:val="0"/>
          <w:marBottom w:val="0"/>
          <w:divBdr>
            <w:top w:val="none" w:sz="0" w:space="0" w:color="auto"/>
            <w:left w:val="none" w:sz="0" w:space="0" w:color="auto"/>
            <w:bottom w:val="none" w:sz="0" w:space="0" w:color="auto"/>
            <w:right w:val="none" w:sz="0" w:space="0" w:color="auto"/>
          </w:divBdr>
        </w:div>
        <w:div w:id="783235878">
          <w:marLeft w:val="446"/>
          <w:marRight w:val="0"/>
          <w:marTop w:val="0"/>
          <w:marBottom w:val="0"/>
          <w:divBdr>
            <w:top w:val="none" w:sz="0" w:space="0" w:color="auto"/>
            <w:left w:val="none" w:sz="0" w:space="0" w:color="auto"/>
            <w:bottom w:val="none" w:sz="0" w:space="0" w:color="auto"/>
            <w:right w:val="none" w:sz="0" w:space="0" w:color="auto"/>
          </w:divBdr>
        </w:div>
        <w:div w:id="893857131">
          <w:marLeft w:val="446"/>
          <w:marRight w:val="0"/>
          <w:marTop w:val="0"/>
          <w:marBottom w:val="0"/>
          <w:divBdr>
            <w:top w:val="none" w:sz="0" w:space="0" w:color="auto"/>
            <w:left w:val="none" w:sz="0" w:space="0" w:color="auto"/>
            <w:bottom w:val="none" w:sz="0" w:space="0" w:color="auto"/>
            <w:right w:val="none" w:sz="0" w:space="0" w:color="auto"/>
          </w:divBdr>
        </w:div>
      </w:divsChild>
    </w:div>
    <w:div w:id="1959412170">
      <w:bodyDiv w:val="1"/>
      <w:marLeft w:val="0"/>
      <w:marRight w:val="0"/>
      <w:marTop w:val="0"/>
      <w:marBottom w:val="0"/>
      <w:divBdr>
        <w:top w:val="none" w:sz="0" w:space="0" w:color="auto"/>
        <w:left w:val="none" w:sz="0" w:space="0" w:color="auto"/>
        <w:bottom w:val="none" w:sz="0" w:space="0" w:color="auto"/>
        <w:right w:val="none" w:sz="0" w:space="0" w:color="auto"/>
      </w:divBdr>
    </w:div>
    <w:div w:id="2054230237">
      <w:bodyDiv w:val="1"/>
      <w:marLeft w:val="0"/>
      <w:marRight w:val="0"/>
      <w:marTop w:val="0"/>
      <w:marBottom w:val="0"/>
      <w:divBdr>
        <w:top w:val="none" w:sz="0" w:space="0" w:color="auto"/>
        <w:left w:val="none" w:sz="0" w:space="0" w:color="auto"/>
        <w:bottom w:val="none" w:sz="0" w:space="0" w:color="auto"/>
        <w:right w:val="none" w:sz="0" w:space="0" w:color="auto"/>
      </w:divBdr>
    </w:div>
    <w:div w:id="2065323896">
      <w:bodyDiv w:val="1"/>
      <w:marLeft w:val="0"/>
      <w:marRight w:val="0"/>
      <w:marTop w:val="0"/>
      <w:marBottom w:val="0"/>
      <w:divBdr>
        <w:top w:val="none" w:sz="0" w:space="0" w:color="auto"/>
        <w:left w:val="none" w:sz="0" w:space="0" w:color="auto"/>
        <w:bottom w:val="none" w:sz="0" w:space="0" w:color="auto"/>
        <w:right w:val="none" w:sz="0" w:space="0" w:color="auto"/>
      </w:divBdr>
    </w:div>
    <w:div w:id="2133747526">
      <w:bodyDiv w:val="1"/>
      <w:marLeft w:val="0"/>
      <w:marRight w:val="0"/>
      <w:marTop w:val="0"/>
      <w:marBottom w:val="0"/>
      <w:divBdr>
        <w:top w:val="none" w:sz="0" w:space="0" w:color="auto"/>
        <w:left w:val="none" w:sz="0" w:space="0" w:color="auto"/>
        <w:bottom w:val="none" w:sz="0" w:space="0" w:color="auto"/>
        <w:right w:val="none" w:sz="0" w:space="0" w:color="auto"/>
      </w:divBdr>
      <w:divsChild>
        <w:div w:id="1062827476">
          <w:marLeft w:val="0"/>
          <w:marRight w:val="0"/>
          <w:marTop w:val="34"/>
          <w:marBottom w:val="34"/>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ordensklinikum.at/de/patienten/abteilungen/labors/labor-fuer-molekulargenetische-diagnostik/zuweisungen-und-formulare/"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gif"/><Relationship Id="rId32" Type="http://schemas.openxmlformats.org/officeDocument/2006/relationships/image" Target="media/image17.png"/><Relationship Id="rId37" Type="http://schemas.openxmlformats.org/officeDocument/2006/relationships/image" Target="media/image22.gif"/><Relationship Id="rId40" Type="http://schemas.openxmlformats.org/officeDocument/2006/relationships/image" Target="media/image25.png"/><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gi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footer" Target="footer3.xml"/><Relationship Id="rId52"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8.gif"/><Relationship Id="rId27" Type="http://schemas.openxmlformats.org/officeDocument/2006/relationships/hyperlink" Target="http://www.leukemia-net.org/content/leukemias/aml/apl/apl_recommendations/index_eng.html"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4.xml"/><Relationship Id="rId48" Type="http://schemas.openxmlformats.org/officeDocument/2006/relationships/glossaryDocument" Target="glossary/document.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051CD9AAA8D4651B2F1E88EC3F37254"/>
        <w:category>
          <w:name w:val="Allgemein"/>
          <w:gallery w:val="placeholder"/>
        </w:category>
        <w:types>
          <w:type w:val="bbPlcHdr"/>
        </w:types>
        <w:behaviors>
          <w:behavior w:val="content"/>
        </w:behaviors>
        <w:guid w:val="{FED90E4C-8C59-41B4-98FC-5B0767FAB110}"/>
      </w:docPartPr>
      <w:docPartBody>
        <w:p w:rsidR="00C9385A" w:rsidRDefault="00741567">
          <w:pPr>
            <w:pStyle w:val="2051CD9AAA8D4651B2F1E88EC3F37254"/>
          </w:pPr>
          <w:r w:rsidRPr="00EC3CFE">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OTNEJMQuadraat">
    <w:altName w:val="Yu Gothic"/>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C9385A"/>
    <w:rsid w:val="00034E63"/>
    <w:rsid w:val="000F0598"/>
    <w:rsid w:val="00121FC6"/>
    <w:rsid w:val="00163996"/>
    <w:rsid w:val="001C4350"/>
    <w:rsid w:val="001D7808"/>
    <w:rsid w:val="001E15EB"/>
    <w:rsid w:val="00217153"/>
    <w:rsid w:val="002B04CA"/>
    <w:rsid w:val="002B2FD2"/>
    <w:rsid w:val="002D0037"/>
    <w:rsid w:val="002E5E2A"/>
    <w:rsid w:val="003207F8"/>
    <w:rsid w:val="003A13AC"/>
    <w:rsid w:val="003C0104"/>
    <w:rsid w:val="00544701"/>
    <w:rsid w:val="005666A7"/>
    <w:rsid w:val="005679F2"/>
    <w:rsid w:val="005D38F5"/>
    <w:rsid w:val="005E24B1"/>
    <w:rsid w:val="00646277"/>
    <w:rsid w:val="006E7FA5"/>
    <w:rsid w:val="00702A56"/>
    <w:rsid w:val="00727E5A"/>
    <w:rsid w:val="007327C8"/>
    <w:rsid w:val="00741567"/>
    <w:rsid w:val="007A03F8"/>
    <w:rsid w:val="007D0A40"/>
    <w:rsid w:val="007E33AD"/>
    <w:rsid w:val="00824D10"/>
    <w:rsid w:val="00892AFA"/>
    <w:rsid w:val="008F2D7D"/>
    <w:rsid w:val="00964A4E"/>
    <w:rsid w:val="00AC48CE"/>
    <w:rsid w:val="00B72BCD"/>
    <w:rsid w:val="00BC508C"/>
    <w:rsid w:val="00C16445"/>
    <w:rsid w:val="00C16853"/>
    <w:rsid w:val="00C64FE2"/>
    <w:rsid w:val="00C67B2A"/>
    <w:rsid w:val="00C9385A"/>
    <w:rsid w:val="00CF52DE"/>
    <w:rsid w:val="00D14E98"/>
    <w:rsid w:val="00D72EB7"/>
    <w:rsid w:val="00DE26DF"/>
    <w:rsid w:val="00DE6520"/>
    <w:rsid w:val="00E403EF"/>
    <w:rsid w:val="00E62305"/>
    <w:rsid w:val="00E736FB"/>
    <w:rsid w:val="00E74D13"/>
    <w:rsid w:val="00EF2C19"/>
    <w:rsid w:val="00F21A0F"/>
    <w:rsid w:val="00F24D5C"/>
    <w:rsid w:val="00F250F7"/>
    <w:rsid w:val="00F2771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4:docId w14:val="2A002929"/>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207F8"/>
    <w:rPr>
      <w:color w:val="808080"/>
    </w:rPr>
  </w:style>
  <w:style w:type="paragraph" w:customStyle="1" w:styleId="2051CD9AAA8D4651B2F1E88EC3F37254">
    <w:name w:val="2051CD9AAA8D4651B2F1E88EC3F37254"/>
    <w:rsid w:val="003207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eitlinie" ma:contentTypeID="0x010100702417A06B9047CAB652CC4AA8856879007A6474B24F3947A8AB0E117FB186CABB009255144ACA0D4F4497381DBA8E2574A4" ma:contentTypeVersion="30" ma:contentTypeDescription="" ma:contentTypeScope="" ma:versionID="1f7a6b31271d44cc590f845a31a803e4">
  <xsd:schema xmlns:xsd="http://www.w3.org/2001/XMLSchema" xmlns:xs="http://www.w3.org/2001/XMLSchema" xmlns:p="http://schemas.microsoft.com/office/2006/metadata/properties" xmlns:ns1="http://schemas.microsoft.com/sharepoint/v3" xmlns:ns2="18c45198-6fc7-4da6-aad9-951c94b71f4f" xmlns:ns3="824990fe-55f0-45e8-a37e-05db7cf8aedc" targetNamespace="http://schemas.microsoft.com/office/2006/metadata/properties" ma:root="true" ma:fieldsID="d4c57224080659064694c2fc513c7b38" ns1:_="" ns2:_="" ns3:_="">
    <xsd:import namespace="http://schemas.microsoft.com/sharepoint/v3"/>
    <xsd:import namespace="18c45198-6fc7-4da6-aad9-951c94b71f4f"/>
    <xsd:import namespace="824990fe-55f0-45e8-a37e-05db7cf8aedc"/>
    <xsd:element name="properties">
      <xsd:complexType>
        <xsd:sequence>
          <xsd:element name="documentManagement">
            <xsd:complexType>
              <xsd:all>
                <xsd:element ref="ns1:dfr_actionlink" minOccurs="0"/>
                <xsd:element ref="ns1:dfr_finishedtecapprovers" minOccurs="0"/>
                <xsd:element ref="ns1:dfr_finishedcheckers" minOccurs="0"/>
                <xsd:element ref="ns1:dfr_finishedorgapprovers" minOccurs="0"/>
                <xsd:element ref="ns1:dfr_approvalid" minOccurs="0"/>
                <xsd:element ref="ns1:dfr_archived" minOccurs="0"/>
                <xsd:element ref="ns1:dfr_comments" minOccurs="0"/>
                <xsd:element ref="ns1:dfr_contenttype" minOccurs="0"/>
                <xsd:element ref="ns1:dfr_headernote" minOccurs="0"/>
                <xsd:element ref="ns1:dfr_lastnotification" minOccurs="0"/>
                <xsd:element ref="ns1:dfr_lastrevision" minOccurs="0"/>
                <xsd:element ref="ns1:dfr_nextrevision" minOccurs="0"/>
                <xsd:element ref="ns1:dfr_revision" minOccurs="0"/>
                <xsd:element ref="ns1:dfr_pendingtecapprovers" minOccurs="0"/>
                <xsd:element ref="ns1:dfr_pendingcheckers" minOccurs="0"/>
                <xsd:element ref="ns1:dfr_pendingorgapprovers" minOccurs="0"/>
                <xsd:element ref="ns1:dfr_department" minOccurs="0"/>
                <xsd:element ref="ns1:dfr_prevdepartment" minOccurs="0"/>
                <xsd:element ref="ns1:dfr_taskid" minOccurs="0"/>
                <xsd:element ref="ns1:dfr_taskowner" minOccurs="0"/>
                <xsd:element ref="ns1:dfr_taskinitializer" minOccurs="0"/>
                <xsd:element ref="ns1:dfr_creator" minOccurs="0"/>
                <xsd:element ref="ns1:dfr_defaultcheckers" minOccurs="0"/>
                <xsd:element ref="ns1:dfr_defaultorgapprovers" minOccurs="0"/>
                <xsd:element ref="ns1:dfr_orgunit" minOccurs="0"/>
                <xsd:element ref="ns1:dfr_orgscope" minOccurs="0"/>
                <xsd:element ref="ns1:dfr_taskownerresponsibility" minOccurs="0"/>
                <xsd:element ref="ns1:dfr_publisheddate" minOccurs="0"/>
                <xsd:element ref="ns2:dfr_classification" minOccurs="0"/>
                <xsd:element ref="ns1:dfr_location" minOccurs="0"/>
                <xsd:element ref="ns2:dfr_majorversion" minOccurs="0"/>
                <xsd:element ref="ns2:dfr_nextasknotification" minOccurs="0"/>
                <xsd:element ref="ns1:dfr_inforecipients" minOccurs="0"/>
                <xsd:element ref="ns1:dfr_infodistributionlist" minOccurs="0"/>
                <xsd:element ref="ns3:TaxKeywordTaxHTField" minOccurs="0"/>
                <xsd:element ref="ns3:TaxCatchAll" minOccurs="0"/>
                <xsd:element ref="ns3:TaxCatchAllLabel" minOccurs="0"/>
                <xsd:element ref="ns1:customfield_major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fr_actionlink" ma:index="2" nillable="true" ma:displayName="Aktion" ma:description="" ma:format="Hyperlink" ma:hidden="true" ma:internalName="dfr_actionlink">
      <xsd:simpleType>
        <xsd:restriction base="dms:Unknown"/>
      </xsd:simpleType>
    </xsd:element>
    <xsd:element name="dfr_finishedtecapprovers" ma:index="3" nillable="true" ma:displayName="wurde fachl. freig. durch" ma:description="" ma:hidden="true" ma:list="UserInfo" ma:internalName="dfr_finished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checkers" ma:index="4" nillable="true" ma:displayName="wurde geprüft durch" ma:description="" ma:hidden="true" ma:list="UserInfo" ma:internalName="dfr_finished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orgapprovers" ma:index="5" nillable="true" ma:displayName="wurde org. freig. durch" ma:description="" ma:hidden="true" ma:list="UserInfo" ma:internalName="dfr_finished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approvalid" ma:index="6" nillable="true" ma:displayName="Freigabe ID" ma:description="-" ma:hidden="true" ma:internalName="dfr_approvalid">
      <xsd:simpleType>
        <xsd:restriction base="dms:Text">
          <xsd:maxLength value="512"/>
        </xsd:restriction>
      </xsd:simpleType>
    </xsd:element>
    <xsd:element name="dfr_archived" ma:index="7" nillable="true" ma:displayName="Archiviert" ma:description="" ma:hidden="true" ma:internalName="dfr_archived">
      <xsd:simpleType>
        <xsd:restriction base="dms:Text"/>
      </xsd:simpleType>
    </xsd:element>
    <xsd:element name="dfr_comments" ma:index="8" nillable="true" ma:displayName="Kommentare" ma:description="-" ma:hidden="true" ma:internalName="dfr_comments">
      <xsd:simpleType>
        <xsd:restriction base="dms:Note"/>
      </xsd:simpleType>
    </xsd:element>
    <xsd:element name="dfr_contenttype" ma:index="9" nillable="true" ma:displayName="Inhalt" ma:description="" ma:hidden="true" ma:internalName="dfr_contenttype">
      <xsd:simpleType>
        <xsd:restriction base="dms:Text">
          <xsd:maxLength value="255"/>
        </xsd:restriction>
      </xsd:simpleType>
    </xsd:element>
    <xsd:element name="dfr_headernote" ma:index="10" nillable="true" ma:displayName="Vermerk" ma:description="" ma:format="Dropdown" ma:hidden="true" ma:internalName="dfr_headernote" ma:readOnly="false">
      <xsd:simpleType>
        <xsd:restriction base="dms:Choice">
          <xsd:enumeration value="Kein Vermerk"/>
          <xsd:enumeration value="Freigabe Geschäftsführung"/>
          <xsd:enumeration value="Freigabe KOFÜ"/>
        </xsd:restriction>
      </xsd:simpleType>
    </xsd:element>
    <xsd:element name="dfr_lastnotification" ma:index="11" nillable="true" ma:displayName="Rev. Benachrichtigung" ma:description="Beschreibt, wann die letzte Revisionsbenachrichtigung gesendet wurde. " ma:format="DateTime" ma:hidden="true" ma:internalName="dfr_lastnotification" ma:readOnly="false">
      <xsd:simpleType>
        <xsd:restriction base="dms:DateTime"/>
      </xsd:simpleType>
    </xsd:element>
    <xsd:element name="dfr_lastrevision" ma:index="12" nillable="true" ma:displayName="letzte Revision" ma:description="" ma:format="DateOnly" ma:hidden="true" ma:internalName="dfr_lastrevision">
      <xsd:simpleType>
        <xsd:restriction base="dms:DateTime"/>
      </xsd:simpleType>
    </xsd:element>
    <xsd:element name="dfr_nextrevision" ma:index="13" nillable="true" ma:displayName="nächste Revision" ma:description="" ma:format="DateOnly" ma:hidden="true" ma:internalName="dfr_nextrevision">
      <xsd:simpleType>
        <xsd:restriction base="dms:DateTime"/>
      </xsd:simpleType>
    </xsd:element>
    <xsd:element name="dfr_revision" ma:index="14" nillable="true" ma:displayName="Revision" ma:description="" ma:hidden="true" ma:internalName="dfr_revision" ma:readOnly="false">
      <xsd:simpleType>
        <xsd:restriction base="dms:Text">
          <xsd:maxLength value="255"/>
        </xsd:restriction>
      </xsd:simpleType>
    </xsd:element>
    <xsd:element name="dfr_pendingtecapprovers" ma:index="15" nillable="true" ma:displayName="wird fachl. freig. durch" ma:description="-" ma:hidden="true" ma:list="UserInfo" ma:internalName="dfr_pending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checkers" ma:index="16" nillable="true" ma:displayName="wird geprüft durch" ma:description="" ma:hidden="true" ma:list="UserInfo" ma:internalName="dfr_pending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orgapprovers" ma:index="17" nillable="true" ma:displayName="wird org. freig. durch" ma:description="-" ma:hidden="true" ma:list="UserInfo" ma:internalName="dfr_pending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partment" ma:index="18" nillable="true" ma:displayName="Bereich" ma:default="zu setzen" ma:description="" ma:format="Dropdown" ma:internalName="dfr_department" ma:readOnly="false">
      <xsd:simpleType>
        <xsd:restriction base="dms:Choice">
          <xsd:enumeration value="Brustgesundheitszentrum"/>
          <xsd:enumeration value="CATO"/>
          <xsd:enumeration value="Celsius 37"/>
          <xsd:enumeration value="Forschung"/>
          <xsd:enumeration value="Hepatobiläres Board"/>
          <xsd:enumeration value="Leitlinien Hämatologie"/>
          <xsd:enumeration value="Leitlinien solide Tumore"/>
          <xsd:enumeration value="Leitlinien sonstige"/>
          <xsd:enumeration value="Organisation"/>
          <xsd:enumeration value="zu setzen"/>
        </xsd:restriction>
      </xsd:simpleType>
    </xsd:element>
    <xsd:element name="dfr_prevdepartment" ma:index="19" nillable="true" ma:displayName="Bereich (vor Archiv)" ma:description="" ma:hidden="true" ma:internalName="dfr_prevdepartment">
      <xsd:simpleType>
        <xsd:restriction base="dms:Text">
          <xsd:maxLength value="255"/>
        </xsd:restriction>
      </xsd:simpleType>
    </xsd:element>
    <xsd:element name="dfr_taskid" ma:index="20" nillable="true" ma:displayName="Aufgabe ID" ma:description="-" ma:hidden="true" ma:internalName="dfr_taskid" ma:percentage="FALSE">
      <xsd:simpleType>
        <xsd:restriction base="dms:Number">
          <xsd:maxInclusive value="9999999999999"/>
          <xsd:minInclusive value="0"/>
        </xsd:restriction>
      </xsd:simpleType>
    </xsd:element>
    <xsd:element name="dfr_taskowner" ma:index="21" nillable="true" ma:displayName="Aktueller Prüfer/Freigeber" ma:description="" ma:hidden="true" ma:list="UserInfo" ma:internalName="dfr_task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taskinitializer" ma:index="22" nillable="true" ma:displayName="Freigabe eingeleitet durch" ma:description="" ma:hidden="true" ma:list="UserInfo" ma:internalName="dfr_taskinitializ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creator" ma:index="23" nillable="true" ma:displayName="Ersteller" ma:description="" ma:list="UserInfo" ma:SearchPeopleOnly="false" ma:SharePointGroup="0" ma:internalName="dfr_crea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checkers" ma:index="24" nillable="true" ma:displayName="Prüfer" ma:description="" ma:hidden="true" ma:list="UserInfo" ma:internalName="dfr_default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orgapprovers" ma:index="25" nillable="true" ma:displayName="Freigeber" ma:description="" ma:hidden="true" ma:list="UserInfo" ma:internalName="dfr_default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orgunit" ma:index="26" nillable="true" ma:displayName="Organisationseinheit" ma:default="OÖG" ma:format="Dropdown" ma:internalName="dfr_orgunit" ma:readOnly="false">
      <xsd:simpleType>
        <xsd:union memberTypes="dms:Text">
          <xsd:simpleType>
            <xsd:restriction base="dms:Choice">
              <xsd:enumeration value="Alle Organisationseinheiten"/>
              <xsd:enumeration value="OÖG"/>
              <xsd:enumeration value="Tumorzentrum"/>
            </xsd:restriction>
          </xsd:simpleType>
        </xsd:union>
      </xsd:simpleType>
    </xsd:element>
    <xsd:element name="dfr_orgscope" ma:index="27" nillable="true" ma:displayName="Gültigkeitsbereich" ma:internalName="dfr_orgscope" ma:readOnly="false">
      <xsd:complexType>
        <xsd:complexContent>
          <xsd:extension base="dms:MultiChoice">
            <xsd:sequence>
              <xsd:element name="Value" maxOccurs="unbounded" minOccurs="0" nillable="true">
                <xsd:simpleType>
                  <xsd:restriction base="dms:Choice">
                    <xsd:enumeration value="OÖG"/>
                    <xsd:enumeration value="Kepler Universitätsklinikum"/>
                    <xsd:enumeration value="Finanzdirektion"/>
                    <xsd:enumeration value="Konzernrevision"/>
                    <xsd:enumeration value="Klinikum Freistadt"/>
                    <xsd:enumeration value="Klinikum Rohrbach"/>
                    <xsd:enumeration value="Klinikum Schärding"/>
                    <xsd:enumeration value="Kompetenzmanagement Pflege"/>
                    <xsd:enumeration value="Medizinische Direktion"/>
                    <xsd:enumeration value="Personaldirektion"/>
                    <xsd:enumeration value="Public Relations und Kommunikation"/>
                    <xsd:enumeration value="Pyhrn-Eisenwurzen Klinikum"/>
                    <xsd:enumeration value="Pyhrn-Eisenwurzen Klinikum Kirchdorf"/>
                    <xsd:enumeration value="Pyhrn-Eisenwurzen Klinikum Steyr"/>
                    <xsd:enumeration value="Recht"/>
                    <xsd:enumeration value="Salzkammergut Klinikum"/>
                    <xsd:enumeration value="SK Bad Ischl"/>
                    <xsd:enumeration value="SK Gmunden"/>
                    <xsd:enumeration value="SK Vöcklabruck"/>
                    <xsd:enumeration value="Technische Direktion"/>
                    <xsd:enumeration value="Tumorzentrum"/>
                  </xsd:restriction>
                </xsd:simpleType>
              </xsd:element>
            </xsd:sequence>
          </xsd:extension>
        </xsd:complexContent>
      </xsd:complexType>
    </xsd:element>
    <xsd:element name="dfr_taskownerresponsibility" ma:index="28" nillable="true" ma:displayName="Zuständigkeit" ma:description="" ma:hidden="true" ma:internalName="dfr_taskownerresponsibility">
      <xsd:simpleType>
        <xsd:restriction base="dms:Text">
          <xsd:maxLength value="255"/>
        </xsd:restriction>
      </xsd:simpleType>
    </xsd:element>
    <xsd:element name="dfr_publisheddate" ma:index="29" nillable="true" ma:displayName="Veröffentlichungsdatum" ma:description="" ma:format="DateTime" ma:hidden="true" ma:internalName="dfr_publisheddate">
      <xsd:simpleType>
        <xsd:restriction base="dms:DateTime"/>
      </xsd:simpleType>
    </xsd:element>
    <xsd:element name="dfr_location" ma:index="31" nillable="true" ma:displayName="Standort Kürzel" ma:description="Wird automatisch befüllt." ma:hidden="true" ma:internalName="dfr_location">
      <xsd:simpleType>
        <xsd:restriction base="dms:Text">
          <xsd:maxLength value="255"/>
        </xsd:restriction>
      </xsd:simpleType>
    </xsd:element>
    <xsd:element name="dfr_inforecipients" ma:index="34" nillable="true" ma:displayName="Empfängerkreis" ma:description="Diese Personen erhalten nach jeder Veröffentlichung des Dokuments eine Informationsmail." ma:hidden="true" ma:list="UserInfo" ma:internalName="dfr_inforecipient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infodistributionlist" ma:index="40" nillable="true" ma:displayName="Verteilerliste" ma:description="" ma:format="Dropdown" ma:hidden="true" ma:internalName="dfr_infodistributionlist" ma:readOnly="false">
      <xsd:simpleType>
        <xsd:restriction base="dms:Choice">
          <xsd:enumeration value="Beschreibung der 1. Liste (webmaster@gespag.at)"/>
          <xsd:enumeration value="Beschreibung der 2. Liste (webmaster@gespag.at)"/>
          <xsd:enumeration value="Beschreibung der 3. Liste (webmaster@gespag.at)"/>
        </xsd:restriction>
      </xsd:simpleType>
    </xsd:element>
    <xsd:element name="customfield_majorversion" ma:index="44" nillable="true" ma:displayName="Link zur Hauptversion" ma:description="" ma:format="Hyperlink" ma:hidden="true" ma:internalName="customfield_majorversion">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c45198-6fc7-4da6-aad9-951c94b71f4f" elementFormDefault="qualified">
    <xsd:import namespace="http://schemas.microsoft.com/office/2006/documentManagement/types"/>
    <xsd:import namespace="http://schemas.microsoft.com/office/infopath/2007/PartnerControls"/>
    <xsd:element name="dfr_classification" ma:index="30" nillable="true" ma:displayName="Klassifizierung" ma:default="eingeschränkt" ma:description="" ma:format="Dropdown" ma:internalName="dfr_classification" ma:readOnly="false">
      <xsd:simpleType>
        <xsd:restriction base="dms:Choice">
          <xsd:enumeration value="geheim"/>
          <xsd:enumeration value="vertraulich"/>
          <xsd:enumeration value="eingeschränkt"/>
          <xsd:enumeration value="öffentlich"/>
        </xsd:restriction>
      </xsd:simpleType>
    </xsd:element>
    <xsd:element name="dfr_majorversion" ma:index="32" nillable="true" ma:displayName="HVersion" ma:description="" ma:hidden="true" ma:internalName="dfr_majorversion">
      <xsd:simpleType>
        <xsd:restriction base="dms:Text"/>
      </xsd:simpleType>
    </xsd:element>
    <xsd:element name="dfr_nextasknotification" ma:index="33" nillable="true" ma:displayName="Aufgabenbenachrichtigung ab" ma:description="" ma:format="DateTime" ma:hidden="true" ma:internalName="dfr_nextasknotification">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4990fe-55f0-45e8-a37e-05db7cf8aedc" elementFormDefault="qualified">
    <xsd:import namespace="http://schemas.microsoft.com/office/2006/documentManagement/types"/>
    <xsd:import namespace="http://schemas.microsoft.com/office/infopath/2007/PartnerControls"/>
    <xsd:element name="TaxKeywordTaxHTField" ma:index="41" nillable="true" ma:taxonomy="true" ma:internalName="TaxKeywordTaxHTField" ma:taxonomyFieldName="TaxKeyword" ma:displayName="Schlagwörter"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42" nillable="true" ma:displayName="Taxonomy Catch All Column" ma:description="" ma:hidden="true" ma:list="{4243b168-8c6c-410f-98ef-1db402bfb9eb}" ma:internalName="TaxCatchAll" ma:showField="CatchAllData" ma:web="824990fe-55f0-45e8-a37e-05db7cf8aedc">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description="" ma:hidden="true" ma:list="{4243b168-8c6c-410f-98ef-1db402bfb9eb}" ma:internalName="TaxCatchAllLabel" ma:readOnly="true" ma:showField="CatchAllDataLabel" ma:web="824990fe-55f0-45e8-a37e-05db7cf8ae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dfr_finishedtecapprovers xmlns="http://schemas.microsoft.com/sharepoint/v3">
      <UserInfo>
        <DisplayName/>
        <AccountId xsi:nil="true"/>
        <AccountType/>
      </UserInfo>
    </dfr_finishedtecapprovers>
    <dfr_actionlink xmlns="http://schemas.microsoft.com/sharepoint/v3">https://ooeg.info/dokumente/_layouts/gespag.dfr/revise.aspx?IsDlg=1&amp;listID=18c45198-6fc7-4da6-aad9-951c94b71f4f&amp;itemID=193, revisionieren</dfr_actionlink>
    <dfr_prevdepartment xmlns="http://schemas.microsoft.com/sharepoint/v3" xsi:nil="true"/>
    <dfr_creator xmlns="http://schemas.microsoft.com/sharepoint/v3">
      <UserInfo>
        <DisplayName>Machherndl Sigrid</DisplayName>
        <AccountId>27243</AccountId>
        <AccountType/>
      </UserInfo>
    </dfr_creator>
    <dfr_approvalid xmlns="http://schemas.microsoft.com/sharepoint/v3">8fbc2910-e94d-49be-89b0-12d181af9fd4</dfr_approvalid>
    <dfr_taskinitializer xmlns="http://schemas.microsoft.com/sharepoint/v3">
      <UserInfo>
        <DisplayName>Pichler Thomas</DisplayName>
        <AccountId>28327</AccountId>
        <AccountType/>
      </UserInfo>
    </dfr_taskinitializer>
    <dfr_finishedorgapprovers xmlns="http://schemas.microsoft.com/sharepoint/v3">
      <UserInfo>
        <DisplayName>Pichler Thomas</DisplayName>
        <AccountId>28327</AccountId>
        <AccountType/>
      </UserInfo>
    </dfr_finishedorgapprovers>
    <dfr_contenttype xmlns="http://schemas.microsoft.com/sharepoint/v3">Leitlinie</dfr_contenttype>
    <dfr_taskid xmlns="http://schemas.microsoft.com/sharepoint/v3" xsi:nil="true"/>
    <dfr_orgunit xmlns="http://schemas.microsoft.com/sharepoint/v3">Tumorzentrum</dfr_orgunit>
    <dfr_taskowner xmlns="http://schemas.microsoft.com/sharepoint/v3">
      <UserInfo>
        <DisplayName/>
        <AccountId xsi:nil="true"/>
        <AccountType/>
      </UserInfo>
    </dfr_taskowner>
    <dfr_pendingtecapprovers xmlns="http://schemas.microsoft.com/sharepoint/v3">
      <UserInfo>
        <DisplayName/>
        <AccountId xsi:nil="true"/>
        <AccountType/>
      </UserInfo>
    </dfr_pendingtecapprovers>
    <dfr_archived xmlns="http://schemas.microsoft.com/sharepoint/v3" xsi:nil="true"/>
    <dfr_comments xmlns="http://schemas.microsoft.com/sharepoint/v3">25.04.2022 08:32:06 Pichler Thomas (Initiator) : Keine Revision, Ergänzung einer Studie.
25.04.2022 08:32:20 Pichler Thomas (Freigeber) : .
</dfr_comments>
    <dfr_lastnotification xmlns="http://schemas.microsoft.com/sharepoint/v3" xsi:nil="true"/>
    <dfr_lastrevision xmlns="http://schemas.microsoft.com/sharepoint/v3" xsi:nil="true"/>
    <dfr_finishedcheckers xmlns="http://schemas.microsoft.com/sharepoint/v3">
      <UserInfo>
        <DisplayName/>
        <AccountId xsi:nil="true"/>
        <AccountType/>
      </UserInfo>
    </dfr_finishedcheckers>
    <dfr_pendingcheckers xmlns="http://schemas.microsoft.com/sharepoint/v3">
      <UserInfo>
        <DisplayName/>
        <AccountId xsi:nil="true"/>
        <AccountType/>
      </UserInfo>
    </dfr_pendingcheckers>
    <dfr_headernote xmlns="http://schemas.microsoft.com/sharepoint/v3">Kein Vermerk</dfr_headernote>
    <dfr_nextrevision xmlns="http://schemas.microsoft.com/sharepoint/v3">2023-04-25T06:32:23+00:00</dfr_nextrevision>
    <dfr_pendingorgapprovers xmlns="http://schemas.microsoft.com/sharepoint/v3">
      <UserInfo>
        <DisplayName/>
        <AccountId xsi:nil="true"/>
        <AccountType/>
      </UserInfo>
    </dfr_pendingorgapprovers>
    <dfr_orgscope xmlns="http://schemas.microsoft.com/sharepoint/v3">
      <Value>Tumorzentrum</Value>
    </dfr_orgscope>
    <dfr_revision xmlns="http://schemas.microsoft.com/sharepoint/v3">0</dfr_revision>
    <dfr_department xmlns="http://schemas.microsoft.com/sharepoint/v3">Leitlinien Hämatologie</dfr_department>
    <dfr_taskownerresponsibility xmlns="http://schemas.microsoft.com/sharepoint/v3" xsi:nil="true"/>
    <dfr_publisheddate xmlns="http://schemas.microsoft.com/sharepoint/v3">2022-04-25T06:32:20+00:00</dfr_publisheddate>
    <customfield_majorversion xmlns="http://schemas.microsoft.com/sharepoint/v3" xsi:nil="true"/>
    <dfr_location xmlns="http://schemas.microsoft.com/sharepoint/v3">KH</dfr_location>
    <dfr_majorversion xmlns="18c45198-6fc7-4da6-aad9-951c94b71f4f">7.0</dfr_majorversion>
    <dfr_classification xmlns="18c45198-6fc7-4da6-aad9-951c94b71f4f">öffentlich</dfr_classification>
    <dfr_nextasknotification xmlns="18c45198-6fc7-4da6-aad9-951c94b71f4f" xsi:nil="true"/>
    <dfr_inforecipients xmlns="http://schemas.microsoft.com/sharepoint/v3">
      <UserInfo>
        <DisplayName/>
        <AccountId xsi:nil="true"/>
        <AccountType/>
      </UserInfo>
    </dfr_inforecipients>
    <dfr_infodistributionlist xmlns="http://schemas.microsoft.com/sharepoint/v3" xsi:nil="true"/>
    <TaxCatchAll xmlns="824990fe-55f0-45e8-a37e-05db7cf8aedc"/>
    <TaxKeywordTaxHTField xmlns="824990fe-55f0-45e8-a37e-05db7cf8aedc">
      <Terms xmlns="http://schemas.microsoft.com/office/infopath/2007/PartnerControls"/>
    </TaxKeywordTaxHTField>
    <dfr_defaultorgapprovers xmlns="http://schemas.microsoft.com/sharepoint/v3">
      <UserInfo>
        <DisplayName>Pichler Thomas</DisplayName>
        <AccountId>28327</AccountId>
        <AccountType/>
      </UserInfo>
    </dfr_defaultorgapprovers>
    <dfr_defaultcheckers xmlns="http://schemas.microsoft.com/sharepoint/v3">
      <UserInfo>
        <DisplayName/>
        <AccountId xsi:nil="true"/>
        <AccountType/>
      </UserInfo>
    </dfr_defaultcheckers>
  </documentManagement>
</p:properties>
</file>

<file path=customXml/itemProps1.xml><?xml version="1.0" encoding="utf-8"?>
<ds:datastoreItem xmlns:ds="http://schemas.openxmlformats.org/officeDocument/2006/customXml" ds:itemID="{B25B8B36-28F5-48A2-B70C-4129C383C898}"/>
</file>

<file path=customXml/itemProps2.xml><?xml version="1.0" encoding="utf-8"?>
<ds:datastoreItem xmlns:ds="http://schemas.openxmlformats.org/officeDocument/2006/customXml" ds:itemID="{D32D50D5-1CDD-493C-8176-16DE885B63A5}"/>
</file>

<file path=customXml/itemProps3.xml><?xml version="1.0" encoding="utf-8"?>
<ds:datastoreItem xmlns:ds="http://schemas.openxmlformats.org/officeDocument/2006/customXml" ds:itemID="{274BC783-A813-4297-99AD-9E9E8A1521E2}"/>
</file>

<file path=customXml/itemProps4.xml><?xml version="1.0" encoding="utf-8"?>
<ds:datastoreItem xmlns:ds="http://schemas.openxmlformats.org/officeDocument/2006/customXml" ds:itemID="{E20FE06A-E31F-40A7-8894-4B5B42C79A73}"/>
</file>

<file path=docProps/app.xml><?xml version="1.0" encoding="utf-8"?>
<Properties xmlns="http://schemas.openxmlformats.org/officeDocument/2006/extended-properties" xmlns:vt="http://schemas.openxmlformats.org/officeDocument/2006/docPropsVTypes">
  <Template>Normal</Template>
  <TotalTime>0</TotalTime>
  <Pages>32</Pages>
  <Words>5883</Words>
  <Characters>37070</Characters>
  <Application>Microsoft Office Word</Application>
  <DocSecurity>0</DocSecurity>
  <Lines>308</Lines>
  <Paragraphs>85</Paragraphs>
  <ScaleCrop>false</ScaleCrop>
  <HeadingPairs>
    <vt:vector size="2" baseType="variant">
      <vt:variant>
        <vt:lpstr>Titel</vt:lpstr>
      </vt:variant>
      <vt:variant>
        <vt:i4>1</vt:i4>
      </vt:variant>
    </vt:vector>
  </HeadingPairs>
  <TitlesOfParts>
    <vt:vector size="1" baseType="lpstr">
      <vt:lpstr>AML</vt:lpstr>
    </vt:vector>
  </TitlesOfParts>
  <Company>gespag</Company>
  <LinksUpToDate>false</LinksUpToDate>
  <CharactersWithSpaces>42868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AML</dc:title>
  <dc:subject/>
  <dc:creator>Mag. Pichler (KI), (71)20090, kipichth</dc:creator>
  <cp:keywords/>
  <dc:description/>
  <cp:lastModifiedBy>Pichler, Thomas</cp:lastModifiedBy>
  <cp:revision>7</cp:revision>
  <cp:lastPrinted>2022-04-25T05:51:00Z</cp:lastPrinted>
  <dcterms:created xsi:type="dcterms:W3CDTF">2022-04-21T08:29:00Z</dcterms:created>
  <dcterms:modified xsi:type="dcterms:W3CDTF">2022-04-25T06:28:00Z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themen">
    <vt:lpwstr>118;#Medizin;#119;#Pflege</vt:lpwstr>
  </property>
  <property fmtid="{D5CDD505-2E9C-101B-9397-08002B2CF9AE}" pid="3" name="Hauptthemen">
    <vt:lpwstr>4;#QM</vt:lpwstr>
  </property>
  <property fmtid="{D5CDD505-2E9C-101B-9397-08002B2CF9AE}" pid="4" name="Absenderauswahl">
    <vt:lpwstr>ul</vt:lpwstr>
  </property>
  <property fmtid="{D5CDD505-2E9C-101B-9397-08002B2CF9AE}" pid="5" name="Dokumenten_Stichwoerter">
    <vt:lpwstr>Standard; Vorlage; Muster; gespag</vt:lpwstr>
  </property>
  <property fmtid="{D5CDD505-2E9C-101B-9397-08002B2CF9AE}" pid="6" name="Vertraulich">
    <vt:lpwstr>0</vt:lpwstr>
  </property>
  <property fmtid="{D5CDD505-2E9C-101B-9397-08002B2CF9AE}" pid="7" name="Audience">
    <vt:lpwstr/>
  </property>
  <property fmtid="{D5CDD505-2E9C-101B-9397-08002B2CF9AE}" pid="8" name="ContentType">
    <vt:lpwstr>Formulare</vt:lpwstr>
  </property>
  <property fmtid="{D5CDD505-2E9C-101B-9397-08002B2CF9AE}" pid="9" name="ContentTypeId">
    <vt:lpwstr>0x010100702417A06B9047CAB652CC4AA8856879007A6474B24F3947A8AB0E117FB186CABB009255144ACA0D4F4497381DBA8E2574A4</vt:lpwstr>
  </property>
  <property fmtid="{D5CDD505-2E9C-101B-9397-08002B2CF9AE}" pid="10" name="Themenauswahl">
    <vt:lpwstr>118;119;</vt:lpwstr>
  </property>
  <property fmtid="{D5CDD505-2E9C-101B-9397-08002B2CF9AE}" pid="11" name="Absender">
    <vt:lpwstr>11</vt:lpwstr>
  </property>
  <property fmtid="{D5CDD505-2E9C-101B-9397-08002B2CF9AE}" pid="12" name="TemplateUrl">
    <vt:lpwstr/>
  </property>
  <property fmtid="{D5CDD505-2E9C-101B-9397-08002B2CF9AE}" pid="13" name="xd_ProgID">
    <vt:lpwstr/>
  </property>
  <property fmtid="{D5CDD505-2E9C-101B-9397-08002B2CF9AE}" pid="14" name="_CopySource">
    <vt:lpwstr/>
  </property>
  <property fmtid="{D5CDD505-2E9C-101B-9397-08002B2CF9AE}" pid="15" name="Order">
    <vt:lpwstr>4900.00000000000</vt:lpwstr>
  </property>
  <property fmtid="{D5CDD505-2E9C-101B-9397-08002B2CF9AE}" pid="16" name="URL">
    <vt:lpwstr/>
  </property>
  <property fmtid="{D5CDD505-2E9C-101B-9397-08002B2CF9AE}" pid="17" name="Zielgruppenauswahl">
    <vt:lpwstr>;;;;</vt:lpwstr>
  </property>
  <property fmtid="{D5CDD505-2E9C-101B-9397-08002B2CF9AE}" pid="18" name="DLCPolicyLabelValue">
    <vt:lpwstr>Version: 0.1 Status: Entwurf</vt:lpwstr>
  </property>
  <property fmtid="{D5CDD505-2E9C-101B-9397-08002B2CF9AE}" pid="19" name="_dlc_ExpireDate">
    <vt:filetime>2013-12-17T15:13:37Z</vt:filetime>
  </property>
  <property fmtid="{D5CDD505-2E9C-101B-9397-08002B2CF9AE}" pid="20" name="Kernprozess">
    <vt:lpwstr>Leitlinien Onkologie</vt:lpwstr>
  </property>
  <property fmtid="{D5CDD505-2E9C-101B-9397-08002B2CF9AE}" pid="21" name="archiviert">
    <vt:lpwstr>Nein</vt:lpwstr>
  </property>
  <property fmtid="{D5CDD505-2E9C-101B-9397-08002B2CF9AE}" pid="22" name="Berufsgruppe">
    <vt:lpwstr>2;#;#3;#;#5;#;#6;#</vt:lpwstr>
  </property>
  <property fmtid="{D5CDD505-2E9C-101B-9397-08002B2CF9AE}" pid="23" name="TaxKeyword">
    <vt:lpwstr/>
  </property>
</Properties>
</file>