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viewer"/>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Zeichnung.vsdx" ContentType="application/vnd.ms-visio.drawing"/>
  <Override PartName="/word/embeddings/Microsoft_Visio-Zeichnung1.vsdx" ContentType="application/vnd.ms-visio.drawi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9EB18" w14:textId="77777777" w:rsidR="00B6342E" w:rsidRPr="00945E91" w:rsidRDefault="00B6342E" w:rsidP="000C0C21">
      <w:pPr>
        <w:pStyle w:val="Titel"/>
        <w:jc w:val="both"/>
        <w:rPr>
          <w:rFonts w:asciiTheme="minorHAnsi" w:hAnsiTheme="minorHAnsi" w:cstheme="minorHAnsi"/>
          <w:b/>
          <w:color w:val="000000" w:themeColor="text1"/>
          <w:sz w:val="20"/>
        </w:rPr>
      </w:pPr>
    </w:p>
    <w:p w14:paraId="5389EB19" w14:textId="77777777" w:rsidR="00B6342E" w:rsidRPr="00945E91" w:rsidRDefault="00B6342E" w:rsidP="000C0C21">
      <w:pPr>
        <w:pStyle w:val="Titel"/>
        <w:jc w:val="both"/>
        <w:rPr>
          <w:rFonts w:asciiTheme="minorHAnsi" w:hAnsiTheme="minorHAnsi" w:cstheme="minorHAnsi"/>
          <w:b/>
          <w:color w:val="000000" w:themeColor="text1"/>
          <w:sz w:val="20"/>
        </w:rPr>
      </w:pPr>
    </w:p>
    <w:p w14:paraId="5389EB1A" w14:textId="77777777" w:rsidR="00B6342E" w:rsidRPr="00945E91" w:rsidRDefault="00B6342E" w:rsidP="000C0C21">
      <w:pPr>
        <w:pStyle w:val="Titel"/>
        <w:jc w:val="both"/>
        <w:rPr>
          <w:rFonts w:asciiTheme="minorHAnsi" w:hAnsiTheme="minorHAnsi" w:cstheme="minorHAnsi"/>
          <w:b/>
          <w:color w:val="000000" w:themeColor="text1"/>
          <w:sz w:val="20"/>
        </w:rPr>
      </w:pPr>
    </w:p>
    <w:p w14:paraId="5389EB1B" w14:textId="77777777" w:rsidR="00B6342E" w:rsidRPr="00945E91" w:rsidRDefault="00B6342E" w:rsidP="000C0C21">
      <w:pPr>
        <w:pStyle w:val="Titel"/>
        <w:jc w:val="both"/>
        <w:rPr>
          <w:rFonts w:asciiTheme="minorHAnsi" w:hAnsiTheme="minorHAnsi" w:cstheme="minorHAnsi"/>
          <w:b/>
          <w:color w:val="000000" w:themeColor="text1"/>
          <w:sz w:val="20"/>
        </w:rPr>
      </w:pPr>
    </w:p>
    <w:p w14:paraId="5389EB1C" w14:textId="77777777" w:rsidR="00B6342E" w:rsidRPr="00945E91" w:rsidRDefault="00B6342E" w:rsidP="000C0C21">
      <w:pPr>
        <w:pStyle w:val="Titel"/>
        <w:jc w:val="both"/>
        <w:rPr>
          <w:rFonts w:asciiTheme="minorHAnsi" w:hAnsiTheme="minorHAnsi" w:cstheme="minorHAnsi"/>
          <w:b/>
          <w:color w:val="000000" w:themeColor="text1"/>
          <w:sz w:val="48"/>
          <w:szCs w:val="48"/>
        </w:rPr>
      </w:pPr>
    </w:p>
    <w:p w14:paraId="5389EB1D" w14:textId="77777777" w:rsidR="00E67988" w:rsidRPr="00945E91" w:rsidRDefault="00E67988" w:rsidP="000C0C21">
      <w:pPr>
        <w:pStyle w:val="Titel"/>
        <w:jc w:val="both"/>
        <w:rPr>
          <w:rFonts w:asciiTheme="minorHAnsi" w:hAnsiTheme="minorHAnsi" w:cstheme="minorHAnsi"/>
          <w:b/>
          <w:color w:val="000000" w:themeColor="text1"/>
          <w:sz w:val="48"/>
          <w:szCs w:val="48"/>
        </w:rPr>
      </w:pPr>
    </w:p>
    <w:p w14:paraId="5389EB1E" w14:textId="77777777" w:rsidR="00250E53" w:rsidRPr="00945E91" w:rsidRDefault="00250E53" w:rsidP="000C0C21">
      <w:pPr>
        <w:pStyle w:val="Titel"/>
        <w:jc w:val="both"/>
        <w:rPr>
          <w:rFonts w:asciiTheme="minorHAnsi" w:hAnsiTheme="minorHAnsi" w:cstheme="minorHAnsi"/>
          <w:b/>
          <w:color w:val="000000" w:themeColor="text1"/>
          <w:sz w:val="48"/>
          <w:szCs w:val="48"/>
        </w:rPr>
      </w:pPr>
    </w:p>
    <w:p w14:paraId="5389EB1F" w14:textId="3D54DBD1" w:rsidR="008A7324" w:rsidRPr="00945E91" w:rsidRDefault="00463666" w:rsidP="000C0C21">
      <w:pPr>
        <w:pStyle w:val="Titel"/>
        <w:jc w:val="both"/>
        <w:rPr>
          <w:rFonts w:asciiTheme="minorHAnsi" w:hAnsiTheme="minorHAnsi" w:cstheme="minorHAnsi"/>
          <w:b/>
          <w:color w:val="000000" w:themeColor="text1"/>
          <w:sz w:val="48"/>
          <w:szCs w:val="48"/>
        </w:rPr>
      </w:pPr>
      <w:sdt>
        <w:sdtPr>
          <w:rPr>
            <w:rFonts w:cs="Arial"/>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Content>
          <w:r w:rsidR="00C70A80" w:rsidRPr="00945E91">
            <w:rPr>
              <w:rFonts w:cs="Arial"/>
              <w:b/>
              <w:sz w:val="48"/>
              <w:szCs w:val="48"/>
            </w:rPr>
            <w:t>Akute Lymphatische Leukämie</w:t>
          </w:r>
        </w:sdtContent>
      </w:sdt>
    </w:p>
    <w:p w14:paraId="5389EB20" w14:textId="77777777" w:rsidR="008A7324" w:rsidRPr="00945E91" w:rsidRDefault="008A7324" w:rsidP="000C0C21">
      <w:pPr>
        <w:pStyle w:val="Titel"/>
        <w:ind w:left="-56"/>
        <w:jc w:val="both"/>
        <w:rPr>
          <w:rFonts w:asciiTheme="minorHAnsi" w:hAnsiTheme="minorHAnsi" w:cstheme="minorHAnsi"/>
          <w:color w:val="000000" w:themeColor="text1"/>
          <w:sz w:val="28"/>
          <w:szCs w:val="28"/>
        </w:rPr>
      </w:pPr>
    </w:p>
    <w:p w14:paraId="5389EB22" w14:textId="77777777" w:rsidR="005163F4" w:rsidRPr="00945E91" w:rsidRDefault="005163F4"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3" w14:textId="77777777" w:rsidR="00B6342E" w:rsidRPr="00945E91" w:rsidRDefault="00B6342E"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4" w14:textId="77777777" w:rsidR="00B6342E" w:rsidRPr="00945E91" w:rsidRDefault="00A6435E" w:rsidP="000C0C21">
      <w:pPr>
        <w:spacing w:line="276" w:lineRule="auto"/>
        <w:jc w:val="both"/>
        <w:rPr>
          <w:rFonts w:cs="Arial"/>
          <w:b/>
          <w:color w:val="000000" w:themeColor="text1"/>
          <w:sz w:val="40"/>
          <w:szCs w:val="40"/>
          <w:lang w:val="de-DE"/>
        </w:rPr>
      </w:pPr>
      <w:r w:rsidRPr="00945E91">
        <w:rPr>
          <w:rFonts w:cs="Arial"/>
          <w:b/>
          <w:color w:val="000000" w:themeColor="text1"/>
          <w:sz w:val="40"/>
          <w:szCs w:val="40"/>
          <w:lang w:val="de-DE"/>
        </w:rPr>
        <w:t xml:space="preserve">Medizinische </w:t>
      </w:r>
      <w:r w:rsidR="00B6342E" w:rsidRPr="00945E91">
        <w:rPr>
          <w:rFonts w:cs="Arial"/>
          <w:b/>
          <w:color w:val="000000" w:themeColor="text1"/>
          <w:sz w:val="40"/>
          <w:szCs w:val="40"/>
          <w:lang w:val="de-DE"/>
        </w:rPr>
        <w:t>Leitlinie</w:t>
      </w:r>
    </w:p>
    <w:p w14:paraId="5389EB27" w14:textId="6D997C0A" w:rsidR="00EB0F6F" w:rsidRPr="00945E91" w:rsidRDefault="00EB0F6F" w:rsidP="000C0C21">
      <w:pPr>
        <w:spacing w:line="276" w:lineRule="auto"/>
        <w:ind w:left="426"/>
        <w:jc w:val="both"/>
        <w:rPr>
          <w:rFonts w:asciiTheme="minorHAnsi" w:hAnsiTheme="minorHAnsi" w:cstheme="minorHAnsi"/>
          <w:b/>
          <w:color w:val="000000" w:themeColor="text1"/>
          <w:szCs w:val="22"/>
          <w:lang w:val="de-DE"/>
        </w:rPr>
      </w:pPr>
    </w:p>
    <w:p w14:paraId="5389EB28" w14:textId="77777777" w:rsidR="00B6342E" w:rsidRPr="00945E91" w:rsidRDefault="00B6342E"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9" w14:textId="77777777" w:rsidR="00B6342E" w:rsidRPr="00945E91" w:rsidRDefault="00B6342E"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A" w14:textId="77777777" w:rsidR="005163F4" w:rsidRPr="00945E91" w:rsidRDefault="005163F4"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B" w14:textId="0233F874" w:rsidR="005163F4" w:rsidRPr="00945E91" w:rsidRDefault="005163F4" w:rsidP="000C0C21">
      <w:pPr>
        <w:tabs>
          <w:tab w:val="left" w:pos="1418"/>
        </w:tabs>
        <w:spacing w:line="276" w:lineRule="auto"/>
        <w:jc w:val="both"/>
        <w:rPr>
          <w:rFonts w:asciiTheme="minorHAnsi" w:hAnsiTheme="minorHAnsi" w:cstheme="minorHAnsi"/>
          <w:color w:val="000000" w:themeColor="text1"/>
          <w:sz w:val="28"/>
          <w:szCs w:val="28"/>
          <w:lang w:val="de-DE"/>
        </w:rPr>
      </w:pPr>
    </w:p>
    <w:p w14:paraId="1ECF253A" w14:textId="0BD3E690" w:rsidR="00732322" w:rsidRPr="00945E91" w:rsidRDefault="00732322" w:rsidP="000C0C21">
      <w:pPr>
        <w:tabs>
          <w:tab w:val="left" w:pos="1418"/>
        </w:tabs>
        <w:spacing w:line="276" w:lineRule="auto"/>
        <w:jc w:val="both"/>
        <w:rPr>
          <w:rFonts w:asciiTheme="minorHAnsi" w:hAnsiTheme="minorHAnsi" w:cstheme="minorHAnsi"/>
          <w:color w:val="000000" w:themeColor="text1"/>
          <w:sz w:val="28"/>
          <w:szCs w:val="28"/>
          <w:lang w:val="de-DE"/>
        </w:rPr>
      </w:pPr>
    </w:p>
    <w:p w14:paraId="5B40C72D" w14:textId="77777777" w:rsidR="00732322" w:rsidRPr="00945E91" w:rsidRDefault="00732322"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C" w14:textId="02879374" w:rsidR="005163F4" w:rsidRPr="00945E91" w:rsidRDefault="005163F4" w:rsidP="000C0C21">
      <w:pPr>
        <w:tabs>
          <w:tab w:val="left" w:pos="1418"/>
        </w:tabs>
        <w:spacing w:line="276" w:lineRule="auto"/>
        <w:jc w:val="both"/>
        <w:rPr>
          <w:rFonts w:asciiTheme="minorHAnsi" w:hAnsiTheme="minorHAnsi" w:cstheme="minorHAnsi"/>
          <w:color w:val="000000" w:themeColor="text1"/>
          <w:sz w:val="28"/>
          <w:szCs w:val="28"/>
          <w:lang w:val="de-DE"/>
        </w:rPr>
      </w:pPr>
    </w:p>
    <w:p w14:paraId="263073DA" w14:textId="2BD93A35" w:rsidR="000D177B" w:rsidRPr="00945E91" w:rsidRDefault="000D177B" w:rsidP="000C0C21">
      <w:pPr>
        <w:tabs>
          <w:tab w:val="left" w:pos="1418"/>
        </w:tabs>
        <w:spacing w:line="276" w:lineRule="auto"/>
        <w:jc w:val="both"/>
        <w:rPr>
          <w:rFonts w:asciiTheme="minorHAnsi" w:hAnsiTheme="minorHAnsi" w:cstheme="minorHAnsi"/>
          <w:color w:val="000000" w:themeColor="text1"/>
          <w:sz w:val="28"/>
          <w:szCs w:val="28"/>
          <w:lang w:val="de-DE"/>
        </w:rPr>
      </w:pPr>
    </w:p>
    <w:p w14:paraId="479ABCB9" w14:textId="77777777" w:rsidR="000D177B" w:rsidRPr="00945E91" w:rsidRDefault="000D177B" w:rsidP="000C0C21">
      <w:pPr>
        <w:tabs>
          <w:tab w:val="left" w:pos="1418"/>
        </w:tabs>
        <w:spacing w:line="276" w:lineRule="auto"/>
        <w:jc w:val="both"/>
        <w:rPr>
          <w:rFonts w:asciiTheme="minorHAnsi" w:hAnsiTheme="minorHAnsi" w:cstheme="minorHAnsi"/>
          <w:color w:val="000000" w:themeColor="text1"/>
          <w:sz w:val="28"/>
          <w:szCs w:val="28"/>
          <w:lang w:val="de-DE"/>
        </w:rPr>
      </w:pPr>
    </w:p>
    <w:p w14:paraId="5389EB2D" w14:textId="77777777" w:rsidR="005163F4" w:rsidRPr="00945E91" w:rsidRDefault="005163F4" w:rsidP="000C0C21">
      <w:pPr>
        <w:tabs>
          <w:tab w:val="left" w:pos="1418"/>
        </w:tabs>
        <w:spacing w:line="276" w:lineRule="auto"/>
        <w:jc w:val="both"/>
        <w:rPr>
          <w:rFonts w:asciiTheme="minorHAnsi" w:hAnsiTheme="minorHAnsi" w:cstheme="minorHAnsi"/>
          <w:color w:val="000000" w:themeColor="text1"/>
          <w:sz w:val="28"/>
          <w:szCs w:val="28"/>
          <w:lang w:val="de-DE"/>
        </w:rPr>
      </w:pPr>
    </w:p>
    <w:tbl>
      <w:tblPr>
        <w:tblW w:w="969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6946"/>
      </w:tblGrid>
      <w:tr w:rsidR="00C70A80" w:rsidRPr="00945E91" w14:paraId="59AC367E" w14:textId="77777777" w:rsidTr="00463666">
        <w:trPr>
          <w:trHeight w:val="567"/>
        </w:trPr>
        <w:tc>
          <w:tcPr>
            <w:tcW w:w="2744" w:type="dxa"/>
          </w:tcPr>
          <w:p w14:paraId="7CAE5890" w14:textId="77777777" w:rsidR="00C70A80" w:rsidRPr="00945E91" w:rsidRDefault="00C70A80" w:rsidP="005754D0">
            <w:pPr>
              <w:spacing w:line="276" w:lineRule="auto"/>
              <w:jc w:val="left"/>
              <w:rPr>
                <w:rFonts w:asciiTheme="minorHAnsi" w:hAnsiTheme="minorHAnsi" w:cstheme="minorHAnsi"/>
                <w:lang w:val="de-DE"/>
              </w:rPr>
            </w:pPr>
            <w:r w:rsidRPr="00945E91">
              <w:rPr>
                <w:rFonts w:asciiTheme="minorHAnsi" w:hAnsiTheme="minorHAnsi" w:cstheme="minorHAnsi"/>
                <w:lang w:val="de-DE"/>
              </w:rPr>
              <w:t>Leitlinie erstellt von:</w:t>
            </w:r>
          </w:p>
        </w:tc>
        <w:tc>
          <w:tcPr>
            <w:tcW w:w="6946" w:type="dxa"/>
          </w:tcPr>
          <w:p w14:paraId="4788798F" w14:textId="1AE6B50B" w:rsidR="00C70A80" w:rsidRPr="00945E91" w:rsidRDefault="00463666" w:rsidP="005754D0">
            <w:pPr>
              <w:spacing w:line="276" w:lineRule="auto"/>
              <w:jc w:val="left"/>
              <w:rPr>
                <w:rFonts w:asciiTheme="minorHAnsi" w:hAnsiTheme="minorHAnsi" w:cstheme="minorHAnsi"/>
                <w:lang w:val="de-DE"/>
              </w:rPr>
            </w:pPr>
            <w:r>
              <w:rPr>
                <w:rFonts w:asciiTheme="minorHAnsi" w:hAnsiTheme="minorHAnsi" w:cstheme="minorHAnsi"/>
                <w:lang w:val="de-DE"/>
              </w:rPr>
              <w:t xml:space="preserve">OÄ Dr. </w:t>
            </w:r>
            <w:r w:rsidR="00C70A80" w:rsidRPr="00945E91">
              <w:rPr>
                <w:rFonts w:asciiTheme="minorHAnsi" w:hAnsiTheme="minorHAnsi" w:cstheme="minorHAnsi"/>
                <w:lang w:val="de-DE"/>
              </w:rPr>
              <w:t xml:space="preserve">Sigrid Machherndl-Spandl (OKL), </w:t>
            </w:r>
            <w:r>
              <w:rPr>
                <w:rFonts w:asciiTheme="minorHAnsi" w:hAnsiTheme="minorHAnsi" w:cstheme="minorHAnsi"/>
                <w:lang w:val="de-DE"/>
              </w:rPr>
              <w:t xml:space="preserve">Univ. Doz. Dr. </w:t>
            </w:r>
            <w:r w:rsidR="00C70A80" w:rsidRPr="00945E91">
              <w:rPr>
                <w:rFonts w:asciiTheme="minorHAnsi" w:hAnsiTheme="minorHAnsi" w:cstheme="minorHAnsi"/>
                <w:lang w:val="de-DE"/>
              </w:rPr>
              <w:t>Ansgar Weltermann (</w:t>
            </w:r>
            <w:r w:rsidR="00732322" w:rsidRPr="00945E91">
              <w:rPr>
                <w:rFonts w:asciiTheme="minorHAnsi" w:hAnsiTheme="minorHAnsi" w:cstheme="minorHAnsi"/>
                <w:lang w:val="de-DE"/>
              </w:rPr>
              <w:t>TZ OÖ</w:t>
            </w:r>
            <w:r w:rsidR="00C70A80" w:rsidRPr="00945E91">
              <w:rPr>
                <w:rFonts w:asciiTheme="minorHAnsi" w:hAnsiTheme="minorHAnsi" w:cstheme="minorHAnsi"/>
                <w:lang w:val="de-DE"/>
              </w:rPr>
              <w:t xml:space="preserve">), </w:t>
            </w:r>
            <w:r>
              <w:rPr>
                <w:rFonts w:asciiTheme="minorHAnsi" w:hAnsiTheme="minorHAnsi" w:cstheme="minorHAnsi"/>
                <w:lang w:val="de-DE"/>
              </w:rPr>
              <w:t xml:space="preserve">OÄ Dr. </w:t>
            </w:r>
            <w:r w:rsidR="00C70A80" w:rsidRPr="00945E91">
              <w:rPr>
                <w:rFonts w:asciiTheme="minorHAnsi" w:hAnsiTheme="minorHAnsi" w:cstheme="minorHAnsi"/>
                <w:lang w:val="de-DE"/>
              </w:rPr>
              <w:t>Petra Hasengruber (OKL)</w:t>
            </w:r>
            <w:r>
              <w:rPr>
                <w:rFonts w:asciiTheme="minorHAnsi" w:hAnsiTheme="minorHAnsi" w:cstheme="minorHAnsi"/>
                <w:lang w:val="de-DE"/>
              </w:rPr>
              <w:t>, Priv. Doz. Dr.</w:t>
            </w:r>
            <w:r w:rsidR="00C70A80" w:rsidRPr="00945E91">
              <w:rPr>
                <w:rFonts w:asciiTheme="minorHAnsi" w:hAnsiTheme="minorHAnsi" w:cstheme="minorHAnsi"/>
                <w:lang w:val="de-DE"/>
              </w:rPr>
              <w:t xml:space="preserve"> Otto Zach (OKL)</w:t>
            </w:r>
            <w:r w:rsidR="00732322" w:rsidRPr="00945E91">
              <w:rPr>
                <w:rFonts w:asciiTheme="minorHAnsi" w:hAnsiTheme="minorHAnsi" w:cstheme="minorHAnsi"/>
                <w:lang w:val="de-DE"/>
              </w:rPr>
              <w:t xml:space="preserve">, </w:t>
            </w:r>
            <w:r>
              <w:rPr>
                <w:rFonts w:asciiTheme="minorHAnsi" w:hAnsiTheme="minorHAnsi" w:cstheme="minorHAnsi"/>
                <w:lang w:val="de-DE"/>
              </w:rPr>
              <w:t xml:space="preserve">Mag. </w:t>
            </w:r>
            <w:r w:rsidR="00732322" w:rsidRPr="00945E91">
              <w:rPr>
                <w:rFonts w:asciiTheme="minorHAnsi" w:hAnsiTheme="minorHAnsi" w:cstheme="minorHAnsi"/>
                <w:lang w:val="de-DE"/>
              </w:rPr>
              <w:t>Edith Pernkopf (TZ OÖ)</w:t>
            </w:r>
          </w:p>
        </w:tc>
      </w:tr>
      <w:tr w:rsidR="00C70A80" w:rsidRPr="00945E91" w14:paraId="237BEA84" w14:textId="77777777" w:rsidTr="00463666">
        <w:trPr>
          <w:trHeight w:val="567"/>
        </w:trPr>
        <w:tc>
          <w:tcPr>
            <w:tcW w:w="2744" w:type="dxa"/>
          </w:tcPr>
          <w:p w14:paraId="3EB36DEB" w14:textId="77777777" w:rsidR="00C70A80" w:rsidRPr="00945E91" w:rsidRDefault="00C70A80" w:rsidP="005754D0">
            <w:pPr>
              <w:spacing w:line="276" w:lineRule="auto"/>
              <w:jc w:val="left"/>
              <w:rPr>
                <w:rFonts w:asciiTheme="minorHAnsi" w:hAnsiTheme="minorHAnsi" w:cstheme="minorHAnsi"/>
                <w:lang w:val="de-DE"/>
              </w:rPr>
            </w:pPr>
            <w:r w:rsidRPr="00945E91">
              <w:rPr>
                <w:rFonts w:asciiTheme="minorHAnsi" w:hAnsiTheme="minorHAnsi" w:cstheme="minorHAnsi"/>
                <w:lang w:val="de-DE"/>
              </w:rPr>
              <w:t>Leitlinie geprüft von:</w:t>
            </w:r>
          </w:p>
        </w:tc>
        <w:tc>
          <w:tcPr>
            <w:tcW w:w="6946" w:type="dxa"/>
          </w:tcPr>
          <w:p w14:paraId="048CAAAA" w14:textId="0E72CF24" w:rsidR="00C70A80" w:rsidRPr="00945E91" w:rsidRDefault="00463666" w:rsidP="005754D0">
            <w:pPr>
              <w:spacing w:line="276" w:lineRule="auto"/>
              <w:jc w:val="left"/>
              <w:rPr>
                <w:rFonts w:asciiTheme="minorHAnsi" w:hAnsiTheme="minorHAnsi" w:cstheme="minorHAnsi"/>
                <w:lang w:val="de-DE"/>
              </w:rPr>
            </w:pPr>
            <w:r>
              <w:rPr>
                <w:rFonts w:asciiTheme="minorHAnsi" w:hAnsiTheme="minorHAnsi" w:cstheme="minorHAnsi"/>
                <w:lang w:val="de-DE"/>
              </w:rPr>
              <w:t xml:space="preserve">OÄ Dr. </w:t>
            </w:r>
            <w:r w:rsidR="00C70A80" w:rsidRPr="00945E91">
              <w:rPr>
                <w:rFonts w:asciiTheme="minorHAnsi" w:hAnsiTheme="minorHAnsi" w:cstheme="minorHAnsi"/>
                <w:lang w:val="de-DE"/>
              </w:rPr>
              <w:t xml:space="preserve">Irene Strassl (OKL), </w:t>
            </w:r>
            <w:r>
              <w:rPr>
                <w:rFonts w:asciiTheme="minorHAnsi" w:hAnsiTheme="minorHAnsi" w:cstheme="minorHAnsi"/>
                <w:lang w:val="de-DE"/>
              </w:rPr>
              <w:t xml:space="preserve">OÄ Dr. </w:t>
            </w:r>
            <w:r w:rsidR="00C70A80" w:rsidRPr="00945E91">
              <w:rPr>
                <w:rFonts w:asciiTheme="minorHAnsi" w:hAnsiTheme="minorHAnsi" w:cstheme="minorHAnsi"/>
                <w:lang w:val="de-DE"/>
              </w:rPr>
              <w:t xml:space="preserve">Olga Stiefel (OKL), </w:t>
            </w:r>
            <w:r>
              <w:rPr>
                <w:rFonts w:asciiTheme="minorHAnsi" w:hAnsiTheme="minorHAnsi" w:cstheme="minorHAnsi"/>
                <w:lang w:val="de-DE"/>
              </w:rPr>
              <w:t xml:space="preserve">OA Dr. </w:t>
            </w:r>
            <w:r w:rsidR="00C70A80" w:rsidRPr="00945E91">
              <w:rPr>
                <w:rFonts w:asciiTheme="minorHAnsi" w:hAnsiTheme="minorHAnsi" w:cstheme="minorHAnsi"/>
                <w:lang w:val="de-DE"/>
              </w:rPr>
              <w:t xml:space="preserve">Michael Girschikofsky (OKL), </w:t>
            </w:r>
            <w:r>
              <w:rPr>
                <w:rFonts w:asciiTheme="minorHAnsi" w:hAnsiTheme="minorHAnsi" w:cstheme="minorHAnsi"/>
                <w:lang w:val="de-DE"/>
              </w:rPr>
              <w:t xml:space="preserve">OA Priv. Doz. Dr. </w:t>
            </w:r>
            <w:r w:rsidR="00C70A80" w:rsidRPr="00945E91">
              <w:rPr>
                <w:rFonts w:asciiTheme="minorHAnsi" w:hAnsiTheme="minorHAnsi" w:cstheme="minorHAnsi"/>
                <w:lang w:val="de-DE"/>
              </w:rPr>
              <w:t>Johannes Clausen (OKL)</w:t>
            </w:r>
          </w:p>
        </w:tc>
      </w:tr>
      <w:tr w:rsidR="00C70A80" w:rsidRPr="00945E91" w14:paraId="092C0B00" w14:textId="77777777" w:rsidTr="00463666">
        <w:trPr>
          <w:trHeight w:val="567"/>
        </w:trPr>
        <w:tc>
          <w:tcPr>
            <w:tcW w:w="2744" w:type="dxa"/>
          </w:tcPr>
          <w:p w14:paraId="63E08A9D" w14:textId="77777777" w:rsidR="00C70A80" w:rsidRPr="00945E91" w:rsidRDefault="00C70A80" w:rsidP="005754D0">
            <w:pPr>
              <w:spacing w:line="276" w:lineRule="auto"/>
              <w:jc w:val="left"/>
              <w:rPr>
                <w:rFonts w:asciiTheme="minorHAnsi" w:hAnsiTheme="minorHAnsi" w:cstheme="minorHAnsi"/>
                <w:lang w:val="de-DE"/>
              </w:rPr>
            </w:pPr>
            <w:r w:rsidRPr="00945E91">
              <w:rPr>
                <w:rFonts w:asciiTheme="minorHAnsi" w:hAnsiTheme="minorHAnsi" w:cstheme="minorHAnsi"/>
                <w:lang w:val="de-DE"/>
              </w:rPr>
              <w:t>Fachliche Freigabe:</w:t>
            </w:r>
          </w:p>
        </w:tc>
        <w:tc>
          <w:tcPr>
            <w:tcW w:w="6946" w:type="dxa"/>
          </w:tcPr>
          <w:p w14:paraId="6FA92D77" w14:textId="77777777" w:rsidR="00463666" w:rsidRDefault="00463666" w:rsidP="00463666">
            <w:pPr>
              <w:spacing w:line="276" w:lineRule="auto"/>
              <w:jc w:val="left"/>
              <w:rPr>
                <w:rFonts w:asciiTheme="minorHAnsi" w:hAnsiTheme="minorHAnsi" w:cstheme="minorHAnsi"/>
              </w:rPr>
            </w:pPr>
            <w:r w:rsidRPr="00A04F27">
              <w:rPr>
                <w:rFonts w:asciiTheme="minorHAnsi" w:hAnsiTheme="minorHAnsi" w:cstheme="minorHAnsi"/>
              </w:rPr>
              <w:t>O</w:t>
            </w:r>
            <w:r>
              <w:rPr>
                <w:rFonts w:asciiTheme="minorHAnsi" w:hAnsiTheme="minorHAnsi" w:cstheme="minorHAnsi"/>
              </w:rPr>
              <w:t>Ä</w:t>
            </w:r>
            <w:r w:rsidRPr="00A04F27">
              <w:rPr>
                <w:rFonts w:asciiTheme="minorHAnsi" w:hAnsiTheme="minorHAnsi" w:cstheme="minorHAnsi"/>
              </w:rPr>
              <w:t xml:space="preserve"> Dr. Sigrid Machherndl-Spandl </w:t>
            </w:r>
          </w:p>
          <w:p w14:paraId="38329FDF" w14:textId="0370E425" w:rsidR="00C70A80" w:rsidRPr="00945E91" w:rsidRDefault="00463666" w:rsidP="00463666">
            <w:pPr>
              <w:spacing w:line="276" w:lineRule="auto"/>
              <w:jc w:val="left"/>
              <w:rPr>
                <w:rFonts w:asciiTheme="minorHAnsi" w:hAnsiTheme="minorHAnsi" w:cstheme="minorHAnsi"/>
                <w:lang w:val="de-DE"/>
              </w:rPr>
            </w:pPr>
            <w:r>
              <w:rPr>
                <w:rFonts w:asciiTheme="minorHAnsi" w:hAnsiTheme="minorHAnsi" w:cstheme="minorHAnsi"/>
              </w:rPr>
              <w:t>Revision v. 12.06.2021</w:t>
            </w:r>
          </w:p>
        </w:tc>
      </w:tr>
    </w:tbl>
    <w:p w14:paraId="5389EB39" w14:textId="77777777" w:rsidR="008B2595" w:rsidRPr="00945E91" w:rsidRDefault="008B2595" w:rsidP="000C0C21">
      <w:pPr>
        <w:spacing w:line="240" w:lineRule="auto"/>
        <w:jc w:val="both"/>
        <w:rPr>
          <w:rFonts w:asciiTheme="minorHAnsi" w:hAnsiTheme="minorHAnsi" w:cstheme="minorHAnsi"/>
          <w:color w:val="000000" w:themeColor="text1"/>
          <w:lang w:val="de-DE"/>
        </w:rPr>
      </w:pPr>
    </w:p>
    <w:p w14:paraId="0801444B" w14:textId="33A5AA45" w:rsidR="000D177B" w:rsidRPr="00945E91" w:rsidRDefault="000D177B" w:rsidP="000C0C21">
      <w:pPr>
        <w:spacing w:line="276" w:lineRule="auto"/>
        <w:jc w:val="both"/>
        <w:rPr>
          <w:rFonts w:asciiTheme="minorHAnsi" w:hAnsiTheme="minorHAnsi" w:cstheme="minorHAnsi"/>
          <w:color w:val="000000" w:themeColor="text1"/>
          <w:sz w:val="18"/>
          <w:szCs w:val="18"/>
          <w:lang w:val="de-DE"/>
        </w:rPr>
      </w:pPr>
    </w:p>
    <w:p w14:paraId="7581D54E" w14:textId="77777777" w:rsidR="000D177B" w:rsidRPr="00945E91" w:rsidRDefault="000D177B" w:rsidP="000C0C21">
      <w:pPr>
        <w:spacing w:line="276" w:lineRule="auto"/>
        <w:jc w:val="both"/>
        <w:rPr>
          <w:rFonts w:asciiTheme="minorHAnsi" w:hAnsiTheme="minorHAnsi" w:cstheme="minorHAnsi"/>
          <w:color w:val="000000" w:themeColor="text1"/>
          <w:sz w:val="18"/>
          <w:szCs w:val="18"/>
          <w:lang w:val="de-DE"/>
        </w:rPr>
      </w:pPr>
    </w:p>
    <w:p w14:paraId="5389EB3D" w14:textId="77777777" w:rsidR="00D02334" w:rsidRPr="00945E91" w:rsidRDefault="00D02334" w:rsidP="000C0C21">
      <w:pPr>
        <w:spacing w:line="276" w:lineRule="auto"/>
        <w:jc w:val="both"/>
        <w:rPr>
          <w:rFonts w:asciiTheme="minorHAnsi" w:hAnsiTheme="minorHAnsi" w:cstheme="minorHAnsi"/>
          <w:color w:val="000000" w:themeColor="text1"/>
          <w:sz w:val="18"/>
          <w:szCs w:val="18"/>
          <w:lang w:val="de-DE"/>
        </w:rPr>
      </w:pPr>
    </w:p>
    <w:p w14:paraId="5389EB3E" w14:textId="54F62EE2" w:rsidR="00D02334" w:rsidRPr="00945E91" w:rsidRDefault="00D02334" w:rsidP="000C0C21">
      <w:pPr>
        <w:spacing w:line="276" w:lineRule="auto"/>
        <w:jc w:val="both"/>
        <w:rPr>
          <w:rFonts w:asciiTheme="minorHAnsi" w:hAnsiTheme="minorHAnsi" w:cstheme="minorHAnsi"/>
          <w:color w:val="000000" w:themeColor="text1"/>
          <w:sz w:val="18"/>
          <w:szCs w:val="18"/>
          <w:lang w:val="de-DE"/>
        </w:rPr>
      </w:pPr>
      <w:r w:rsidRPr="00945E91">
        <w:rPr>
          <w:rFonts w:asciiTheme="minorHAnsi" w:hAnsiTheme="minorHAnsi" w:cstheme="minorHAnsi"/>
          <w:color w:val="000000" w:themeColor="text1"/>
          <w:sz w:val="18"/>
          <w:szCs w:val="18"/>
          <w:lang w:val="de-DE"/>
        </w:rPr>
        <w:t xml:space="preserve">Diese Leitlinie ist eine Grundlage für die Diagnostik und Therapie innerhalb </w:t>
      </w:r>
      <w:r w:rsidR="00512312" w:rsidRPr="00945E91">
        <w:rPr>
          <w:rFonts w:asciiTheme="minorHAnsi" w:hAnsiTheme="minorHAnsi" w:cstheme="minorHAnsi"/>
          <w:color w:val="000000" w:themeColor="text1"/>
          <w:sz w:val="18"/>
          <w:szCs w:val="18"/>
          <w:lang w:val="de-DE"/>
        </w:rPr>
        <w:t>des Tumorzentrums Oberösterreich</w:t>
      </w:r>
      <w:r w:rsidRPr="00945E91">
        <w:rPr>
          <w:rFonts w:asciiTheme="minorHAnsi" w:hAnsiTheme="minorHAnsi" w:cstheme="minorHAnsi"/>
          <w:color w:val="000000" w:themeColor="text1"/>
          <w:sz w:val="18"/>
          <w:szCs w:val="18"/>
          <w:lang w:val="de-DE"/>
        </w:rPr>
        <w:t xml:space="preserve"> und erhebt nicht den Anspruch auf Vollständigkeit.</w:t>
      </w:r>
    </w:p>
    <w:p w14:paraId="5389EB3F" w14:textId="56BBD833" w:rsidR="00732322" w:rsidRPr="00945E91" w:rsidRDefault="00945E91" w:rsidP="000C0C21">
      <w:pPr>
        <w:spacing w:line="240" w:lineRule="auto"/>
        <w:jc w:val="both"/>
        <w:rPr>
          <w:rFonts w:asciiTheme="minorHAnsi" w:hAnsiTheme="minorHAnsi" w:cstheme="minorHAnsi"/>
          <w:color w:val="000000" w:themeColor="text1"/>
          <w:sz w:val="18"/>
          <w:szCs w:val="18"/>
          <w:lang w:val="de-DE"/>
        </w:rPr>
      </w:pPr>
      <w:r w:rsidRPr="00945E91">
        <w:rPr>
          <w:rFonts w:asciiTheme="minorHAnsi" w:hAnsiTheme="minorHAnsi" w:cstheme="minorHAnsi"/>
          <w:color w:val="000000" w:themeColor="text1"/>
          <w:sz w:val="18"/>
          <w:szCs w:val="18"/>
          <w:lang w:val="de-DE"/>
        </w:rPr>
        <w:t>Darüber hinaus</w:t>
      </w:r>
      <w:r w:rsidR="00D02334" w:rsidRPr="00945E91">
        <w:rPr>
          <w:rFonts w:asciiTheme="minorHAnsi" w:hAnsiTheme="minorHAnsi" w:cstheme="minorHAnsi"/>
          <w:color w:val="000000" w:themeColor="text1"/>
          <w:sz w:val="18"/>
          <w:szCs w:val="18"/>
          <w:lang w:val="de-DE"/>
        </w:rPr>
        <w:t xml:space="preserve"> von den jeweiligen Fachgesellschaften festgelegte Qualitätsstandards sind dem Stand der Wissenschaft entsprechend e</w:t>
      </w:r>
      <w:r w:rsidR="00EB0F6F" w:rsidRPr="00945E91">
        <w:rPr>
          <w:rFonts w:asciiTheme="minorHAnsi" w:hAnsiTheme="minorHAnsi" w:cstheme="minorHAnsi"/>
          <w:color w:val="000000" w:themeColor="text1"/>
          <w:sz w:val="18"/>
          <w:szCs w:val="18"/>
          <w:lang w:val="de-DE"/>
        </w:rPr>
        <w:t>i</w:t>
      </w:r>
      <w:r w:rsidR="00D02334" w:rsidRPr="00945E91">
        <w:rPr>
          <w:rFonts w:asciiTheme="minorHAnsi" w:hAnsiTheme="minorHAnsi" w:cstheme="minorHAnsi"/>
          <w:color w:val="000000" w:themeColor="text1"/>
          <w:sz w:val="18"/>
          <w:szCs w:val="18"/>
          <w:lang w:val="de-DE"/>
        </w:rPr>
        <w:t>nzubeziehen.</w:t>
      </w:r>
    </w:p>
    <w:p w14:paraId="0BFFAADB" w14:textId="77777777" w:rsidR="00732322" w:rsidRPr="00945E91" w:rsidRDefault="00732322">
      <w:pPr>
        <w:spacing w:line="240" w:lineRule="auto"/>
        <w:jc w:val="left"/>
        <w:rPr>
          <w:rFonts w:asciiTheme="minorHAnsi" w:hAnsiTheme="minorHAnsi" w:cstheme="minorHAnsi"/>
          <w:color w:val="000000" w:themeColor="text1"/>
          <w:sz w:val="18"/>
          <w:szCs w:val="18"/>
          <w:lang w:val="de-DE"/>
        </w:rPr>
      </w:pPr>
      <w:r w:rsidRPr="00945E91">
        <w:rPr>
          <w:rFonts w:asciiTheme="minorHAnsi" w:hAnsiTheme="minorHAnsi" w:cstheme="minorHAnsi"/>
          <w:color w:val="000000" w:themeColor="text1"/>
          <w:sz w:val="18"/>
          <w:szCs w:val="18"/>
          <w:lang w:val="de-DE"/>
        </w:rPr>
        <w:br w:type="page"/>
      </w:r>
    </w:p>
    <w:sdt>
      <w:sdtPr>
        <w:rPr>
          <w:rFonts w:asciiTheme="minorHAnsi" w:eastAsia="Times New Roman" w:hAnsiTheme="minorHAnsi" w:cstheme="minorHAnsi"/>
          <w:b w:val="0"/>
          <w:bCs w:val="0"/>
          <w:color w:val="000000" w:themeColor="text1"/>
          <w:sz w:val="18"/>
          <w:szCs w:val="18"/>
          <w:lang w:val="de-DE" w:eastAsia="de-DE"/>
        </w:rPr>
        <w:id w:val="-1099178055"/>
        <w:docPartObj>
          <w:docPartGallery w:val="Table of Contents"/>
          <w:docPartUnique/>
        </w:docPartObj>
      </w:sdtPr>
      <w:sdtEndPr>
        <w:rPr>
          <w:sz w:val="22"/>
          <w:szCs w:val="20"/>
        </w:rPr>
      </w:sdtEndPr>
      <w:sdtContent>
        <w:p w14:paraId="5389EB45" w14:textId="77777777" w:rsidR="007F3064" w:rsidRPr="005341C2" w:rsidRDefault="007F3064" w:rsidP="00E90D86">
          <w:pPr>
            <w:pStyle w:val="Inhaltsverzeichnisberschrift"/>
            <w:shd w:val="clear" w:color="auto" w:fill="FFFFFF" w:themeFill="background1"/>
            <w:spacing w:before="0" w:line="240" w:lineRule="auto"/>
            <w:jc w:val="both"/>
            <w:rPr>
              <w:rFonts w:asciiTheme="minorHAnsi" w:hAnsiTheme="minorHAnsi" w:cstheme="minorHAnsi"/>
              <w:color w:val="000000" w:themeColor="text1"/>
              <w:szCs w:val="22"/>
              <w:lang w:val="de-DE"/>
            </w:rPr>
          </w:pPr>
          <w:r w:rsidRPr="005341C2">
            <w:rPr>
              <w:rFonts w:asciiTheme="minorHAnsi" w:hAnsiTheme="minorHAnsi" w:cstheme="minorHAnsi"/>
              <w:color w:val="000000" w:themeColor="text1"/>
              <w:szCs w:val="22"/>
              <w:lang w:val="de-DE"/>
            </w:rPr>
            <w:t>Inhalt</w:t>
          </w:r>
          <w:r w:rsidR="00EB0F6F" w:rsidRPr="005341C2">
            <w:rPr>
              <w:rFonts w:asciiTheme="minorHAnsi" w:hAnsiTheme="minorHAnsi" w:cstheme="minorHAnsi"/>
              <w:color w:val="000000" w:themeColor="text1"/>
              <w:szCs w:val="22"/>
              <w:lang w:val="de-DE"/>
            </w:rPr>
            <w:t>s</w:t>
          </w:r>
          <w:r w:rsidRPr="005341C2">
            <w:rPr>
              <w:rFonts w:asciiTheme="minorHAnsi" w:hAnsiTheme="minorHAnsi" w:cstheme="minorHAnsi"/>
              <w:color w:val="000000" w:themeColor="text1"/>
              <w:szCs w:val="22"/>
              <w:lang w:val="de-DE"/>
            </w:rPr>
            <w:t>verzeichnis</w:t>
          </w:r>
        </w:p>
        <w:p w14:paraId="5389EB46" w14:textId="77777777" w:rsidR="007F3064" w:rsidRPr="00463666" w:rsidRDefault="007F3064" w:rsidP="00E90D86">
          <w:pPr>
            <w:spacing w:line="240" w:lineRule="auto"/>
            <w:jc w:val="both"/>
            <w:rPr>
              <w:rFonts w:asciiTheme="minorHAnsi" w:hAnsiTheme="minorHAnsi" w:cstheme="minorHAnsi"/>
              <w:color w:val="000000" w:themeColor="text1"/>
              <w:sz w:val="8"/>
              <w:szCs w:val="8"/>
              <w:lang w:val="de-DE" w:eastAsia="de-AT"/>
            </w:rPr>
          </w:pPr>
        </w:p>
        <w:p w14:paraId="350D8D63" w14:textId="38665A9F" w:rsidR="004A6C36" w:rsidRPr="00463666" w:rsidRDefault="00822E59" w:rsidP="005341C2">
          <w:pPr>
            <w:pStyle w:val="Verzeichnis1"/>
            <w:spacing w:after="60"/>
            <w:rPr>
              <w:rFonts w:eastAsiaTheme="minorEastAsia"/>
              <w:szCs w:val="20"/>
              <w:lang w:eastAsia="de-AT"/>
            </w:rPr>
          </w:pPr>
          <w:r w:rsidRPr="00463666">
            <w:rPr>
              <w:color w:val="000000" w:themeColor="text1"/>
              <w:szCs w:val="20"/>
            </w:rPr>
            <w:fldChar w:fldCharType="begin"/>
          </w:r>
          <w:r w:rsidR="007F3064" w:rsidRPr="00463666">
            <w:rPr>
              <w:color w:val="000000" w:themeColor="text1"/>
              <w:szCs w:val="20"/>
            </w:rPr>
            <w:instrText xml:space="preserve"> TOC \o "1-3" \h \z \u </w:instrText>
          </w:r>
          <w:r w:rsidRPr="00463666">
            <w:rPr>
              <w:color w:val="000000" w:themeColor="text1"/>
              <w:szCs w:val="20"/>
            </w:rPr>
            <w:fldChar w:fldCharType="separate"/>
          </w:r>
          <w:hyperlink w:anchor="_Toc74412385" w:history="1">
            <w:r w:rsidR="004A6C36" w:rsidRPr="00463666">
              <w:rPr>
                <w:rStyle w:val="Hyperlink"/>
                <w:szCs w:val="20"/>
              </w:rPr>
              <w:t>1</w:t>
            </w:r>
            <w:r w:rsidR="004A6C36" w:rsidRPr="00463666">
              <w:rPr>
                <w:rFonts w:eastAsiaTheme="minorEastAsia"/>
                <w:szCs w:val="20"/>
                <w:lang w:eastAsia="de-AT"/>
              </w:rPr>
              <w:tab/>
            </w:r>
            <w:r w:rsidR="004A6C36" w:rsidRPr="00463666">
              <w:rPr>
                <w:rStyle w:val="Hyperlink"/>
                <w:szCs w:val="20"/>
              </w:rPr>
              <w:t>Allgemeines</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_Toc74412385 \h </w:instrText>
            </w:r>
            <w:r w:rsidR="004A6C36" w:rsidRPr="00463666">
              <w:rPr>
                <w:webHidden/>
                <w:szCs w:val="20"/>
              </w:rPr>
            </w:r>
            <w:r w:rsidR="004A6C36" w:rsidRPr="00463666">
              <w:rPr>
                <w:webHidden/>
                <w:szCs w:val="20"/>
              </w:rPr>
              <w:fldChar w:fldCharType="separate"/>
            </w:r>
            <w:r w:rsidR="005341C2">
              <w:rPr>
                <w:webHidden/>
                <w:szCs w:val="20"/>
              </w:rPr>
              <w:t>4</w:t>
            </w:r>
            <w:r w:rsidR="004A6C36" w:rsidRPr="00463666">
              <w:rPr>
                <w:webHidden/>
                <w:szCs w:val="20"/>
              </w:rPr>
              <w:fldChar w:fldCharType="end"/>
            </w:r>
          </w:hyperlink>
        </w:p>
        <w:p w14:paraId="63F5F132" w14:textId="72B11257" w:rsidR="004A6C36" w:rsidRPr="00463666" w:rsidRDefault="00463666" w:rsidP="005341C2">
          <w:pPr>
            <w:pStyle w:val="Verzeichnis1"/>
            <w:spacing w:after="60"/>
            <w:rPr>
              <w:rFonts w:eastAsiaTheme="minorEastAsia"/>
              <w:szCs w:val="20"/>
              <w:lang w:eastAsia="de-AT"/>
            </w:rPr>
          </w:pPr>
          <w:hyperlink w:anchor="_Toc74412386" w:history="1">
            <w:r w:rsidR="004A6C36" w:rsidRPr="00463666">
              <w:rPr>
                <w:rStyle w:val="Hyperlink"/>
                <w:szCs w:val="20"/>
              </w:rPr>
              <w:t>2</w:t>
            </w:r>
            <w:r w:rsidR="004A6C36" w:rsidRPr="00463666">
              <w:rPr>
                <w:rFonts w:eastAsiaTheme="minorEastAsia"/>
                <w:szCs w:val="20"/>
                <w:lang w:eastAsia="de-AT"/>
              </w:rPr>
              <w:tab/>
            </w:r>
            <w:r w:rsidR="004A6C36" w:rsidRPr="00463666">
              <w:rPr>
                <w:rStyle w:val="Hyperlink"/>
                <w:szCs w:val="20"/>
              </w:rPr>
              <w:t>Diagnostik und Scoring</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_Toc74412386 \h </w:instrText>
            </w:r>
            <w:r w:rsidR="004A6C36" w:rsidRPr="00463666">
              <w:rPr>
                <w:webHidden/>
                <w:szCs w:val="20"/>
              </w:rPr>
            </w:r>
            <w:r w:rsidR="004A6C36" w:rsidRPr="00463666">
              <w:rPr>
                <w:webHidden/>
                <w:szCs w:val="20"/>
              </w:rPr>
              <w:fldChar w:fldCharType="separate"/>
            </w:r>
            <w:r w:rsidR="005341C2">
              <w:rPr>
                <w:webHidden/>
                <w:szCs w:val="20"/>
              </w:rPr>
              <w:t>5</w:t>
            </w:r>
            <w:r w:rsidR="004A6C36" w:rsidRPr="00463666">
              <w:rPr>
                <w:webHidden/>
                <w:szCs w:val="20"/>
              </w:rPr>
              <w:fldChar w:fldCharType="end"/>
            </w:r>
          </w:hyperlink>
        </w:p>
        <w:p w14:paraId="6D32EA05" w14:textId="2EEEB227"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87" w:history="1">
            <w:r w:rsidR="004A6C36" w:rsidRPr="00463666">
              <w:rPr>
                <w:rStyle w:val="Hyperlink"/>
                <w:rFonts w:asciiTheme="minorHAnsi" w:hAnsiTheme="minorHAnsi" w:cstheme="minorHAnsi"/>
                <w:noProof/>
                <w:sz w:val="20"/>
                <w:lang w:val="de-DE"/>
              </w:rPr>
              <w:t>2.1 Anamnese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_Toc74412387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5</w:t>
            </w:r>
            <w:r w:rsidR="004A6C36" w:rsidRPr="00463666">
              <w:rPr>
                <w:rFonts w:asciiTheme="minorHAnsi" w:hAnsiTheme="minorHAnsi" w:cstheme="minorHAnsi"/>
                <w:noProof/>
                <w:webHidden/>
                <w:sz w:val="20"/>
              </w:rPr>
              <w:fldChar w:fldCharType="end"/>
            </w:r>
          </w:hyperlink>
        </w:p>
        <w:p w14:paraId="5548C05F" w14:textId="288A1786"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88" w:history="1">
            <w:r w:rsidR="004A6C36" w:rsidRPr="00463666">
              <w:rPr>
                <w:rStyle w:val="Hyperlink"/>
                <w:rFonts w:asciiTheme="minorHAnsi" w:hAnsiTheme="minorHAnsi" w:cstheme="minorHAnsi"/>
                <w:noProof/>
                <w:sz w:val="20"/>
                <w:lang w:val="de-DE"/>
              </w:rPr>
              <w:t>2.2 Diagnostik</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_Toc74412388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5</w:t>
            </w:r>
            <w:r w:rsidR="004A6C36" w:rsidRPr="00463666">
              <w:rPr>
                <w:rFonts w:asciiTheme="minorHAnsi" w:hAnsiTheme="minorHAnsi" w:cstheme="minorHAnsi"/>
                <w:noProof/>
                <w:webHidden/>
                <w:sz w:val="20"/>
              </w:rPr>
              <w:fldChar w:fldCharType="end"/>
            </w:r>
          </w:hyperlink>
        </w:p>
        <w:p w14:paraId="6308CE68" w14:textId="11CDACF1"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89" w:history="1">
            <w:r w:rsidR="004A6C36" w:rsidRPr="00463666">
              <w:rPr>
                <w:rStyle w:val="Hyperlink"/>
                <w:rFonts w:asciiTheme="minorHAnsi" w:hAnsiTheme="minorHAnsi" w:cstheme="minorHAnsi"/>
                <w:noProof/>
                <w:sz w:val="20"/>
                <w:lang w:val="de-DE"/>
              </w:rPr>
              <w:t>2.3 Verlaufskontrollen mittels MRD-Diagnostik</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_Toc74412389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6</w:t>
            </w:r>
            <w:r w:rsidR="004A6C36" w:rsidRPr="00463666">
              <w:rPr>
                <w:rFonts w:asciiTheme="minorHAnsi" w:hAnsiTheme="minorHAnsi" w:cstheme="minorHAnsi"/>
                <w:noProof/>
                <w:webHidden/>
                <w:sz w:val="20"/>
              </w:rPr>
              <w:fldChar w:fldCharType="end"/>
            </w:r>
          </w:hyperlink>
        </w:p>
        <w:p w14:paraId="63E35A13" w14:textId="433A099C"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90" w:history="1">
            <w:r w:rsidR="004A6C36" w:rsidRPr="00463666">
              <w:rPr>
                <w:rStyle w:val="Hyperlink"/>
                <w:rFonts w:asciiTheme="minorHAnsi" w:hAnsiTheme="minorHAnsi" w:cstheme="minorHAnsi"/>
                <w:noProof/>
                <w:sz w:val="20"/>
                <w:lang w:val="de-DE"/>
              </w:rPr>
              <w:t>2.4 Klassifikation nach WHO-2017</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_Toc74412390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7</w:t>
            </w:r>
            <w:r w:rsidR="004A6C36" w:rsidRPr="00463666">
              <w:rPr>
                <w:rFonts w:asciiTheme="minorHAnsi" w:hAnsiTheme="minorHAnsi" w:cstheme="minorHAnsi"/>
                <w:noProof/>
                <w:webHidden/>
                <w:sz w:val="20"/>
              </w:rPr>
              <w:fldChar w:fldCharType="end"/>
            </w:r>
          </w:hyperlink>
        </w:p>
        <w:p w14:paraId="24037321" w14:textId="1F93B0DB"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91" w:history="1">
            <w:r w:rsidR="004A6C36" w:rsidRPr="00463666">
              <w:rPr>
                <w:rStyle w:val="Hyperlink"/>
                <w:rFonts w:asciiTheme="minorHAnsi" w:hAnsiTheme="minorHAnsi" w:cstheme="minorHAnsi"/>
                <w:noProof/>
                <w:sz w:val="20"/>
                <w:lang w:val="de-DE"/>
              </w:rPr>
              <w:t>2.5. Assoziation zwischen Molekularbiologie, Prognose &amp; möglichen Therapien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_Toc74412391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8</w:t>
            </w:r>
            <w:r w:rsidR="004A6C36" w:rsidRPr="00463666">
              <w:rPr>
                <w:rFonts w:asciiTheme="minorHAnsi" w:hAnsiTheme="minorHAnsi" w:cstheme="minorHAnsi"/>
                <w:noProof/>
                <w:webHidden/>
                <w:sz w:val="20"/>
              </w:rPr>
              <w:fldChar w:fldCharType="end"/>
            </w:r>
          </w:hyperlink>
        </w:p>
        <w:p w14:paraId="336485DE" w14:textId="49154C9C"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92" w:history="1">
            <w:r w:rsidR="004A6C36" w:rsidRPr="00463666">
              <w:rPr>
                <w:rStyle w:val="Hyperlink"/>
                <w:rFonts w:asciiTheme="minorHAnsi" w:hAnsiTheme="minorHAnsi" w:cstheme="minorHAnsi"/>
                <w:noProof/>
                <w:sz w:val="20"/>
                <w:lang w:val="de-DE"/>
              </w:rPr>
              <w:t>2.6. Einteilung gemäß GMALL nach Immunphänotyp und Molekulargenetik</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_Toc74412392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9</w:t>
            </w:r>
            <w:r w:rsidR="004A6C36" w:rsidRPr="00463666">
              <w:rPr>
                <w:rFonts w:asciiTheme="minorHAnsi" w:hAnsiTheme="minorHAnsi" w:cstheme="minorHAnsi"/>
                <w:noProof/>
                <w:webHidden/>
                <w:sz w:val="20"/>
              </w:rPr>
              <w:fldChar w:fldCharType="end"/>
            </w:r>
          </w:hyperlink>
        </w:p>
        <w:p w14:paraId="32705710" w14:textId="779EFC65"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93" w:history="1">
            <w:r w:rsidR="004A6C36" w:rsidRPr="00463666">
              <w:rPr>
                <w:rStyle w:val="Hyperlink"/>
                <w:rFonts w:asciiTheme="minorHAnsi" w:hAnsiTheme="minorHAnsi" w:cstheme="minorHAnsi"/>
                <w:noProof/>
                <w:sz w:val="20"/>
                <w:lang w:val="de-DE"/>
              </w:rPr>
              <w:t>2.7 Risikoeinteilung zur Festlegung des Behandlungsalgorithmus</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_Toc74412393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10</w:t>
            </w:r>
            <w:r w:rsidR="004A6C36" w:rsidRPr="00463666">
              <w:rPr>
                <w:rFonts w:asciiTheme="minorHAnsi" w:hAnsiTheme="minorHAnsi" w:cstheme="minorHAnsi"/>
                <w:noProof/>
                <w:webHidden/>
                <w:sz w:val="20"/>
              </w:rPr>
              <w:fldChar w:fldCharType="end"/>
            </w:r>
          </w:hyperlink>
        </w:p>
        <w:p w14:paraId="1AC8CA3F" w14:textId="33D0F4D9"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394" w:history="1">
            <w:r w:rsidR="004A6C36" w:rsidRPr="00463666">
              <w:rPr>
                <w:rStyle w:val="Hyperlink"/>
                <w:rFonts w:asciiTheme="minorHAnsi" w:hAnsiTheme="minorHAnsi" w:cstheme="minorHAnsi"/>
                <w:noProof/>
                <w:sz w:val="20"/>
                <w:lang w:val="de-DE"/>
              </w:rPr>
              <w:t>2.7.1 Risikogruppen gemäß AIEOP 2017</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_Toc74412394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10</w:t>
            </w:r>
            <w:r w:rsidR="004A6C36" w:rsidRPr="00463666">
              <w:rPr>
                <w:rFonts w:asciiTheme="minorHAnsi" w:hAnsiTheme="minorHAnsi" w:cstheme="minorHAnsi"/>
                <w:noProof/>
                <w:webHidden/>
                <w:sz w:val="20"/>
              </w:rPr>
              <w:fldChar w:fldCharType="end"/>
            </w:r>
          </w:hyperlink>
        </w:p>
        <w:p w14:paraId="240386AA" w14:textId="5C14AB62"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395" w:history="1">
            <w:r w:rsidR="004A6C36" w:rsidRPr="00463666">
              <w:rPr>
                <w:rStyle w:val="Hyperlink"/>
                <w:rFonts w:asciiTheme="minorHAnsi" w:hAnsiTheme="minorHAnsi" w:cstheme="minorHAnsi"/>
                <w:noProof/>
                <w:sz w:val="20"/>
                <w:lang w:val="de-DE"/>
              </w:rPr>
              <w:t>2.7.2. Risikogruppen nach GMALL</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_Toc74412395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11</w:t>
            </w:r>
            <w:r w:rsidR="004A6C36" w:rsidRPr="00463666">
              <w:rPr>
                <w:rFonts w:asciiTheme="minorHAnsi" w:hAnsiTheme="minorHAnsi" w:cstheme="minorHAnsi"/>
                <w:noProof/>
                <w:webHidden/>
                <w:sz w:val="20"/>
              </w:rPr>
              <w:fldChar w:fldCharType="end"/>
            </w:r>
          </w:hyperlink>
        </w:p>
        <w:p w14:paraId="3651EEF1" w14:textId="18403BC5"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396" w:history="1">
            <w:r w:rsidR="004A6C36" w:rsidRPr="00463666">
              <w:rPr>
                <w:rStyle w:val="Hyperlink"/>
                <w:rFonts w:asciiTheme="minorHAnsi" w:hAnsiTheme="minorHAnsi" w:cstheme="minorHAnsi"/>
                <w:noProof/>
                <w:sz w:val="20"/>
                <w:lang w:val="de-DE"/>
              </w:rPr>
              <w:t>2.8 ZNS-Befall und Therapiealgorithmus</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_Toc74412396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12</w:t>
            </w:r>
            <w:r w:rsidR="004A6C36" w:rsidRPr="00463666">
              <w:rPr>
                <w:rFonts w:asciiTheme="minorHAnsi" w:hAnsiTheme="minorHAnsi" w:cstheme="minorHAnsi"/>
                <w:noProof/>
                <w:webHidden/>
                <w:sz w:val="20"/>
              </w:rPr>
              <w:fldChar w:fldCharType="end"/>
            </w:r>
          </w:hyperlink>
        </w:p>
        <w:p w14:paraId="00485C76" w14:textId="36F64D7B"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397" w:history="1">
            <w:r w:rsidR="004A6C36" w:rsidRPr="00463666">
              <w:rPr>
                <w:rStyle w:val="Hyperlink"/>
                <w:rFonts w:asciiTheme="minorHAnsi" w:hAnsiTheme="minorHAnsi" w:cstheme="minorHAnsi"/>
                <w:noProof/>
                <w:sz w:val="20"/>
                <w:lang w:val="de-DE"/>
              </w:rPr>
              <w:t>2.8.1. ZNS-Therapie bei Behandlung nach AIEOP-Protokoll 2009</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_Toc74412397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12</w:t>
            </w:r>
            <w:r w:rsidR="004A6C36" w:rsidRPr="00463666">
              <w:rPr>
                <w:rFonts w:asciiTheme="minorHAnsi" w:hAnsiTheme="minorHAnsi" w:cstheme="minorHAnsi"/>
                <w:noProof/>
                <w:webHidden/>
                <w:sz w:val="20"/>
              </w:rPr>
              <w:fldChar w:fldCharType="end"/>
            </w:r>
          </w:hyperlink>
        </w:p>
        <w:p w14:paraId="730FC43A" w14:textId="464EA3C2"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398" w:history="1">
            <w:r w:rsidR="004A6C36" w:rsidRPr="00463666">
              <w:rPr>
                <w:rStyle w:val="Hyperlink"/>
                <w:rFonts w:asciiTheme="minorHAnsi" w:hAnsiTheme="minorHAnsi" w:cstheme="minorHAnsi"/>
                <w:noProof/>
                <w:sz w:val="20"/>
                <w:lang w:val="de-DE"/>
              </w:rPr>
              <w:t>2.8.2. ZNS-Therapie bei Behandlung nach GMALL-Protokollen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_Toc74412398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13</w:t>
            </w:r>
            <w:r w:rsidR="004A6C36" w:rsidRPr="00463666">
              <w:rPr>
                <w:rFonts w:asciiTheme="minorHAnsi" w:hAnsiTheme="minorHAnsi" w:cstheme="minorHAnsi"/>
                <w:noProof/>
                <w:webHidden/>
                <w:sz w:val="20"/>
              </w:rPr>
              <w:fldChar w:fldCharType="end"/>
            </w:r>
          </w:hyperlink>
        </w:p>
        <w:p w14:paraId="3EE7C91A" w14:textId="340988CB" w:rsidR="004A6C36" w:rsidRPr="00463666" w:rsidRDefault="00463666" w:rsidP="005341C2">
          <w:pPr>
            <w:pStyle w:val="Verzeichnis1"/>
            <w:spacing w:after="60"/>
            <w:rPr>
              <w:rFonts w:eastAsiaTheme="minorEastAsia"/>
              <w:szCs w:val="20"/>
              <w:lang w:eastAsia="de-AT"/>
            </w:rPr>
          </w:pPr>
          <w:hyperlink w:anchor="_Toc74412399" w:history="1">
            <w:r w:rsidR="004A6C36" w:rsidRPr="00463666">
              <w:rPr>
                <w:rStyle w:val="Hyperlink"/>
                <w:szCs w:val="20"/>
              </w:rPr>
              <w:t>3</w:t>
            </w:r>
            <w:r w:rsidR="004A6C36" w:rsidRPr="00463666">
              <w:rPr>
                <w:rFonts w:eastAsiaTheme="minorEastAsia"/>
                <w:szCs w:val="20"/>
                <w:lang w:eastAsia="de-AT"/>
              </w:rPr>
              <w:tab/>
            </w:r>
            <w:r w:rsidR="004A6C36" w:rsidRPr="00463666">
              <w:rPr>
                <w:rStyle w:val="Hyperlink"/>
                <w:szCs w:val="20"/>
              </w:rPr>
              <w:t>Behandlungsplan</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_Toc74412399 \h </w:instrText>
            </w:r>
            <w:r w:rsidR="004A6C36" w:rsidRPr="00463666">
              <w:rPr>
                <w:webHidden/>
                <w:szCs w:val="20"/>
              </w:rPr>
            </w:r>
            <w:r w:rsidR="004A6C36" w:rsidRPr="00463666">
              <w:rPr>
                <w:webHidden/>
                <w:szCs w:val="20"/>
              </w:rPr>
              <w:fldChar w:fldCharType="separate"/>
            </w:r>
            <w:r w:rsidR="005341C2">
              <w:rPr>
                <w:webHidden/>
                <w:szCs w:val="20"/>
              </w:rPr>
              <w:t>14</w:t>
            </w:r>
            <w:r w:rsidR="004A6C36" w:rsidRPr="00463666">
              <w:rPr>
                <w:webHidden/>
                <w:szCs w:val="20"/>
              </w:rPr>
              <w:fldChar w:fldCharType="end"/>
            </w:r>
          </w:hyperlink>
        </w:p>
        <w:p w14:paraId="5D1ABF30" w14:textId="55CA2E3A"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00" w:history="1">
            <w:r w:rsidR="004A6C36" w:rsidRPr="00463666">
              <w:rPr>
                <w:rStyle w:val="Hyperlink"/>
                <w:rFonts w:asciiTheme="minorHAnsi" w:hAnsiTheme="minorHAnsi" w:cstheme="minorHAnsi"/>
                <w:noProof/>
                <w:sz w:val="20"/>
                <w:lang w:val="de-DE"/>
              </w:rPr>
              <w:t>3.1 Übersichtsplan bei Erstdiagnose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_Toc74412400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14</w:t>
            </w:r>
            <w:r w:rsidR="004A6C36" w:rsidRPr="00463666">
              <w:rPr>
                <w:rFonts w:asciiTheme="minorHAnsi" w:hAnsiTheme="minorHAnsi" w:cstheme="minorHAnsi"/>
                <w:noProof/>
                <w:webHidden/>
                <w:sz w:val="20"/>
              </w:rPr>
              <w:fldChar w:fldCharType="end"/>
            </w:r>
          </w:hyperlink>
        </w:p>
        <w:p w14:paraId="66257EFC" w14:textId="44C1362D"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01" w:history="1">
            <w:r w:rsidR="004A6C36" w:rsidRPr="00463666">
              <w:rPr>
                <w:rStyle w:val="Hyperlink"/>
                <w:rFonts w:asciiTheme="minorHAnsi" w:hAnsiTheme="minorHAnsi" w:cstheme="minorHAnsi"/>
                <w:noProof/>
                <w:sz w:val="20"/>
                <w:lang w:val="de-DE"/>
              </w:rPr>
              <w:t>3.2 Praxisrelevantes Basiswissen für AIEOP- und GMALL-Protokolle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_Toc74412401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14</w:t>
            </w:r>
            <w:r w:rsidR="004A6C36" w:rsidRPr="00463666">
              <w:rPr>
                <w:rFonts w:asciiTheme="minorHAnsi" w:hAnsiTheme="minorHAnsi" w:cstheme="minorHAnsi"/>
                <w:noProof/>
                <w:webHidden/>
                <w:sz w:val="20"/>
              </w:rPr>
              <w:fldChar w:fldCharType="end"/>
            </w:r>
          </w:hyperlink>
        </w:p>
        <w:p w14:paraId="47856EA0" w14:textId="395BCE52"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02" w:history="1">
            <w:r w:rsidR="004A6C36" w:rsidRPr="00463666">
              <w:rPr>
                <w:rStyle w:val="Hyperlink"/>
                <w:rFonts w:asciiTheme="minorHAnsi" w:hAnsiTheme="minorHAnsi" w:cstheme="minorHAnsi"/>
                <w:noProof/>
                <w:sz w:val="20"/>
                <w:lang w:val="de-DE"/>
              </w:rPr>
              <w:t>3.3. BCR-ABL-negative ALL bis zum 25. Lebensjahr (AIEOP)</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_Toc74412402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16</w:t>
            </w:r>
            <w:r w:rsidR="004A6C36" w:rsidRPr="00463666">
              <w:rPr>
                <w:rFonts w:asciiTheme="minorHAnsi" w:hAnsiTheme="minorHAnsi" w:cstheme="minorHAnsi"/>
                <w:noProof/>
                <w:webHidden/>
                <w:sz w:val="20"/>
              </w:rPr>
              <w:fldChar w:fldCharType="end"/>
            </w:r>
          </w:hyperlink>
        </w:p>
        <w:p w14:paraId="64F1CB3C" w14:textId="138018FE"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3" w:history="1">
            <w:r w:rsidR="004A6C36" w:rsidRPr="00463666">
              <w:rPr>
                <w:rStyle w:val="Hyperlink"/>
                <w:rFonts w:asciiTheme="minorHAnsi" w:hAnsiTheme="minorHAnsi" w:cstheme="minorHAnsi"/>
                <w:noProof/>
                <w:sz w:val="20"/>
                <w:lang w:val="de-DE"/>
              </w:rPr>
              <w:t>3.3.1 Übersichtsplan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_Toc74412403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16</w:t>
            </w:r>
            <w:r w:rsidR="004A6C36" w:rsidRPr="00463666">
              <w:rPr>
                <w:rFonts w:asciiTheme="minorHAnsi" w:hAnsiTheme="minorHAnsi" w:cstheme="minorHAnsi"/>
                <w:noProof/>
                <w:webHidden/>
                <w:sz w:val="20"/>
              </w:rPr>
              <w:fldChar w:fldCharType="end"/>
            </w:r>
          </w:hyperlink>
        </w:p>
        <w:p w14:paraId="2B0EB835" w14:textId="29F4C818"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4" w:history="1">
            <w:r w:rsidR="004A6C36" w:rsidRPr="00463666">
              <w:rPr>
                <w:rStyle w:val="Hyperlink"/>
                <w:rFonts w:asciiTheme="minorHAnsi" w:hAnsiTheme="minorHAnsi" w:cstheme="minorHAnsi"/>
                <w:noProof/>
                <w:sz w:val="20"/>
                <w:lang w:val="de-DE"/>
              </w:rPr>
              <w:t>3.3.2 Behandlungsstratifizierung gemäß Risikogruppe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_Toc74412404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17</w:t>
            </w:r>
            <w:r w:rsidR="004A6C36" w:rsidRPr="00463666">
              <w:rPr>
                <w:rFonts w:asciiTheme="minorHAnsi" w:hAnsiTheme="minorHAnsi" w:cstheme="minorHAnsi"/>
                <w:noProof/>
                <w:webHidden/>
                <w:sz w:val="20"/>
              </w:rPr>
              <w:fldChar w:fldCharType="end"/>
            </w:r>
          </w:hyperlink>
        </w:p>
        <w:p w14:paraId="6EBD82F2" w14:textId="6EA5746E"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5" w:history="1">
            <w:r w:rsidR="004A6C36" w:rsidRPr="00463666">
              <w:rPr>
                <w:rStyle w:val="Hyperlink"/>
                <w:rFonts w:asciiTheme="minorHAnsi" w:hAnsiTheme="minorHAnsi" w:cstheme="minorHAnsi"/>
                <w:noProof/>
                <w:sz w:val="20"/>
                <w:lang w:val="de-DE"/>
              </w:rPr>
              <w:t>3.3.3 Laboruntersuchungen gemäß AIEOP</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_Toc74412405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19</w:t>
            </w:r>
            <w:r w:rsidR="004A6C36" w:rsidRPr="00463666">
              <w:rPr>
                <w:rFonts w:asciiTheme="minorHAnsi" w:hAnsiTheme="minorHAnsi" w:cstheme="minorHAnsi"/>
                <w:noProof/>
                <w:webHidden/>
                <w:sz w:val="20"/>
              </w:rPr>
              <w:fldChar w:fldCharType="end"/>
            </w:r>
          </w:hyperlink>
        </w:p>
        <w:p w14:paraId="775578DE" w14:textId="058B9628"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6" w:history="1">
            <w:r w:rsidR="004A6C36" w:rsidRPr="00463666">
              <w:rPr>
                <w:rStyle w:val="Hyperlink"/>
                <w:rFonts w:asciiTheme="minorHAnsi" w:hAnsiTheme="minorHAnsi" w:cstheme="minorHAnsi"/>
                <w:noProof/>
                <w:sz w:val="20"/>
                <w:lang w:val="de-DE"/>
              </w:rPr>
              <w:t>3.3.4 Beginn, Unterbrechung &amp; Wiederbeginn von Therapieblöcken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_Toc74412406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20</w:t>
            </w:r>
            <w:r w:rsidR="004A6C36" w:rsidRPr="00463666">
              <w:rPr>
                <w:rFonts w:asciiTheme="minorHAnsi" w:hAnsiTheme="minorHAnsi" w:cstheme="minorHAnsi"/>
                <w:noProof/>
                <w:webHidden/>
                <w:sz w:val="20"/>
              </w:rPr>
              <w:fldChar w:fldCharType="end"/>
            </w:r>
          </w:hyperlink>
        </w:p>
        <w:p w14:paraId="250ADFB3" w14:textId="5FB16B9B"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7" w:history="1">
            <w:r w:rsidR="004A6C36" w:rsidRPr="00463666">
              <w:rPr>
                <w:rStyle w:val="Hyperlink"/>
                <w:rFonts w:asciiTheme="minorHAnsi" w:hAnsiTheme="minorHAnsi" w:cstheme="minorHAnsi"/>
                <w:noProof/>
                <w:sz w:val="20"/>
                <w:lang w:val="de-DE"/>
              </w:rPr>
              <w:t>3.3.5 Indikationen zur allogenen Stammzelltransplantation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_Toc74412407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24</w:t>
            </w:r>
            <w:r w:rsidR="004A6C36" w:rsidRPr="00463666">
              <w:rPr>
                <w:rFonts w:asciiTheme="minorHAnsi" w:hAnsiTheme="minorHAnsi" w:cstheme="minorHAnsi"/>
                <w:noProof/>
                <w:webHidden/>
                <w:sz w:val="20"/>
              </w:rPr>
              <w:fldChar w:fldCharType="end"/>
            </w:r>
          </w:hyperlink>
        </w:p>
        <w:p w14:paraId="2D34A407" w14:textId="17C61E73"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08" w:history="1">
            <w:r w:rsidR="004A6C36" w:rsidRPr="00463666">
              <w:rPr>
                <w:rStyle w:val="Hyperlink"/>
                <w:rFonts w:asciiTheme="minorHAnsi" w:hAnsiTheme="minorHAnsi" w:cstheme="minorHAnsi"/>
                <w:noProof/>
                <w:sz w:val="20"/>
                <w:lang w:val="de-DE"/>
              </w:rPr>
              <w:t>3.4. ALL-Behandlung nach GMALL-Protokollen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_Toc74412408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25</w:t>
            </w:r>
            <w:r w:rsidR="004A6C36" w:rsidRPr="00463666">
              <w:rPr>
                <w:rFonts w:asciiTheme="minorHAnsi" w:hAnsiTheme="minorHAnsi" w:cstheme="minorHAnsi"/>
                <w:noProof/>
                <w:webHidden/>
                <w:sz w:val="20"/>
              </w:rPr>
              <w:fldChar w:fldCharType="end"/>
            </w:r>
          </w:hyperlink>
        </w:p>
        <w:p w14:paraId="57857DC1" w14:textId="0BCAE28D"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09" w:history="1">
            <w:r w:rsidR="004A6C36" w:rsidRPr="00463666">
              <w:rPr>
                <w:rStyle w:val="Hyperlink"/>
                <w:rFonts w:asciiTheme="minorHAnsi" w:hAnsiTheme="minorHAnsi" w:cstheme="minorHAnsi"/>
                <w:noProof/>
                <w:sz w:val="20"/>
                <w:lang w:val="de-DE"/>
              </w:rPr>
              <w:t>3.4.1. GMALL-Protokolle ALL/LBL im Alter bis 55 Jahre und elderly (56-75 Jahre)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_Toc74412409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25</w:t>
            </w:r>
            <w:r w:rsidR="004A6C36" w:rsidRPr="00463666">
              <w:rPr>
                <w:rFonts w:asciiTheme="minorHAnsi" w:hAnsiTheme="minorHAnsi" w:cstheme="minorHAnsi"/>
                <w:noProof/>
                <w:webHidden/>
                <w:sz w:val="20"/>
              </w:rPr>
              <w:fldChar w:fldCharType="end"/>
            </w:r>
          </w:hyperlink>
        </w:p>
        <w:p w14:paraId="37362D74" w14:textId="437B3480"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0" w:history="1">
            <w:r w:rsidR="004A6C36" w:rsidRPr="00463666">
              <w:rPr>
                <w:rStyle w:val="Hyperlink"/>
                <w:rFonts w:asciiTheme="minorHAnsi" w:hAnsiTheme="minorHAnsi" w:cstheme="minorHAnsi"/>
                <w:noProof/>
                <w:sz w:val="20"/>
                <w:lang w:val="de-DE"/>
              </w:rPr>
              <w:t>3.4.2. B-Vorläufer-ALL, T-ALL und B-/T-LBL beim jüngeren Erwachsenen (25-55a)</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_Toc74412410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27</w:t>
            </w:r>
            <w:r w:rsidR="004A6C36" w:rsidRPr="00463666">
              <w:rPr>
                <w:rFonts w:asciiTheme="minorHAnsi" w:hAnsiTheme="minorHAnsi" w:cstheme="minorHAnsi"/>
                <w:noProof/>
                <w:webHidden/>
                <w:sz w:val="20"/>
              </w:rPr>
              <w:fldChar w:fldCharType="end"/>
            </w:r>
          </w:hyperlink>
        </w:p>
        <w:p w14:paraId="347A9AE6" w14:textId="33BFCFAD"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1" w:history="1">
            <w:r w:rsidR="004A6C36" w:rsidRPr="00463666">
              <w:rPr>
                <w:rStyle w:val="Hyperlink"/>
                <w:rFonts w:asciiTheme="minorHAnsi" w:hAnsiTheme="minorHAnsi" w:cstheme="minorHAnsi"/>
                <w:noProof/>
                <w:sz w:val="20"/>
                <w:lang w:val="de-DE"/>
              </w:rPr>
              <w:t>3.4.3. B-Vorläufer-ALL, T-ALL und B-/T-LBL beim älteren Erwachsenen (56-75a)</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_Toc74412411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30</w:t>
            </w:r>
            <w:r w:rsidR="004A6C36" w:rsidRPr="00463666">
              <w:rPr>
                <w:rFonts w:asciiTheme="minorHAnsi" w:hAnsiTheme="minorHAnsi" w:cstheme="minorHAnsi"/>
                <w:noProof/>
                <w:webHidden/>
                <w:sz w:val="20"/>
              </w:rPr>
              <w:fldChar w:fldCharType="end"/>
            </w:r>
          </w:hyperlink>
        </w:p>
        <w:p w14:paraId="5E9548A3" w14:textId="51B9B6AD"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2" w:history="1">
            <w:r w:rsidR="004A6C36" w:rsidRPr="00463666">
              <w:rPr>
                <w:rStyle w:val="Hyperlink"/>
                <w:rFonts w:asciiTheme="minorHAnsi" w:hAnsiTheme="minorHAnsi" w:cstheme="minorHAnsi"/>
                <w:noProof/>
                <w:sz w:val="20"/>
                <w:lang w:val="de-DE"/>
              </w:rPr>
              <w:t>3.4.4. B-Vorläufer-ALL, T-ALL und B-/T-LBL für gebrechliche Patienten („frail“)</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_Toc74412412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33</w:t>
            </w:r>
            <w:r w:rsidR="004A6C36" w:rsidRPr="00463666">
              <w:rPr>
                <w:rFonts w:asciiTheme="minorHAnsi" w:hAnsiTheme="minorHAnsi" w:cstheme="minorHAnsi"/>
                <w:noProof/>
                <w:webHidden/>
                <w:sz w:val="20"/>
              </w:rPr>
              <w:fldChar w:fldCharType="end"/>
            </w:r>
          </w:hyperlink>
        </w:p>
        <w:p w14:paraId="20108250" w14:textId="76DD2F23"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13" w:history="1">
            <w:r w:rsidR="004A6C36" w:rsidRPr="00463666">
              <w:rPr>
                <w:rStyle w:val="Hyperlink"/>
                <w:rFonts w:asciiTheme="minorHAnsi" w:hAnsiTheme="minorHAnsi" w:cstheme="minorHAnsi"/>
                <w:noProof/>
                <w:sz w:val="20"/>
                <w:lang w:val="de-DE"/>
              </w:rPr>
              <w:t>3.5. Rezidiv</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_Toc74412413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34</w:t>
            </w:r>
            <w:r w:rsidR="004A6C36" w:rsidRPr="00463666">
              <w:rPr>
                <w:rFonts w:asciiTheme="minorHAnsi" w:hAnsiTheme="minorHAnsi" w:cstheme="minorHAnsi"/>
                <w:noProof/>
                <w:webHidden/>
                <w:sz w:val="20"/>
              </w:rPr>
              <w:fldChar w:fldCharType="end"/>
            </w:r>
          </w:hyperlink>
        </w:p>
        <w:p w14:paraId="3463FC86" w14:textId="4339D497"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4" w:history="1">
            <w:r w:rsidR="004A6C36" w:rsidRPr="00463666">
              <w:rPr>
                <w:rStyle w:val="Hyperlink"/>
                <w:rFonts w:asciiTheme="minorHAnsi" w:hAnsiTheme="minorHAnsi" w:cstheme="minorHAnsi"/>
                <w:noProof/>
                <w:sz w:val="20"/>
                <w:lang w:val="de-DE"/>
              </w:rPr>
              <w:t>3.5.1. Zeitpunkt des Rezidivs</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_Toc74412414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34</w:t>
            </w:r>
            <w:r w:rsidR="004A6C36" w:rsidRPr="00463666">
              <w:rPr>
                <w:rFonts w:asciiTheme="minorHAnsi" w:hAnsiTheme="minorHAnsi" w:cstheme="minorHAnsi"/>
                <w:noProof/>
                <w:webHidden/>
                <w:sz w:val="20"/>
              </w:rPr>
              <w:fldChar w:fldCharType="end"/>
            </w:r>
          </w:hyperlink>
        </w:p>
        <w:p w14:paraId="7ADB62C3" w14:textId="51BBE052"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5" w:history="1">
            <w:r w:rsidR="004A6C36" w:rsidRPr="00463666">
              <w:rPr>
                <w:rStyle w:val="Hyperlink"/>
                <w:rFonts w:asciiTheme="minorHAnsi" w:hAnsiTheme="minorHAnsi" w:cstheme="minorHAnsi"/>
                <w:noProof/>
                <w:sz w:val="20"/>
                <w:lang w:val="de-DE"/>
              </w:rPr>
              <w:t>3.5.2. Rezidivdiagnose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_Toc74412415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34</w:t>
            </w:r>
            <w:r w:rsidR="004A6C36" w:rsidRPr="00463666">
              <w:rPr>
                <w:rFonts w:asciiTheme="minorHAnsi" w:hAnsiTheme="minorHAnsi" w:cstheme="minorHAnsi"/>
                <w:noProof/>
                <w:webHidden/>
                <w:sz w:val="20"/>
              </w:rPr>
              <w:fldChar w:fldCharType="end"/>
            </w:r>
          </w:hyperlink>
        </w:p>
        <w:p w14:paraId="4D68DAFC" w14:textId="518CD4AF" w:rsidR="004A6C36" w:rsidRPr="00463666" w:rsidRDefault="00463666" w:rsidP="005341C2">
          <w:pPr>
            <w:pStyle w:val="Verzeichnis3"/>
            <w:tabs>
              <w:tab w:val="left" w:pos="851"/>
              <w:tab w:val="right" w:leader="dot" w:pos="9372"/>
            </w:tabs>
            <w:spacing w:after="60" w:line="240" w:lineRule="auto"/>
            <w:ind w:firstLine="411"/>
            <w:rPr>
              <w:rFonts w:asciiTheme="minorHAnsi" w:eastAsiaTheme="minorEastAsia" w:hAnsiTheme="minorHAnsi" w:cstheme="minorHAnsi"/>
              <w:noProof/>
              <w:sz w:val="20"/>
              <w:lang w:eastAsia="de-AT"/>
            </w:rPr>
          </w:pPr>
          <w:hyperlink w:anchor="_Toc74412416" w:history="1">
            <w:r w:rsidR="004A6C36" w:rsidRPr="00463666">
              <w:rPr>
                <w:rStyle w:val="Hyperlink"/>
                <w:rFonts w:asciiTheme="minorHAnsi" w:hAnsiTheme="minorHAnsi" w:cstheme="minorHAnsi"/>
                <w:noProof/>
                <w:sz w:val="20"/>
                <w:lang w:val="de-DE"/>
              </w:rPr>
              <w:t>3.5.3. Therapie des ersten Rezidivs</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_Toc74412416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35</w:t>
            </w:r>
            <w:r w:rsidR="004A6C36" w:rsidRPr="00463666">
              <w:rPr>
                <w:rFonts w:asciiTheme="minorHAnsi" w:hAnsiTheme="minorHAnsi" w:cstheme="minorHAnsi"/>
                <w:noProof/>
                <w:webHidden/>
                <w:sz w:val="20"/>
              </w:rPr>
              <w:fldChar w:fldCharType="end"/>
            </w:r>
          </w:hyperlink>
        </w:p>
        <w:p w14:paraId="4AA5D109" w14:textId="2573DB02"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17" w:history="1">
            <w:r w:rsidR="004A6C36" w:rsidRPr="00463666">
              <w:rPr>
                <w:rStyle w:val="Hyperlink"/>
                <w:rFonts w:asciiTheme="minorHAnsi" w:hAnsiTheme="minorHAnsi" w:cstheme="minorHAnsi"/>
                <w:noProof/>
                <w:sz w:val="20"/>
                <w:lang w:val="de-DE"/>
              </w:rPr>
              <w:t>3.6 Evaluierung des Therapieansprechen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_Toc74412417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39</w:t>
            </w:r>
            <w:r w:rsidR="004A6C36" w:rsidRPr="00463666">
              <w:rPr>
                <w:rFonts w:asciiTheme="minorHAnsi" w:hAnsiTheme="minorHAnsi" w:cstheme="minorHAnsi"/>
                <w:noProof/>
                <w:webHidden/>
                <w:sz w:val="20"/>
              </w:rPr>
              <w:fldChar w:fldCharType="end"/>
            </w:r>
          </w:hyperlink>
        </w:p>
        <w:p w14:paraId="565117CA" w14:textId="7E8BC714" w:rsidR="004A6C36" w:rsidRPr="00463666" w:rsidRDefault="00463666" w:rsidP="005341C2">
          <w:pPr>
            <w:pStyle w:val="Verzeichnis1"/>
            <w:spacing w:after="60"/>
            <w:rPr>
              <w:rFonts w:eastAsiaTheme="minorEastAsia"/>
              <w:szCs w:val="20"/>
              <w:lang w:eastAsia="de-AT"/>
            </w:rPr>
          </w:pPr>
          <w:hyperlink w:anchor="_Toc74412418" w:history="1">
            <w:r w:rsidR="004A6C36" w:rsidRPr="00463666">
              <w:rPr>
                <w:rStyle w:val="Hyperlink"/>
                <w:szCs w:val="20"/>
              </w:rPr>
              <w:t>4</w:t>
            </w:r>
            <w:r w:rsidR="004A6C36" w:rsidRPr="00463666">
              <w:rPr>
                <w:rFonts w:eastAsiaTheme="minorEastAsia"/>
                <w:szCs w:val="20"/>
                <w:lang w:eastAsia="de-AT"/>
              </w:rPr>
              <w:tab/>
            </w:r>
            <w:r w:rsidR="004A6C36" w:rsidRPr="00463666">
              <w:rPr>
                <w:rStyle w:val="Hyperlink"/>
                <w:szCs w:val="20"/>
              </w:rPr>
              <w:t>Besondere klinische Situationen</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_Toc74412418 \h </w:instrText>
            </w:r>
            <w:r w:rsidR="004A6C36" w:rsidRPr="00463666">
              <w:rPr>
                <w:webHidden/>
                <w:szCs w:val="20"/>
              </w:rPr>
            </w:r>
            <w:r w:rsidR="004A6C36" w:rsidRPr="00463666">
              <w:rPr>
                <w:webHidden/>
                <w:szCs w:val="20"/>
              </w:rPr>
              <w:fldChar w:fldCharType="separate"/>
            </w:r>
            <w:r w:rsidR="005341C2">
              <w:rPr>
                <w:webHidden/>
                <w:szCs w:val="20"/>
              </w:rPr>
              <w:t>41</w:t>
            </w:r>
            <w:r w:rsidR="004A6C36" w:rsidRPr="00463666">
              <w:rPr>
                <w:webHidden/>
                <w:szCs w:val="20"/>
              </w:rPr>
              <w:fldChar w:fldCharType="end"/>
            </w:r>
          </w:hyperlink>
        </w:p>
        <w:p w14:paraId="000A9234" w14:textId="404AB7EA"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19" w:history="1">
            <w:r w:rsidR="004A6C36" w:rsidRPr="00463666">
              <w:rPr>
                <w:rStyle w:val="Hyperlink"/>
                <w:rFonts w:asciiTheme="minorHAnsi" w:hAnsiTheme="minorHAnsi" w:cstheme="minorHAnsi"/>
                <w:noProof/>
                <w:sz w:val="20"/>
                <w:lang w:val="de-DE"/>
              </w:rPr>
              <w:t>4.1. Asparaginase</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_Toc74412419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41</w:t>
            </w:r>
            <w:r w:rsidR="004A6C36" w:rsidRPr="00463666">
              <w:rPr>
                <w:rFonts w:asciiTheme="minorHAnsi" w:hAnsiTheme="minorHAnsi" w:cstheme="minorHAnsi"/>
                <w:noProof/>
                <w:webHidden/>
                <w:sz w:val="20"/>
              </w:rPr>
              <w:fldChar w:fldCharType="end"/>
            </w:r>
          </w:hyperlink>
        </w:p>
        <w:p w14:paraId="309784FF" w14:textId="6400B256"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20" w:history="1">
            <w:r w:rsidR="004A6C36" w:rsidRPr="00463666">
              <w:rPr>
                <w:rStyle w:val="Hyperlink"/>
                <w:rFonts w:asciiTheme="minorHAnsi" w:hAnsiTheme="minorHAnsi" w:cstheme="minorHAnsi"/>
                <w:noProof/>
                <w:sz w:val="20"/>
                <w:lang w:val="de-DE"/>
              </w:rPr>
              <w:t>4.2 Methotrexat (MTX)</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_Toc74412420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43</w:t>
            </w:r>
            <w:r w:rsidR="004A6C36" w:rsidRPr="00463666">
              <w:rPr>
                <w:rFonts w:asciiTheme="minorHAnsi" w:hAnsiTheme="minorHAnsi" w:cstheme="minorHAnsi"/>
                <w:noProof/>
                <w:webHidden/>
                <w:sz w:val="20"/>
              </w:rPr>
              <w:fldChar w:fldCharType="end"/>
            </w:r>
          </w:hyperlink>
        </w:p>
        <w:p w14:paraId="3FD5F5A4" w14:textId="466815C9" w:rsidR="004A6C36" w:rsidRPr="00463666" w:rsidRDefault="00463666" w:rsidP="005341C2">
          <w:pPr>
            <w:pStyle w:val="Verzeichnis2"/>
            <w:spacing w:after="60"/>
            <w:rPr>
              <w:rFonts w:asciiTheme="minorHAnsi" w:eastAsiaTheme="minorEastAsia" w:hAnsiTheme="minorHAnsi" w:cstheme="minorHAnsi"/>
              <w:noProof/>
              <w:sz w:val="20"/>
              <w:lang w:eastAsia="de-AT"/>
            </w:rPr>
          </w:pPr>
          <w:hyperlink w:anchor="_Toc74412421" w:history="1">
            <w:r w:rsidR="004A6C36" w:rsidRPr="00463666">
              <w:rPr>
                <w:rStyle w:val="Hyperlink"/>
                <w:rFonts w:asciiTheme="minorHAnsi" w:hAnsiTheme="minorHAnsi" w:cstheme="minorHAnsi"/>
                <w:noProof/>
                <w:sz w:val="20"/>
                <w:lang w:val="de-DE"/>
              </w:rPr>
              <w:t>4.3 6-Mercaptopurin</w:t>
            </w:r>
            <w:r w:rsidR="004A6C36" w:rsidRPr="00463666">
              <w:rPr>
                <w:rFonts w:asciiTheme="minorHAnsi" w:hAnsiTheme="minorHAnsi" w:cstheme="minorHAnsi"/>
                <w:noProof/>
                <w:webHidden/>
                <w:sz w:val="20"/>
              </w:rPr>
              <w:tab/>
            </w:r>
            <w:r w:rsidR="004A6C36" w:rsidRPr="00463666">
              <w:rPr>
                <w:rFonts w:asciiTheme="minorHAnsi" w:hAnsiTheme="minorHAnsi" w:cstheme="minorHAnsi"/>
                <w:noProof/>
                <w:webHidden/>
                <w:sz w:val="20"/>
              </w:rPr>
              <w:fldChar w:fldCharType="begin"/>
            </w:r>
            <w:r w:rsidR="004A6C36" w:rsidRPr="00463666">
              <w:rPr>
                <w:rFonts w:asciiTheme="minorHAnsi" w:hAnsiTheme="minorHAnsi" w:cstheme="minorHAnsi"/>
                <w:noProof/>
                <w:webHidden/>
                <w:sz w:val="20"/>
              </w:rPr>
              <w:instrText xml:space="preserve"> PAGEREF _Toc74412421 \h </w:instrText>
            </w:r>
            <w:r w:rsidR="004A6C36" w:rsidRPr="00463666">
              <w:rPr>
                <w:rFonts w:asciiTheme="minorHAnsi" w:hAnsiTheme="minorHAnsi" w:cstheme="minorHAnsi"/>
                <w:noProof/>
                <w:webHidden/>
                <w:sz w:val="20"/>
              </w:rPr>
            </w:r>
            <w:r w:rsidR="004A6C36" w:rsidRPr="00463666">
              <w:rPr>
                <w:rFonts w:asciiTheme="minorHAnsi" w:hAnsiTheme="minorHAnsi" w:cstheme="minorHAnsi"/>
                <w:noProof/>
                <w:webHidden/>
                <w:sz w:val="20"/>
              </w:rPr>
              <w:fldChar w:fldCharType="separate"/>
            </w:r>
            <w:r w:rsidR="005341C2">
              <w:rPr>
                <w:rFonts w:asciiTheme="minorHAnsi" w:hAnsiTheme="minorHAnsi" w:cstheme="minorHAnsi"/>
                <w:noProof/>
                <w:webHidden/>
                <w:sz w:val="20"/>
              </w:rPr>
              <w:t>43</w:t>
            </w:r>
            <w:r w:rsidR="004A6C36" w:rsidRPr="00463666">
              <w:rPr>
                <w:rFonts w:asciiTheme="minorHAnsi" w:hAnsiTheme="minorHAnsi" w:cstheme="minorHAnsi"/>
                <w:noProof/>
                <w:webHidden/>
                <w:sz w:val="20"/>
              </w:rPr>
              <w:fldChar w:fldCharType="end"/>
            </w:r>
          </w:hyperlink>
        </w:p>
        <w:p w14:paraId="0E3D753D" w14:textId="6F6223AC" w:rsidR="004A6C36" w:rsidRPr="00463666" w:rsidRDefault="00463666" w:rsidP="005341C2">
          <w:pPr>
            <w:pStyle w:val="Verzeichnis1"/>
            <w:spacing w:after="60" w:line="360" w:lineRule="auto"/>
            <w:rPr>
              <w:rFonts w:eastAsiaTheme="minorEastAsia"/>
              <w:szCs w:val="20"/>
              <w:lang w:eastAsia="de-AT"/>
            </w:rPr>
          </w:pPr>
          <w:hyperlink w:anchor="_Toc74412422" w:history="1">
            <w:r w:rsidR="004A6C36" w:rsidRPr="00463666">
              <w:rPr>
                <w:rStyle w:val="Hyperlink"/>
                <w:szCs w:val="20"/>
              </w:rPr>
              <w:t>3</w:t>
            </w:r>
            <w:r w:rsidR="004A6C36" w:rsidRPr="00463666">
              <w:rPr>
                <w:rFonts w:eastAsiaTheme="minorEastAsia"/>
                <w:szCs w:val="20"/>
                <w:lang w:eastAsia="de-AT"/>
              </w:rPr>
              <w:tab/>
            </w:r>
            <w:r w:rsidR="004A6C36" w:rsidRPr="00463666">
              <w:rPr>
                <w:rStyle w:val="Hyperlink"/>
                <w:szCs w:val="20"/>
              </w:rPr>
              <w:t>Verlaufskontrolle und Nachsorge</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_Toc74412422 \h </w:instrText>
            </w:r>
            <w:r w:rsidR="004A6C36" w:rsidRPr="00463666">
              <w:rPr>
                <w:webHidden/>
                <w:szCs w:val="20"/>
              </w:rPr>
            </w:r>
            <w:r w:rsidR="004A6C36" w:rsidRPr="00463666">
              <w:rPr>
                <w:webHidden/>
                <w:szCs w:val="20"/>
              </w:rPr>
              <w:fldChar w:fldCharType="separate"/>
            </w:r>
            <w:r w:rsidR="005341C2">
              <w:rPr>
                <w:webHidden/>
                <w:szCs w:val="20"/>
              </w:rPr>
              <w:t>44</w:t>
            </w:r>
            <w:r w:rsidR="004A6C36" w:rsidRPr="00463666">
              <w:rPr>
                <w:webHidden/>
                <w:szCs w:val="20"/>
              </w:rPr>
              <w:fldChar w:fldCharType="end"/>
            </w:r>
          </w:hyperlink>
        </w:p>
        <w:p w14:paraId="66C764C6" w14:textId="369A1852" w:rsidR="004A6C36" w:rsidRPr="00463666" w:rsidRDefault="00463666" w:rsidP="005341C2">
          <w:pPr>
            <w:pStyle w:val="Verzeichnis1"/>
            <w:spacing w:after="60" w:line="360" w:lineRule="auto"/>
            <w:rPr>
              <w:rFonts w:eastAsiaTheme="minorEastAsia"/>
              <w:szCs w:val="20"/>
              <w:lang w:eastAsia="de-AT"/>
            </w:rPr>
          </w:pPr>
          <w:hyperlink w:anchor="_Toc74412423" w:history="1">
            <w:r w:rsidR="004A6C36" w:rsidRPr="00463666">
              <w:rPr>
                <w:rStyle w:val="Hyperlink"/>
                <w:szCs w:val="20"/>
              </w:rPr>
              <w:t>4</w:t>
            </w:r>
            <w:r w:rsidR="004A6C36" w:rsidRPr="00463666">
              <w:rPr>
                <w:rFonts w:eastAsiaTheme="minorEastAsia"/>
                <w:szCs w:val="20"/>
                <w:lang w:eastAsia="de-AT"/>
              </w:rPr>
              <w:tab/>
            </w:r>
            <w:r w:rsidR="004A6C36" w:rsidRPr="00463666">
              <w:rPr>
                <w:rStyle w:val="Hyperlink"/>
                <w:szCs w:val="20"/>
              </w:rPr>
              <w:t>Dokumentation und Qualitätsparameter</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_Toc74412423 \h </w:instrText>
            </w:r>
            <w:r w:rsidR="004A6C36" w:rsidRPr="00463666">
              <w:rPr>
                <w:webHidden/>
                <w:szCs w:val="20"/>
              </w:rPr>
            </w:r>
            <w:r w:rsidR="004A6C36" w:rsidRPr="00463666">
              <w:rPr>
                <w:webHidden/>
                <w:szCs w:val="20"/>
              </w:rPr>
              <w:fldChar w:fldCharType="separate"/>
            </w:r>
            <w:r w:rsidR="005341C2">
              <w:rPr>
                <w:webHidden/>
                <w:szCs w:val="20"/>
              </w:rPr>
              <w:t>45</w:t>
            </w:r>
            <w:r w:rsidR="004A6C36" w:rsidRPr="00463666">
              <w:rPr>
                <w:webHidden/>
                <w:szCs w:val="20"/>
              </w:rPr>
              <w:fldChar w:fldCharType="end"/>
            </w:r>
          </w:hyperlink>
        </w:p>
        <w:p w14:paraId="0A71E1F1" w14:textId="471AEB91" w:rsidR="004A6C36" w:rsidRPr="00463666" w:rsidRDefault="00463666" w:rsidP="005341C2">
          <w:pPr>
            <w:pStyle w:val="Verzeichnis1"/>
            <w:spacing w:after="60" w:line="360" w:lineRule="auto"/>
            <w:rPr>
              <w:rFonts w:eastAsiaTheme="minorEastAsia"/>
              <w:szCs w:val="20"/>
              <w:lang w:eastAsia="de-AT"/>
            </w:rPr>
          </w:pPr>
          <w:hyperlink w:anchor="_Toc74412424" w:history="1">
            <w:r w:rsidR="004A6C36" w:rsidRPr="00463666">
              <w:rPr>
                <w:rStyle w:val="Hyperlink"/>
                <w:szCs w:val="20"/>
              </w:rPr>
              <w:t>5</w:t>
            </w:r>
            <w:r w:rsidR="004A6C36" w:rsidRPr="00463666">
              <w:rPr>
                <w:rFonts w:eastAsiaTheme="minorEastAsia"/>
                <w:szCs w:val="20"/>
                <w:lang w:eastAsia="de-AT"/>
              </w:rPr>
              <w:tab/>
            </w:r>
            <w:r w:rsidR="004A6C36" w:rsidRPr="00463666">
              <w:rPr>
                <w:rStyle w:val="Hyperlink"/>
                <w:szCs w:val="20"/>
              </w:rPr>
              <w:t>Literatur/Quellenangaben</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_Toc74412424 \h </w:instrText>
            </w:r>
            <w:r w:rsidR="004A6C36" w:rsidRPr="00463666">
              <w:rPr>
                <w:webHidden/>
                <w:szCs w:val="20"/>
              </w:rPr>
            </w:r>
            <w:r w:rsidR="004A6C36" w:rsidRPr="00463666">
              <w:rPr>
                <w:webHidden/>
                <w:szCs w:val="20"/>
              </w:rPr>
              <w:fldChar w:fldCharType="separate"/>
            </w:r>
            <w:r w:rsidR="005341C2">
              <w:rPr>
                <w:webHidden/>
                <w:szCs w:val="20"/>
              </w:rPr>
              <w:t>45</w:t>
            </w:r>
            <w:r w:rsidR="004A6C36" w:rsidRPr="00463666">
              <w:rPr>
                <w:webHidden/>
                <w:szCs w:val="20"/>
              </w:rPr>
              <w:fldChar w:fldCharType="end"/>
            </w:r>
          </w:hyperlink>
        </w:p>
        <w:p w14:paraId="4DF57E24" w14:textId="205B67F4" w:rsidR="004A6C36" w:rsidRPr="00463666" w:rsidRDefault="00463666" w:rsidP="005341C2">
          <w:pPr>
            <w:pStyle w:val="Verzeichnis1"/>
            <w:spacing w:after="60" w:line="360" w:lineRule="auto"/>
            <w:rPr>
              <w:rFonts w:eastAsiaTheme="minorEastAsia" w:cstheme="minorBidi"/>
              <w:szCs w:val="20"/>
              <w:lang w:eastAsia="de-AT"/>
            </w:rPr>
          </w:pPr>
          <w:hyperlink w:anchor="_Toc74412425" w:history="1">
            <w:r w:rsidR="004A6C36" w:rsidRPr="00463666">
              <w:rPr>
                <w:rStyle w:val="Hyperlink"/>
                <w:szCs w:val="20"/>
              </w:rPr>
              <w:t>Anhang: Chemotherapieprotokolle</w:t>
            </w:r>
            <w:r w:rsidR="004A6C36" w:rsidRPr="00463666">
              <w:rPr>
                <w:webHidden/>
                <w:szCs w:val="20"/>
              </w:rPr>
              <w:tab/>
            </w:r>
            <w:r w:rsidR="004A6C36" w:rsidRPr="00463666">
              <w:rPr>
                <w:webHidden/>
                <w:szCs w:val="20"/>
              </w:rPr>
              <w:fldChar w:fldCharType="begin"/>
            </w:r>
            <w:r w:rsidR="004A6C36" w:rsidRPr="00463666">
              <w:rPr>
                <w:webHidden/>
                <w:szCs w:val="20"/>
              </w:rPr>
              <w:instrText xml:space="preserve"> PAGEREF _Toc74412425 \h </w:instrText>
            </w:r>
            <w:r w:rsidR="004A6C36" w:rsidRPr="00463666">
              <w:rPr>
                <w:webHidden/>
                <w:szCs w:val="20"/>
              </w:rPr>
            </w:r>
            <w:r w:rsidR="004A6C36" w:rsidRPr="00463666">
              <w:rPr>
                <w:webHidden/>
                <w:szCs w:val="20"/>
              </w:rPr>
              <w:fldChar w:fldCharType="separate"/>
            </w:r>
            <w:r w:rsidR="005341C2">
              <w:rPr>
                <w:webHidden/>
                <w:szCs w:val="20"/>
              </w:rPr>
              <w:t>47</w:t>
            </w:r>
            <w:r w:rsidR="004A6C36" w:rsidRPr="00463666">
              <w:rPr>
                <w:webHidden/>
                <w:szCs w:val="20"/>
              </w:rPr>
              <w:fldChar w:fldCharType="end"/>
            </w:r>
          </w:hyperlink>
        </w:p>
        <w:p w14:paraId="5389EB5E" w14:textId="0AECAF4B" w:rsidR="007F3064" w:rsidRPr="00945E91" w:rsidRDefault="00822E59" w:rsidP="00E90D86">
          <w:pPr>
            <w:spacing w:line="240" w:lineRule="auto"/>
            <w:jc w:val="both"/>
            <w:rPr>
              <w:rFonts w:asciiTheme="minorHAnsi" w:hAnsiTheme="minorHAnsi" w:cstheme="minorHAnsi"/>
              <w:color w:val="000000" w:themeColor="text1"/>
              <w:lang w:val="de-DE"/>
            </w:rPr>
          </w:pPr>
          <w:r w:rsidRPr="00463666">
            <w:rPr>
              <w:rFonts w:asciiTheme="minorHAnsi" w:hAnsiTheme="minorHAnsi" w:cstheme="minorHAnsi"/>
              <w:b/>
              <w:bCs/>
              <w:color w:val="000000" w:themeColor="text1"/>
              <w:sz w:val="20"/>
              <w:lang w:val="de-DE"/>
            </w:rPr>
            <w:fldChar w:fldCharType="end"/>
          </w:r>
        </w:p>
      </w:sdtContent>
    </w:sdt>
    <w:p w14:paraId="5389EB5F" w14:textId="54B50563" w:rsidR="00E90D86" w:rsidRPr="00945E91" w:rsidRDefault="00E90D86">
      <w:pPr>
        <w:spacing w:line="240" w:lineRule="auto"/>
        <w:jc w:val="left"/>
        <w:rPr>
          <w:rFonts w:asciiTheme="minorHAnsi" w:hAnsiTheme="minorHAnsi" w:cstheme="minorHAnsi"/>
          <w:color w:val="000000" w:themeColor="text1"/>
          <w:lang w:val="de-DE"/>
        </w:rPr>
      </w:pPr>
      <w:r w:rsidRPr="00945E91">
        <w:rPr>
          <w:rFonts w:asciiTheme="minorHAnsi" w:hAnsiTheme="minorHAnsi" w:cstheme="minorHAnsi"/>
          <w:color w:val="000000" w:themeColor="text1"/>
          <w:lang w:val="de-DE"/>
        </w:rPr>
        <w:br w:type="page"/>
      </w:r>
    </w:p>
    <w:p w14:paraId="5389EB65" w14:textId="73663A76" w:rsidR="00713504" w:rsidRPr="00945E91" w:rsidRDefault="00085BDC" w:rsidP="00085BDC">
      <w:pPr>
        <w:pStyle w:val="berschrift1"/>
        <w:jc w:val="both"/>
        <w:rPr>
          <w:rFonts w:cstheme="minorHAnsi"/>
          <w:color w:val="000000" w:themeColor="text1"/>
          <w:lang w:val="de-DE"/>
        </w:rPr>
      </w:pPr>
      <w:bookmarkStart w:id="0" w:name="_Toc74412385"/>
      <w:r w:rsidRPr="00945E91">
        <w:rPr>
          <w:rFonts w:cstheme="minorHAnsi"/>
          <w:color w:val="000000" w:themeColor="text1"/>
          <w:lang w:val="de-DE"/>
        </w:rPr>
        <w:lastRenderedPageBreak/>
        <w:t>1</w:t>
      </w:r>
      <w:r w:rsidRPr="00945E91">
        <w:rPr>
          <w:rFonts w:cstheme="minorHAnsi"/>
          <w:color w:val="000000" w:themeColor="text1"/>
          <w:lang w:val="de-DE"/>
        </w:rPr>
        <w:tab/>
        <w:t>Allgemeines</w:t>
      </w:r>
      <w:bookmarkEnd w:id="0"/>
    </w:p>
    <w:p w14:paraId="60ACF30B"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Die in der Leitlinie behandelten Tumorentitäten umfassen </w:t>
      </w:r>
    </w:p>
    <w:p w14:paraId="65F4D43F" w14:textId="77777777" w:rsidR="005754D0" w:rsidRPr="00945E91" w:rsidRDefault="005754D0" w:rsidP="00D11A8E">
      <w:pPr>
        <w:pStyle w:val="Textkrper-Einzug2"/>
        <w:numPr>
          <w:ilvl w:val="0"/>
          <w:numId w:val="5"/>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B-Vorläufer-ALL/B-LBL (Ph positiv oder negativ)</w:t>
      </w:r>
    </w:p>
    <w:p w14:paraId="7C7F5A43" w14:textId="77777777" w:rsidR="005754D0" w:rsidRPr="00945E91" w:rsidRDefault="005754D0" w:rsidP="00D11A8E">
      <w:pPr>
        <w:pStyle w:val="Textkrper-Einzug2"/>
        <w:numPr>
          <w:ilvl w:val="0"/>
          <w:numId w:val="5"/>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 -ALL/T-LBL</w:t>
      </w:r>
    </w:p>
    <w:p w14:paraId="3CB6B354" w14:textId="77777777" w:rsidR="005754D0" w:rsidRPr="00945E91" w:rsidRDefault="005754D0" w:rsidP="005754D0">
      <w:pPr>
        <w:pStyle w:val="Textkrper-Einzug2"/>
        <w:spacing w:after="0" w:line="276" w:lineRule="auto"/>
        <w:ind w:left="0"/>
        <w:jc w:val="left"/>
        <w:rPr>
          <w:rFonts w:asciiTheme="minorHAnsi" w:hAnsiTheme="minorHAnsi" w:cstheme="minorHAnsi"/>
          <w:szCs w:val="22"/>
          <w:highlight w:val="yellow"/>
          <w:lang w:val="de-DE"/>
        </w:rPr>
      </w:pPr>
    </w:p>
    <w:p w14:paraId="480A6213" w14:textId="77777777" w:rsidR="005754D0" w:rsidRPr="00945E91" w:rsidRDefault="005754D0" w:rsidP="005754D0">
      <w:pPr>
        <w:pStyle w:val="Textkrper-Einzug2"/>
        <w:spacing w:after="0" w:line="276" w:lineRule="auto"/>
        <w:ind w:left="0"/>
        <w:jc w:val="left"/>
        <w:rPr>
          <w:rFonts w:asciiTheme="minorHAnsi" w:hAnsiTheme="minorHAnsi" w:cstheme="minorHAnsi"/>
          <w:b/>
          <w:bCs/>
          <w:i/>
          <w:lang w:val="de-DE"/>
        </w:rPr>
      </w:pPr>
      <w:r w:rsidRPr="00945E91">
        <w:rPr>
          <w:rFonts w:asciiTheme="minorHAnsi" w:hAnsiTheme="minorHAnsi" w:cstheme="minorHAnsi"/>
          <w:b/>
          <w:szCs w:val="22"/>
          <w:lang w:val="de-DE"/>
        </w:rPr>
        <w:t xml:space="preserve">Die </w:t>
      </w:r>
      <w:r w:rsidRPr="00945E91">
        <w:rPr>
          <w:rStyle w:val="Fett"/>
          <w:rFonts w:asciiTheme="minorHAnsi" w:hAnsiTheme="minorHAnsi" w:cstheme="minorHAnsi"/>
          <w:i/>
          <w:lang w:val="de-DE"/>
        </w:rPr>
        <w:t xml:space="preserve">Neoplasie der reifen B-Zelle (Mature B-cell neoplasms), </w:t>
      </w:r>
      <w:r w:rsidRPr="00945E91">
        <w:rPr>
          <w:rStyle w:val="Fett"/>
          <w:rFonts w:asciiTheme="minorHAnsi" w:hAnsiTheme="minorHAnsi" w:cstheme="minorHAnsi"/>
          <w:lang w:val="de-DE"/>
        </w:rPr>
        <w:t xml:space="preserve">d.h. </w:t>
      </w:r>
      <w:r w:rsidRPr="00945E91">
        <w:rPr>
          <w:rFonts w:asciiTheme="minorHAnsi" w:hAnsiTheme="minorHAnsi" w:cstheme="minorHAnsi"/>
          <w:b/>
          <w:szCs w:val="22"/>
          <w:lang w:val="de-DE"/>
        </w:rPr>
        <w:t xml:space="preserve">reifzellige „Burkitt“-B-ALL, Burkitt-Lymphom und andere aggressive Lymphome, wird in dieser Leitlinie </w:t>
      </w:r>
      <w:r w:rsidRPr="00945E91">
        <w:rPr>
          <w:rFonts w:asciiTheme="minorHAnsi" w:hAnsiTheme="minorHAnsi" w:cstheme="minorHAnsi"/>
          <w:b/>
          <w:szCs w:val="22"/>
          <w:u w:val="single"/>
          <w:lang w:val="de-DE"/>
        </w:rPr>
        <w:t>nicht</w:t>
      </w:r>
      <w:r w:rsidRPr="00945E91">
        <w:rPr>
          <w:rFonts w:asciiTheme="minorHAnsi" w:hAnsiTheme="minorHAnsi" w:cstheme="minorHAnsi"/>
          <w:b/>
          <w:szCs w:val="22"/>
          <w:lang w:val="de-DE"/>
        </w:rPr>
        <w:t xml:space="preserve"> abgehandelt.</w:t>
      </w:r>
    </w:p>
    <w:p w14:paraId="51615475" w14:textId="77777777" w:rsidR="005754D0" w:rsidRPr="00945E91" w:rsidRDefault="005754D0" w:rsidP="005754D0">
      <w:pPr>
        <w:pStyle w:val="Textkrper-Einzug2"/>
        <w:spacing w:after="0" w:line="276" w:lineRule="auto"/>
        <w:ind w:left="0"/>
        <w:jc w:val="left"/>
        <w:rPr>
          <w:rFonts w:asciiTheme="minorHAnsi" w:hAnsiTheme="minorHAnsi" w:cstheme="minorHAnsi"/>
          <w:b/>
          <w:szCs w:val="22"/>
          <w:lang w:val="de-DE"/>
        </w:rPr>
      </w:pPr>
    </w:p>
    <w:p w14:paraId="1DF1F961" w14:textId="6F03E57C"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Die Empfehlungen beruhen im </w:t>
      </w:r>
      <w:r w:rsidR="00945E91" w:rsidRPr="00945E91">
        <w:rPr>
          <w:rFonts w:asciiTheme="minorHAnsi" w:hAnsiTheme="minorHAnsi" w:cstheme="minorHAnsi"/>
          <w:szCs w:val="22"/>
          <w:lang w:val="de-DE"/>
        </w:rPr>
        <w:t>Wesentlichen</w:t>
      </w:r>
      <w:r w:rsidRPr="00945E91">
        <w:rPr>
          <w:rFonts w:asciiTheme="minorHAnsi" w:hAnsiTheme="minorHAnsi" w:cstheme="minorHAnsi"/>
          <w:szCs w:val="22"/>
          <w:lang w:val="de-DE"/>
        </w:rPr>
        <w:t xml:space="preserve"> auf den Empfehlungen von Onkopedia, GMALL-Studiengruppe, den AIEOP-BMF-Protokollen für Kinder und junge Erwachsene und dem Kompetenzwerk Leukämie.</w:t>
      </w:r>
    </w:p>
    <w:p w14:paraId="66F8AECA"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6D567032"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Da die „pädiatrischen“ Therapieprotokolle für junge Erwachsene generell einen sehr guten Outcome gezeigt haben, wird in der Leitlinie in folgende Altersgruppen unterschieden, sofern der Patient für eine entsprechende Therapie geeignet erscheint:</w:t>
      </w:r>
    </w:p>
    <w:p w14:paraId="281B0ED3"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3114746B" w14:textId="77777777" w:rsidR="005754D0" w:rsidRPr="00945E91" w:rsidRDefault="005754D0" w:rsidP="00D11A8E">
      <w:pPr>
        <w:pStyle w:val="Textkrper-Einzug2"/>
        <w:numPr>
          <w:ilvl w:val="0"/>
          <w:numId w:val="6"/>
        </w:numPr>
        <w:spacing w:after="0" w:line="276" w:lineRule="auto"/>
        <w:jc w:val="left"/>
        <w:rPr>
          <w:rFonts w:asciiTheme="minorHAnsi" w:hAnsiTheme="minorHAnsi" w:cstheme="minorHAnsi"/>
          <w:szCs w:val="22"/>
          <w:lang w:val="de-DE"/>
        </w:rPr>
      </w:pPr>
      <w:r w:rsidRPr="00945E91">
        <w:rPr>
          <w:rFonts w:asciiTheme="minorHAnsi" w:hAnsiTheme="minorHAnsi" w:cstheme="minorHAnsi"/>
          <w:b/>
          <w:szCs w:val="22"/>
          <w:lang w:val="de-DE"/>
        </w:rPr>
        <w:t>18-25 Jahre:</w:t>
      </w:r>
      <w:r w:rsidRPr="00945E91">
        <w:rPr>
          <w:rFonts w:asciiTheme="minorHAnsi" w:hAnsiTheme="minorHAnsi" w:cstheme="minorHAnsi"/>
          <w:szCs w:val="22"/>
          <w:lang w:val="de-DE"/>
        </w:rPr>
        <w:t xml:space="preserve"> Protokoll AIEOP-BFM ALL 2009 (Risikostratifizierung nach AIEOP-Studienprotokoll 2017)</w:t>
      </w:r>
    </w:p>
    <w:p w14:paraId="78C2F673" w14:textId="77777777" w:rsidR="005754D0" w:rsidRPr="00945E91" w:rsidRDefault="005754D0" w:rsidP="00D11A8E">
      <w:pPr>
        <w:pStyle w:val="Textkrper-Einzug2"/>
        <w:numPr>
          <w:ilvl w:val="0"/>
          <w:numId w:val="6"/>
        </w:numPr>
        <w:spacing w:after="0" w:line="276" w:lineRule="auto"/>
        <w:jc w:val="left"/>
        <w:rPr>
          <w:rFonts w:asciiTheme="minorHAnsi" w:hAnsiTheme="minorHAnsi" w:cstheme="minorHAnsi"/>
          <w:szCs w:val="22"/>
          <w:lang w:val="de-DE"/>
        </w:rPr>
      </w:pPr>
      <w:r w:rsidRPr="00945E91">
        <w:rPr>
          <w:rFonts w:asciiTheme="minorHAnsi" w:hAnsiTheme="minorHAnsi" w:cstheme="minorHAnsi"/>
          <w:b/>
          <w:szCs w:val="22"/>
          <w:lang w:val="de-DE"/>
        </w:rPr>
        <w:t>25-55(60) Jahre:</w:t>
      </w:r>
      <w:r w:rsidRPr="00945E91">
        <w:rPr>
          <w:rFonts w:asciiTheme="minorHAnsi" w:hAnsiTheme="minorHAnsi" w:cstheme="minorHAnsi"/>
          <w:szCs w:val="22"/>
          <w:lang w:val="de-DE"/>
        </w:rPr>
        <w:t xml:space="preserve"> GMALL-Konsensus für ALL/LBL bis 55J_Version 3 (16.10.2017)</w:t>
      </w:r>
    </w:p>
    <w:p w14:paraId="6A7581DA" w14:textId="77777777" w:rsidR="005754D0" w:rsidRPr="00945E91" w:rsidRDefault="005754D0" w:rsidP="00D11A8E">
      <w:pPr>
        <w:pStyle w:val="Textkrper-Einzug2"/>
        <w:numPr>
          <w:ilvl w:val="0"/>
          <w:numId w:val="6"/>
        </w:numPr>
        <w:spacing w:after="0" w:line="276" w:lineRule="auto"/>
        <w:jc w:val="left"/>
        <w:rPr>
          <w:rFonts w:asciiTheme="minorHAnsi" w:hAnsiTheme="minorHAnsi" w:cstheme="minorHAnsi"/>
          <w:szCs w:val="22"/>
          <w:lang w:val="de-DE"/>
        </w:rPr>
      </w:pPr>
      <w:r w:rsidRPr="00945E91">
        <w:rPr>
          <w:rFonts w:asciiTheme="minorHAnsi" w:hAnsiTheme="minorHAnsi" w:cstheme="minorHAnsi"/>
          <w:b/>
          <w:szCs w:val="22"/>
          <w:lang w:val="de-DE"/>
        </w:rPr>
        <w:t>55-75 Jahre:</w:t>
      </w:r>
      <w:r w:rsidRPr="00945E91">
        <w:rPr>
          <w:rFonts w:asciiTheme="minorHAnsi" w:hAnsiTheme="minorHAnsi" w:cstheme="minorHAnsi"/>
          <w:szCs w:val="22"/>
          <w:lang w:val="de-DE"/>
        </w:rPr>
        <w:t xml:space="preserve"> GMALL-Konsensus für Elderly (56-75 Jahre) Version 3 (16.10.2017)</w:t>
      </w:r>
    </w:p>
    <w:p w14:paraId="39036D93" w14:textId="77777777" w:rsidR="005754D0" w:rsidRPr="00945E91" w:rsidRDefault="005754D0" w:rsidP="00D11A8E">
      <w:pPr>
        <w:pStyle w:val="Textkrper-Einzug2"/>
        <w:numPr>
          <w:ilvl w:val="0"/>
          <w:numId w:val="6"/>
        </w:numPr>
        <w:spacing w:after="0" w:line="276" w:lineRule="auto"/>
        <w:jc w:val="left"/>
        <w:rPr>
          <w:rFonts w:asciiTheme="minorHAnsi" w:hAnsiTheme="minorHAnsi" w:cstheme="minorHAnsi"/>
          <w:szCs w:val="22"/>
          <w:lang w:val="de-DE"/>
        </w:rPr>
      </w:pPr>
      <w:r w:rsidRPr="00945E91">
        <w:rPr>
          <w:rFonts w:asciiTheme="minorHAnsi" w:hAnsiTheme="minorHAnsi" w:cstheme="minorHAnsi"/>
          <w:b/>
          <w:szCs w:val="22"/>
          <w:lang w:val="de-DE"/>
        </w:rPr>
        <w:t>Ab 75 Jahre:</w:t>
      </w:r>
      <w:r w:rsidRPr="00945E91">
        <w:rPr>
          <w:rFonts w:asciiTheme="minorHAnsi" w:hAnsiTheme="minorHAnsi" w:cstheme="minorHAnsi"/>
          <w:szCs w:val="22"/>
          <w:lang w:val="de-DE"/>
        </w:rPr>
        <w:t xml:space="preserve"> ALL GMALL Konsensus für „Frail ALL-patients“ (09.07.2008)</w:t>
      </w:r>
    </w:p>
    <w:p w14:paraId="538F7106"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40EFDE1A" w14:textId="3001D288"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Aufgrund der </w:t>
      </w:r>
      <w:r w:rsidR="00945E91" w:rsidRPr="00945E91">
        <w:rPr>
          <w:rFonts w:asciiTheme="minorHAnsi" w:hAnsiTheme="minorHAnsi" w:cstheme="minorHAnsi"/>
          <w:szCs w:val="22"/>
          <w:lang w:val="de-DE"/>
        </w:rPr>
        <w:t>Komplexität</w:t>
      </w:r>
      <w:r w:rsidRPr="00945E91">
        <w:rPr>
          <w:rFonts w:asciiTheme="minorHAnsi" w:hAnsiTheme="minorHAnsi" w:cstheme="minorHAnsi"/>
          <w:szCs w:val="22"/>
          <w:lang w:val="de-DE"/>
        </w:rPr>
        <w:t xml:space="preserve"> der Behandlung werden in der Leitlinie nur die </w:t>
      </w:r>
      <w:r w:rsidR="00945E91" w:rsidRPr="00945E91">
        <w:rPr>
          <w:rFonts w:asciiTheme="minorHAnsi" w:hAnsiTheme="minorHAnsi" w:cstheme="minorHAnsi"/>
          <w:szCs w:val="22"/>
          <w:lang w:val="de-DE"/>
        </w:rPr>
        <w:t>Namen der</w:t>
      </w:r>
      <w:r w:rsidRPr="00945E91">
        <w:rPr>
          <w:rFonts w:asciiTheme="minorHAnsi" w:hAnsiTheme="minorHAnsi" w:cstheme="minorHAnsi"/>
          <w:szCs w:val="22"/>
          <w:lang w:val="de-DE"/>
        </w:rPr>
        <w:t xml:space="preserve"> in der CATO-Datenbank VB abgebildeten Therapieprotokolle angeführt. Weitere Informationen zu den Therapieprotokollen, Begleittherapien, Therapiemonitoring und Dosisadaptionen sind einerseits in CATO abgebildet bzw. finden sich in den Konsensusempfehlungen bzw. Studienprotokollen der GMALL- und AIEOP-Studiengruppen.</w:t>
      </w:r>
    </w:p>
    <w:p w14:paraId="4D286D00"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22EA85DF"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Zugehörig zur aktuellen Leitlinie sind folgende Leitlinien des Tumorzentrums:</w:t>
      </w:r>
    </w:p>
    <w:p w14:paraId="1A1E92EE"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Antimikrobielle Prophylaxe und Therapie</w:t>
      </w:r>
    </w:p>
    <w:p w14:paraId="21F782EA"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Leitlinie Antiemese</w:t>
      </w:r>
    </w:p>
    <w:p w14:paraId="2F66054E"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77E640F2"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Zudem gelten auch die Vorgaben des medizinischen Qualitätsmanagements der Einheit für Stammzelltransplantation am Ordensklinikum, Standort Elisabethinen.</w:t>
      </w:r>
    </w:p>
    <w:p w14:paraId="57568C48" w14:textId="77777777" w:rsidR="005754D0" w:rsidRPr="00945E91" w:rsidRDefault="005754D0" w:rsidP="005754D0">
      <w:pPr>
        <w:spacing w:line="240" w:lineRule="auto"/>
        <w:jc w:val="left"/>
        <w:rPr>
          <w:rFonts w:asciiTheme="minorHAnsi" w:hAnsiTheme="minorHAnsi" w:cstheme="minorHAnsi"/>
          <w:i/>
          <w:szCs w:val="22"/>
          <w:lang w:val="de-DE"/>
        </w:rPr>
      </w:pPr>
      <w:r w:rsidRPr="00945E91">
        <w:rPr>
          <w:rFonts w:asciiTheme="minorHAnsi" w:hAnsiTheme="minorHAnsi" w:cstheme="minorHAnsi"/>
          <w:i/>
          <w:szCs w:val="22"/>
          <w:lang w:val="de-DE"/>
        </w:rPr>
        <w:br w:type="page"/>
      </w:r>
    </w:p>
    <w:p w14:paraId="5389EB6D" w14:textId="102D8EFA" w:rsidR="003655E2" w:rsidRPr="00945E91" w:rsidRDefault="005754D0" w:rsidP="005754D0">
      <w:pPr>
        <w:pStyle w:val="berschrift1"/>
        <w:jc w:val="both"/>
        <w:rPr>
          <w:rFonts w:cstheme="minorHAnsi"/>
          <w:color w:val="000000" w:themeColor="text1"/>
          <w:lang w:val="de-DE"/>
        </w:rPr>
      </w:pPr>
      <w:bookmarkStart w:id="1" w:name="_Toc408380469"/>
      <w:bookmarkStart w:id="2" w:name="_Toc74412386"/>
      <w:r w:rsidRPr="00945E91">
        <w:rPr>
          <w:rFonts w:cstheme="minorHAnsi"/>
          <w:color w:val="000000" w:themeColor="text1"/>
          <w:lang w:val="de-DE"/>
        </w:rPr>
        <w:lastRenderedPageBreak/>
        <w:t>2</w:t>
      </w:r>
      <w:r w:rsidRPr="00945E91">
        <w:rPr>
          <w:rFonts w:cstheme="minorHAnsi"/>
          <w:color w:val="000000" w:themeColor="text1"/>
          <w:lang w:val="de-DE"/>
        </w:rPr>
        <w:tab/>
      </w:r>
      <w:r w:rsidR="003655E2" w:rsidRPr="00945E91">
        <w:rPr>
          <w:rFonts w:cstheme="minorHAnsi"/>
          <w:color w:val="000000" w:themeColor="text1"/>
          <w:lang w:val="de-DE"/>
        </w:rPr>
        <w:t>Diagnostik und Scoring</w:t>
      </w:r>
      <w:bookmarkEnd w:id="1"/>
      <w:bookmarkEnd w:id="2"/>
    </w:p>
    <w:p w14:paraId="3B288BAB" w14:textId="51BC4D19" w:rsidR="005754D0" w:rsidRPr="00945E91" w:rsidRDefault="005754D0" w:rsidP="005754D0">
      <w:pPr>
        <w:pStyle w:val="berschrift2"/>
        <w:rPr>
          <w:rFonts w:asciiTheme="minorHAnsi" w:hAnsiTheme="minorHAnsi" w:cstheme="minorHAnsi"/>
          <w:lang w:val="de-DE"/>
        </w:rPr>
      </w:pPr>
      <w:bookmarkStart w:id="3" w:name="_Toc70881108"/>
      <w:bookmarkStart w:id="4" w:name="_Toc74412387"/>
      <w:r w:rsidRPr="00945E91">
        <w:rPr>
          <w:rFonts w:asciiTheme="minorHAnsi" w:hAnsiTheme="minorHAnsi" w:cstheme="minorHAnsi"/>
          <w:lang w:val="de-DE"/>
        </w:rPr>
        <w:t>2.1</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Anamnese</w:t>
      </w:r>
      <w:bookmarkEnd w:id="3"/>
      <w:bookmarkEnd w:id="4"/>
    </w:p>
    <w:p w14:paraId="45B53A1B"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Neben den typischen Zytopenie-bedingten Symptomen und Komplikationen sind folgende Manifestationen typisch: </w:t>
      </w:r>
    </w:p>
    <w:p w14:paraId="54830116" w14:textId="77777777" w:rsidR="005754D0" w:rsidRPr="00945E91" w:rsidRDefault="005754D0" w:rsidP="00D11A8E">
      <w:pPr>
        <w:pStyle w:val="Textkrper-Einzug2"/>
        <w:numPr>
          <w:ilvl w:val="0"/>
          <w:numId w:val="12"/>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14% Mediastinaltumor (60% der Patienten mit T-ALL)</w:t>
      </w:r>
    </w:p>
    <w:p w14:paraId="40CD9CAF" w14:textId="77777777" w:rsidR="005754D0" w:rsidRPr="00945E91" w:rsidRDefault="005754D0" w:rsidP="00D11A8E">
      <w:pPr>
        <w:pStyle w:val="Textkrper-Einzug2"/>
        <w:numPr>
          <w:ilvl w:val="0"/>
          <w:numId w:val="12"/>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7% ZNS-Befall</w:t>
      </w:r>
    </w:p>
    <w:p w14:paraId="2B00AA6F" w14:textId="77777777" w:rsidR="005754D0" w:rsidRPr="00945E91" w:rsidRDefault="005754D0" w:rsidP="00D11A8E">
      <w:pPr>
        <w:pStyle w:val="Textkrper-Einzug2"/>
        <w:numPr>
          <w:ilvl w:val="0"/>
          <w:numId w:val="12"/>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9% extramedullärer Organbefall</w:t>
      </w:r>
    </w:p>
    <w:p w14:paraId="53973B64"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Zur Einschätzung der Therapiefähigkeit und des Therapieziels ist bei älteren Patienten der Allgemeinzustand und die Selbstständigkeit/ECOG des Patienten </w:t>
      </w:r>
      <w:r w:rsidRPr="00945E91">
        <w:rPr>
          <w:rFonts w:asciiTheme="minorHAnsi" w:hAnsiTheme="minorHAnsi" w:cstheme="minorHAnsi"/>
          <w:szCs w:val="22"/>
          <w:u w:val="single"/>
          <w:lang w:val="de-DE"/>
        </w:rPr>
        <w:t>vor</w:t>
      </w:r>
      <w:r w:rsidRPr="00945E91">
        <w:rPr>
          <w:rFonts w:asciiTheme="minorHAnsi" w:hAnsiTheme="minorHAnsi" w:cstheme="minorHAnsi"/>
          <w:szCs w:val="22"/>
          <w:lang w:val="de-DE"/>
        </w:rPr>
        <w:t xml:space="preserve"> Krankheitsbeginn zu evaluieren.</w:t>
      </w:r>
    </w:p>
    <w:p w14:paraId="6BCE47B6"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5B48AAEB" w14:textId="0AB56534" w:rsidR="005754D0" w:rsidRPr="00945E91" w:rsidRDefault="005754D0" w:rsidP="005754D0">
      <w:pPr>
        <w:pStyle w:val="berschrift2"/>
        <w:rPr>
          <w:rFonts w:asciiTheme="minorHAnsi" w:hAnsiTheme="minorHAnsi" w:cstheme="minorHAnsi"/>
          <w:lang w:val="de-DE"/>
        </w:rPr>
      </w:pPr>
      <w:bookmarkStart w:id="5" w:name="_Toc70881109"/>
      <w:bookmarkStart w:id="6" w:name="_Toc74412388"/>
      <w:r w:rsidRPr="00945E91">
        <w:rPr>
          <w:rFonts w:asciiTheme="minorHAnsi" w:hAnsiTheme="minorHAnsi" w:cstheme="minorHAnsi"/>
          <w:lang w:val="de-DE"/>
        </w:rPr>
        <w:t>2.2</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Diagnostik</w:t>
      </w:r>
      <w:bookmarkEnd w:id="5"/>
      <w:bookmarkEnd w:id="6"/>
    </w:p>
    <w:p w14:paraId="45CBAE59"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Auch bei Verdacht auf ALL soll Material für die gesamte Diagnostik inkl. Molekularbiologie abgenommen werden. Probengewinnung unbedingt </w:t>
      </w:r>
      <w:r w:rsidRPr="00945E91">
        <w:rPr>
          <w:rFonts w:asciiTheme="minorHAnsi" w:hAnsiTheme="minorHAnsi" w:cstheme="minorHAnsi"/>
          <w:b/>
          <w:szCs w:val="22"/>
          <w:lang w:val="de-DE"/>
        </w:rPr>
        <w:t>vor</w:t>
      </w:r>
      <w:r w:rsidRPr="00945E91">
        <w:rPr>
          <w:rFonts w:asciiTheme="minorHAnsi" w:hAnsiTheme="minorHAnsi" w:cstheme="minorHAnsi"/>
          <w:szCs w:val="22"/>
          <w:lang w:val="de-DE"/>
        </w:rPr>
        <w:t xml:space="preserve"> Therapiestart. Bei punctio sicca oder wenn KM-Punktion nicht möglich ist, ist die Diagnostik auch aus dem peripheren Blut möglich, wenn mind. 10% Blasten ausgeschwemmt werden; unbedingt Heparin mitschicken für Zytogenetik!</w:t>
      </w:r>
    </w:p>
    <w:p w14:paraId="31EC74A2" w14:textId="77777777" w:rsidR="005754D0" w:rsidRPr="00945E91" w:rsidRDefault="005754D0" w:rsidP="005754D0">
      <w:pPr>
        <w:pStyle w:val="Textkrper-Einzug2"/>
        <w:spacing w:after="0" w:line="276" w:lineRule="auto"/>
        <w:ind w:left="0"/>
        <w:jc w:val="left"/>
        <w:rPr>
          <w:rFonts w:asciiTheme="minorHAnsi" w:hAnsiTheme="minorHAnsi" w:cstheme="minorHAnsi"/>
          <w:b/>
          <w:szCs w:val="22"/>
          <w:lang w:val="de-DE"/>
        </w:rPr>
      </w:pPr>
    </w:p>
    <w:p w14:paraId="57433EB2" w14:textId="77777777" w:rsidR="005754D0" w:rsidRPr="00945E91" w:rsidRDefault="005754D0" w:rsidP="00D11A8E">
      <w:pPr>
        <w:pStyle w:val="Textkrper-Einzug2"/>
        <w:numPr>
          <w:ilvl w:val="0"/>
          <w:numId w:val="10"/>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Routinelabor mit Gerinnung (aPTT, PTZ, Fibrinogen, D-Dimer), Differentialblutbild, Immunelektrophorese, Ig quantitativ, Blutgruppe, Harnstreifen</w:t>
      </w:r>
      <w:r w:rsidRPr="00945E91" w:rsidDel="004A117B">
        <w:rPr>
          <w:rFonts w:asciiTheme="minorHAnsi" w:hAnsiTheme="minorHAnsi" w:cstheme="minorHAnsi"/>
          <w:szCs w:val="22"/>
          <w:lang w:val="de-DE"/>
        </w:rPr>
        <w:t xml:space="preserve"> </w:t>
      </w:r>
    </w:p>
    <w:p w14:paraId="49C91652" w14:textId="77777777" w:rsidR="005754D0" w:rsidRPr="00945E91" w:rsidRDefault="005754D0" w:rsidP="00D11A8E">
      <w:pPr>
        <w:pStyle w:val="Textkrper-Einzug2"/>
        <w:numPr>
          <w:ilvl w:val="0"/>
          <w:numId w:val="10"/>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Schwangerschaftstest</w:t>
      </w:r>
    </w:p>
    <w:p w14:paraId="426A1198" w14:textId="77777777" w:rsidR="005754D0" w:rsidRPr="00945E91" w:rsidRDefault="005754D0" w:rsidP="00D11A8E">
      <w:pPr>
        <w:pStyle w:val="Textkrper-Einzug2"/>
        <w:numPr>
          <w:ilvl w:val="0"/>
          <w:numId w:val="10"/>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Infektiologische Untersuchungen (Hepatitis-B,-C- und HIV-Serologie, Rachen- und Rektalabstrich, Blutkultur) </w:t>
      </w:r>
    </w:p>
    <w:p w14:paraId="7A31CAD5" w14:textId="77777777" w:rsidR="005754D0" w:rsidRPr="00945E91" w:rsidRDefault="005754D0" w:rsidP="00D11A8E">
      <w:pPr>
        <w:pStyle w:val="Textkrper-Einzug2"/>
        <w:numPr>
          <w:ilvl w:val="0"/>
          <w:numId w:val="10"/>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HLA-Typisierung der Geschwister bzw. Fremdspendersuche bei Hoch-/Höchstrisiko (s.u.) und im Rezidiv</w:t>
      </w:r>
    </w:p>
    <w:p w14:paraId="633F4CAE"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0E6DA06E" w14:textId="4E52B1E8"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CT Hals/Thorax/</w:t>
      </w:r>
      <w:r w:rsidR="00945E91" w:rsidRPr="00945E91">
        <w:rPr>
          <w:rFonts w:asciiTheme="minorHAnsi" w:hAnsiTheme="minorHAnsi" w:cstheme="minorHAnsi"/>
          <w:szCs w:val="22"/>
          <w:lang w:val="de-DE"/>
        </w:rPr>
        <w:t>Abdomen</w:t>
      </w:r>
    </w:p>
    <w:p w14:paraId="1EB0610C"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EKG, Echokardiographie</w:t>
      </w:r>
    </w:p>
    <w:p w14:paraId="6F87CEF7" w14:textId="19E2141E"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Augenärztliches Konsil oder CCT</w:t>
      </w:r>
      <w:r w:rsidR="000F2B3C">
        <w:rPr>
          <w:rFonts w:asciiTheme="minorHAnsi" w:hAnsiTheme="minorHAnsi" w:cstheme="minorHAnsi"/>
          <w:szCs w:val="22"/>
          <w:lang w:val="de-DE"/>
        </w:rPr>
        <w:t xml:space="preserve"> </w:t>
      </w:r>
      <w:r w:rsidR="000F2B3C" w:rsidRPr="00D9135B">
        <w:rPr>
          <w:rFonts w:asciiTheme="minorHAnsi" w:hAnsiTheme="minorHAnsi" w:cstheme="minorHAnsi"/>
          <w:szCs w:val="22"/>
          <w:lang w:val="de-DE"/>
        </w:rPr>
        <w:t>(bzw. wenn verfügbar cMRT)</w:t>
      </w:r>
      <w:r w:rsidRPr="00D9135B">
        <w:rPr>
          <w:rFonts w:asciiTheme="minorHAnsi" w:hAnsiTheme="minorHAnsi" w:cstheme="minorHAnsi"/>
          <w:szCs w:val="22"/>
          <w:lang w:val="de-DE"/>
        </w:rPr>
        <w:t xml:space="preserve"> </w:t>
      </w:r>
      <w:r w:rsidRPr="00945E91">
        <w:rPr>
          <w:rFonts w:asciiTheme="minorHAnsi" w:hAnsiTheme="minorHAnsi" w:cstheme="minorHAnsi"/>
          <w:szCs w:val="22"/>
          <w:lang w:val="de-DE"/>
        </w:rPr>
        <w:t>vor Lumbalpunktion</w:t>
      </w:r>
    </w:p>
    <w:p w14:paraId="481BD01E" w14:textId="1AA66983"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Lumbalpunktion mit zytolog. &amp; immunphänotypischer Diagnostik und intrathekaler MTX-Applikation (15 mg MTX absolut</w:t>
      </w:r>
      <w:r w:rsidR="00D9135B">
        <w:rPr>
          <w:rFonts w:asciiTheme="minorHAnsi" w:hAnsiTheme="minorHAnsi" w:cstheme="minorHAnsi"/>
          <w:szCs w:val="22"/>
          <w:lang w:val="de-DE"/>
        </w:rPr>
        <w:t>, bei elderly Patienten 12 mg absolut</w:t>
      </w:r>
      <w:r w:rsidRPr="00945E91">
        <w:rPr>
          <w:rFonts w:asciiTheme="minorHAnsi" w:hAnsiTheme="minorHAnsi" w:cstheme="minorHAnsi"/>
          <w:szCs w:val="22"/>
          <w:lang w:val="de-DE"/>
        </w:rPr>
        <w:t>)</w:t>
      </w:r>
    </w:p>
    <w:p w14:paraId="6E0BE86F"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MRT Schädel bei neurologischer Symptomatik</w:t>
      </w:r>
    </w:p>
    <w:p w14:paraId="59E0ECD9"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b/>
          <w:szCs w:val="22"/>
          <w:lang w:val="de-DE"/>
        </w:rPr>
      </w:pPr>
      <w:r w:rsidRPr="00945E91">
        <w:rPr>
          <w:rFonts w:asciiTheme="minorHAnsi" w:hAnsiTheme="minorHAnsi" w:cstheme="minorHAnsi"/>
          <w:b/>
          <w:szCs w:val="22"/>
          <w:lang w:val="de-DE"/>
        </w:rPr>
        <w:t>Aufklärung über fertilitätserhaltende Maßnahmen und Notwendigkeit der Antikonzeption</w:t>
      </w:r>
    </w:p>
    <w:p w14:paraId="24EB2ADC"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6CD7EE38" w14:textId="77777777" w:rsidR="005754D0" w:rsidRPr="00945E91" w:rsidRDefault="005754D0" w:rsidP="005754D0">
      <w:pPr>
        <w:pStyle w:val="Textkrper-Einzug2"/>
        <w:spacing w:after="0" w:line="276" w:lineRule="auto"/>
        <w:ind w:left="0"/>
        <w:jc w:val="left"/>
        <w:rPr>
          <w:rFonts w:asciiTheme="minorHAnsi" w:hAnsiTheme="minorHAnsi" w:cstheme="minorHAnsi"/>
          <w:szCs w:val="22"/>
          <w:u w:val="single"/>
          <w:lang w:val="de-DE"/>
        </w:rPr>
      </w:pPr>
      <w:r w:rsidRPr="00945E91">
        <w:rPr>
          <w:rFonts w:asciiTheme="minorHAnsi" w:hAnsiTheme="minorHAnsi" w:cstheme="minorHAnsi"/>
          <w:szCs w:val="22"/>
          <w:u w:val="single"/>
          <w:lang w:val="de-DE"/>
        </w:rPr>
        <w:t>Knochenmark</w:t>
      </w:r>
    </w:p>
    <w:p w14:paraId="32DAD24E"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Zytologie (Die Abgrenzung von ALL und LBL (Lymphoblastisches Lymphom) erfolgt anhand eines prozentualen Blastenanteils im Knochenmark (Cut Off 25%).</w:t>
      </w:r>
    </w:p>
    <w:p w14:paraId="0FC2CCD6"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Immunphänotypisierung</w:t>
      </w:r>
    </w:p>
    <w:p w14:paraId="3F38E0B2"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Zytogenetik + FISH</w:t>
      </w:r>
    </w:p>
    <w:p w14:paraId="0410D3ED"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Histologie und Immunhistochemie</w:t>
      </w:r>
    </w:p>
    <w:p w14:paraId="149ED49C"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Molekularbiologie (soweit nicht anders angeführt, Bestimmung im LMGD)</w:t>
      </w:r>
    </w:p>
    <w:p w14:paraId="2C4F3047"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Multiplex-PCR (inkl. BCR-ABL), bei dringenden Fällen: BCR-ABL bei ALL mit PCR oder FISH</w:t>
      </w:r>
    </w:p>
    <w:p w14:paraId="74FBD1D5"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 xml:space="preserve">ALL-MRD Patienten spezifische Assays (IG/TCR Rearrangements). </w:t>
      </w:r>
      <w:r w:rsidRPr="00945E91">
        <w:rPr>
          <w:rFonts w:asciiTheme="minorHAnsi" w:hAnsiTheme="minorHAnsi" w:cstheme="minorHAnsi"/>
          <w:b/>
          <w:szCs w:val="22"/>
          <w:lang w:val="de-DE"/>
        </w:rPr>
        <w:t>Beim LBL ist bei fehlender KM-Infiltration die Etablierung eines Patienten-spezifischen Markers aus dem Primärtumor sinnvoll.</w:t>
      </w:r>
    </w:p>
    <w:p w14:paraId="7BADC180"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lastRenderedPageBreak/>
        <w:t>Rearrangement von IGH, IGK oder T-Zell-Rezeptor</w:t>
      </w:r>
    </w:p>
    <w:p w14:paraId="53E545B5" w14:textId="189F580E"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SNP Array (SNP Array Gesamtgenom) (vor allem bei jüngeren Patienten bis 40 Jahre): mit dem SNP Array werden kleine Del/Ins detektiert (hypo-,</w:t>
      </w:r>
      <w:r w:rsidR="00945E91" w:rsidRPr="00945E91">
        <w:rPr>
          <w:rFonts w:asciiTheme="minorHAnsi" w:hAnsiTheme="minorHAnsi" w:cstheme="minorHAnsi"/>
          <w:szCs w:val="22"/>
          <w:lang w:val="de-DE"/>
        </w:rPr>
        <w:t xml:space="preserve"> </w:t>
      </w:r>
      <w:r w:rsidRPr="00945E91">
        <w:rPr>
          <w:rFonts w:asciiTheme="minorHAnsi" w:hAnsiTheme="minorHAnsi" w:cstheme="minorHAnsi"/>
          <w:szCs w:val="22"/>
          <w:lang w:val="de-DE"/>
        </w:rPr>
        <w:t>hyperdiploider Karyotyp, IKZF1…) und sind eine wertvolle Ergänzung zur Zytogenetik und Multiplex-PCR. Wenn eine Analyse auf Punkt</w:t>
      </w:r>
      <w:r w:rsidRPr="00945E91">
        <w:rPr>
          <w:rFonts w:asciiTheme="minorHAnsi" w:hAnsiTheme="minorHAnsi" w:cstheme="minorHAnsi"/>
          <w:szCs w:val="22"/>
          <w:lang w:val="de-DE"/>
        </w:rPr>
        <w:softHyphen/>
        <w:t>mutationen in ALL-spezifischen Genen für sinnvoll erachtet wird, muss die Probe ans Lab</w:t>
      </w:r>
      <w:r w:rsidR="00945E91" w:rsidRPr="00945E91">
        <w:rPr>
          <w:rFonts w:asciiTheme="minorHAnsi" w:hAnsiTheme="minorHAnsi" w:cstheme="minorHAnsi"/>
          <w:szCs w:val="22"/>
          <w:lang w:val="de-DE"/>
        </w:rPr>
        <w:t>D</w:t>
      </w:r>
      <w:r w:rsidRPr="00945E91">
        <w:rPr>
          <w:rFonts w:asciiTheme="minorHAnsi" w:hAnsiTheme="minorHAnsi" w:cstheme="minorHAnsi"/>
          <w:szCs w:val="22"/>
          <w:lang w:val="de-DE"/>
        </w:rPr>
        <w:t>ia (Wien) geschickt werden.</w:t>
      </w:r>
    </w:p>
    <w:p w14:paraId="1DB0147C"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 xml:space="preserve">Expressions-Arrays zur Identifikation von Mutationen einer „Philadelphia chromosome-like ALL (BCR-ABL1-like ALL)“ (provisorische Entität nach WHO): sinnvoll bei Erstdiagnose von Patienten bis zum 40. Lebensjahr (Analyse LabDia Wien), um bei refraktärer Erkrankung, persistierender MRD oder Rezidiv möglicherweise eine zielgerichtete Substanz einsetzen zu können (siehe auch </w:t>
      </w:r>
      <w:r w:rsidRPr="00945E91">
        <w:rPr>
          <w:rFonts w:asciiTheme="minorHAnsi" w:hAnsiTheme="minorHAnsi" w:cstheme="minorHAnsi"/>
          <w:b/>
          <w:szCs w:val="22"/>
          <w:lang w:val="de-DE"/>
        </w:rPr>
        <w:t>Kapitel 2.4</w:t>
      </w:r>
      <w:r w:rsidRPr="00945E91">
        <w:rPr>
          <w:rFonts w:asciiTheme="minorHAnsi" w:hAnsiTheme="minorHAnsi" w:cstheme="minorHAnsi"/>
          <w:szCs w:val="22"/>
          <w:lang w:val="de-DE"/>
        </w:rPr>
        <w:t>).</w:t>
      </w:r>
    </w:p>
    <w:p w14:paraId="070EA9D3"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5895AFC9"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Anmerkung zu NGS (Stand 05/2021): die derzeit am LMGD-eingesetzten Panels zielen auf myeloische Markergene bzw. solide Tumore ab und haben für die ALL wenig Bedeutung; das LMGD ist in Abstimmung mit dem St. Anna Kinderspital/Labdia, ein ALL-spezifisches NGS-Panel zu etablieren.</w:t>
      </w:r>
    </w:p>
    <w:p w14:paraId="01858B57" w14:textId="77777777" w:rsidR="005754D0" w:rsidRPr="00945E91" w:rsidRDefault="005754D0" w:rsidP="005754D0">
      <w:pPr>
        <w:pStyle w:val="Textkrper-Einzug2"/>
        <w:spacing w:after="0" w:line="276" w:lineRule="auto"/>
        <w:ind w:left="0"/>
        <w:jc w:val="left"/>
        <w:rPr>
          <w:rFonts w:asciiTheme="minorHAnsi" w:hAnsiTheme="minorHAnsi" w:cstheme="minorHAnsi"/>
          <w:b/>
          <w:szCs w:val="22"/>
          <w:lang w:val="de-DE"/>
        </w:rPr>
      </w:pPr>
    </w:p>
    <w:p w14:paraId="7B3F297F" w14:textId="2CED276C" w:rsidR="005754D0" w:rsidRPr="00945E91" w:rsidRDefault="005754D0" w:rsidP="005754D0">
      <w:pPr>
        <w:pStyle w:val="berschrift2"/>
        <w:rPr>
          <w:rFonts w:asciiTheme="minorHAnsi" w:hAnsiTheme="minorHAnsi" w:cstheme="minorHAnsi"/>
          <w:lang w:val="de-DE"/>
        </w:rPr>
      </w:pPr>
      <w:bookmarkStart w:id="7" w:name="_Toc70881110"/>
      <w:bookmarkStart w:id="8" w:name="_Toc74412389"/>
      <w:r w:rsidRPr="00945E91">
        <w:rPr>
          <w:rFonts w:asciiTheme="minorHAnsi" w:hAnsiTheme="minorHAnsi" w:cstheme="minorHAnsi"/>
          <w:lang w:val="de-DE"/>
        </w:rPr>
        <w:t>2.3</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Verlaufskontrollen mittels MRD-Diagnostik</w:t>
      </w:r>
      <w:bookmarkEnd w:id="7"/>
      <w:bookmarkEnd w:id="8"/>
    </w:p>
    <w:p w14:paraId="324AB105"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Gold-Standard ist ALL-MRD Patienten-spezifische Assays (IG/TCR Rearrangements)</w:t>
      </w:r>
    </w:p>
    <w:p w14:paraId="7675C9CE"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Andere Marker (z.B. BCR-ABL): parallel als Ergänzung zu ALL-MRD bzw. wenn keine Patienten-spezifischen Assays vorhanden sind.</w:t>
      </w:r>
    </w:p>
    <w:p w14:paraId="1FCBDE7F" w14:textId="77777777" w:rsidR="005754D0" w:rsidRPr="00945E91" w:rsidRDefault="005754D0" w:rsidP="00D11A8E">
      <w:pPr>
        <w:pStyle w:val="Textkrper-Einzug2"/>
        <w:numPr>
          <w:ilvl w:val="0"/>
          <w:numId w:val="11"/>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Bei IKZF1 Deletion können Proben im Verlauf an das LabDia geschickt werden (nur nach Rücksprache, kein Routineverfahren, nur falls kein anderer MRD Marker vorhanden ist).</w:t>
      </w:r>
    </w:p>
    <w:p w14:paraId="6B236EF3" w14:textId="77777777" w:rsidR="005754D0" w:rsidRPr="00945E91" w:rsidRDefault="005754D0" w:rsidP="005754D0">
      <w:pPr>
        <w:spacing w:line="240" w:lineRule="auto"/>
        <w:jc w:val="left"/>
        <w:rPr>
          <w:rFonts w:asciiTheme="minorHAnsi" w:hAnsiTheme="minorHAnsi" w:cstheme="minorHAnsi"/>
          <w:b/>
          <w:szCs w:val="22"/>
          <w:u w:val="single"/>
          <w:lang w:val="de-DE"/>
        </w:rPr>
      </w:pPr>
    </w:p>
    <w:p w14:paraId="49643EB0"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Das quantitative molekulare Therapieansprechen für Patienten-spezifische Marker ist in Kapitel 3.6 abgebildet. Für andere Marker (z.B. BCR-ABL) gibt es keine klar definierten Werte, um das Therapieansprechen zu beurteilen; Ziel bei all diesen Markern ist einzig die komplette molekulare Remission (CMR).</w:t>
      </w:r>
      <w:r w:rsidRPr="00945E91">
        <w:rPr>
          <w:rFonts w:asciiTheme="minorHAnsi" w:hAnsiTheme="minorHAnsi" w:cstheme="minorHAnsi"/>
          <w:b/>
          <w:szCs w:val="22"/>
          <w:lang w:val="de-DE"/>
        </w:rPr>
        <w:br w:type="page"/>
      </w:r>
    </w:p>
    <w:p w14:paraId="25C5BAAF" w14:textId="383896DA" w:rsidR="005754D0" w:rsidRPr="00945E91" w:rsidRDefault="005754D0" w:rsidP="005754D0">
      <w:pPr>
        <w:pStyle w:val="berschrift2"/>
        <w:rPr>
          <w:rFonts w:asciiTheme="minorHAnsi" w:hAnsiTheme="minorHAnsi" w:cstheme="minorHAnsi"/>
          <w:lang w:val="de-DE"/>
        </w:rPr>
      </w:pPr>
      <w:bookmarkStart w:id="9" w:name="_Toc70881111"/>
      <w:bookmarkStart w:id="10" w:name="_Toc74412390"/>
      <w:r w:rsidRPr="00945E91">
        <w:rPr>
          <w:rFonts w:asciiTheme="minorHAnsi" w:hAnsiTheme="minorHAnsi" w:cstheme="minorHAnsi"/>
          <w:lang w:val="de-DE"/>
        </w:rPr>
        <w:lastRenderedPageBreak/>
        <w:t>2.4</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Klassifikation nach WHO-2017</w:t>
      </w:r>
      <w:bookmarkEnd w:id="9"/>
      <w:bookmarkEnd w:id="10"/>
    </w:p>
    <w:p w14:paraId="2A72EA8E" w14:textId="77777777" w:rsidR="005754D0" w:rsidRPr="00945E91" w:rsidRDefault="005754D0" w:rsidP="005754D0">
      <w:pPr>
        <w:pStyle w:val="Textkrper-Einzug2"/>
        <w:spacing w:after="0" w:line="276" w:lineRule="auto"/>
        <w:ind w:left="0"/>
        <w:jc w:val="left"/>
        <w:rPr>
          <w:rFonts w:asciiTheme="minorHAnsi" w:hAnsiTheme="minorHAnsi" w:cstheme="minorHAnsi"/>
          <w:b/>
          <w:i/>
          <w:szCs w:val="22"/>
          <w:lang w:val="de-DE"/>
        </w:rPr>
      </w:pPr>
      <w:r w:rsidRPr="00945E91">
        <w:rPr>
          <w:rFonts w:asciiTheme="minorHAnsi" w:hAnsiTheme="minorHAnsi" w:cstheme="minorHAnsi"/>
          <w:b/>
          <w:i/>
          <w:szCs w:val="22"/>
          <w:lang w:val="de-DE"/>
        </w:rPr>
        <w:t>Lymphatische Neoplasien der B- und T-Zellvorläufer (Precursor lymphoid neoplasms)</w:t>
      </w:r>
    </w:p>
    <w:p w14:paraId="159D24B4" w14:textId="77777777" w:rsidR="005754D0" w:rsidRPr="00945E91" w:rsidRDefault="005754D0" w:rsidP="005754D0">
      <w:pPr>
        <w:pStyle w:val="Textkrper-Einzug2"/>
        <w:spacing w:after="0" w:line="276" w:lineRule="auto"/>
        <w:ind w:left="360"/>
        <w:jc w:val="left"/>
        <w:rPr>
          <w:rStyle w:val="Fett"/>
          <w:rFonts w:asciiTheme="minorHAnsi" w:hAnsiTheme="minorHAnsi" w:cstheme="minorHAnsi"/>
          <w:lang w:val="de-DE"/>
        </w:rPr>
      </w:pPr>
      <w:r w:rsidRPr="00945E91">
        <w:rPr>
          <w:rStyle w:val="Fett"/>
          <w:rFonts w:asciiTheme="minorHAnsi" w:hAnsiTheme="minorHAnsi" w:cstheme="minorHAnsi"/>
          <w:lang w:val="de-DE"/>
        </w:rPr>
        <w:t>B-lymphoblastische Leukämie/Lymphom (B-Vorläufer-ALL/B-LBL)</w:t>
      </w:r>
    </w:p>
    <w:p w14:paraId="4895BC12" w14:textId="77777777" w:rsidR="005754D0" w:rsidRPr="00945E91" w:rsidRDefault="005754D0" w:rsidP="00D11A8E">
      <w:pPr>
        <w:pStyle w:val="Textkrper-Einzug2"/>
        <w:numPr>
          <w:ilvl w:val="0"/>
          <w:numId w:val="7"/>
        </w:numPr>
        <w:spacing w:after="0" w:line="276" w:lineRule="auto"/>
        <w:ind w:left="1080"/>
        <w:jc w:val="left"/>
        <w:rPr>
          <w:rFonts w:asciiTheme="minorHAnsi" w:hAnsiTheme="minorHAnsi" w:cstheme="minorHAnsi"/>
          <w:b/>
          <w:sz w:val="24"/>
          <w:szCs w:val="22"/>
          <w:u w:val="single"/>
          <w:lang w:val="de-DE"/>
        </w:rPr>
      </w:pPr>
      <w:r w:rsidRPr="00945E91">
        <w:rPr>
          <w:rFonts w:asciiTheme="minorHAnsi" w:hAnsiTheme="minorHAnsi" w:cstheme="minorHAnsi"/>
          <w:lang w:val="de-DE"/>
        </w:rPr>
        <w:t>B-lymphoblastische-ALL/B-LBL, nicht näher bezeichnet (NOS)</w:t>
      </w:r>
    </w:p>
    <w:p w14:paraId="335CDE99" w14:textId="77777777" w:rsidR="005754D0" w:rsidRPr="00945E91" w:rsidRDefault="005754D0" w:rsidP="00D11A8E">
      <w:pPr>
        <w:pStyle w:val="Textkrper-Einzug2"/>
        <w:numPr>
          <w:ilvl w:val="0"/>
          <w:numId w:val="7"/>
        </w:numPr>
        <w:spacing w:after="0" w:line="276" w:lineRule="auto"/>
        <w:ind w:left="1080"/>
        <w:jc w:val="left"/>
        <w:rPr>
          <w:rFonts w:asciiTheme="minorHAnsi" w:hAnsiTheme="minorHAnsi" w:cstheme="minorHAnsi"/>
          <w:b/>
          <w:sz w:val="24"/>
          <w:szCs w:val="22"/>
          <w:u w:val="single"/>
          <w:lang w:val="de-DE"/>
        </w:rPr>
      </w:pPr>
      <w:r w:rsidRPr="00945E91">
        <w:rPr>
          <w:rFonts w:asciiTheme="minorHAnsi" w:hAnsiTheme="minorHAnsi" w:cstheme="minorHAnsi"/>
          <w:lang w:val="de-DE"/>
        </w:rPr>
        <w:t>B- lymphoblastische-ALL/B-LBL mit wiederkehrenden genetischen Anomalien</w:t>
      </w:r>
    </w:p>
    <w:p w14:paraId="0CD4682E"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 xml:space="preserve">B-lymphoblastische Leukämie/Lymphom mit t(9;22)(q34;q11.2); </w:t>
      </w:r>
      <w:r w:rsidRPr="00945E91">
        <w:rPr>
          <w:rStyle w:val="Hervorhebung"/>
          <w:rFonts w:asciiTheme="minorHAnsi" w:hAnsiTheme="minorHAnsi" w:cstheme="minorHAnsi"/>
          <w:sz w:val="20"/>
          <w:lang w:val="de-DE"/>
        </w:rPr>
        <w:t>BCR-ABL1</w:t>
      </w:r>
    </w:p>
    <w:p w14:paraId="4BAD62F5"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 xml:space="preserve">B-lymphoblastische Leukämie/Lymphom mit t(v;11q23); </w:t>
      </w:r>
      <w:r w:rsidRPr="00945E91">
        <w:rPr>
          <w:rStyle w:val="Hervorhebung"/>
          <w:rFonts w:asciiTheme="minorHAnsi" w:hAnsiTheme="minorHAnsi" w:cstheme="minorHAnsi"/>
          <w:sz w:val="20"/>
          <w:lang w:val="de-DE"/>
        </w:rPr>
        <w:t>MLL</w:t>
      </w:r>
      <w:r w:rsidRPr="00945E91">
        <w:rPr>
          <w:rFonts w:asciiTheme="minorHAnsi" w:hAnsiTheme="minorHAnsi" w:cstheme="minorHAnsi"/>
          <w:sz w:val="20"/>
          <w:lang w:val="de-DE"/>
        </w:rPr>
        <w:t xml:space="preserve"> (KMT2A) rearrangiert</w:t>
      </w:r>
    </w:p>
    <w:p w14:paraId="55BA3E53"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 xml:space="preserve">B-lymphoblastische Leukämie/Lymphom mit t(12;21)(p13;q22); </w:t>
      </w:r>
      <w:r w:rsidRPr="00945E91">
        <w:rPr>
          <w:rStyle w:val="Hervorhebung"/>
          <w:rFonts w:asciiTheme="minorHAnsi" w:hAnsiTheme="minorHAnsi" w:cstheme="minorHAnsi"/>
          <w:sz w:val="20"/>
          <w:lang w:val="de-DE"/>
        </w:rPr>
        <w:t>TEL-AML1 (ETV6-RUNX1)</w:t>
      </w:r>
    </w:p>
    <w:p w14:paraId="64F5D084"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B-lymphoblastische Leukämie/Lymphom mit Hyperdiploidie</w:t>
      </w:r>
    </w:p>
    <w:p w14:paraId="454D340A"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B-lymphoblastische Leukämie/Lymphom mit Hypodiploidie (hypodiploide ALL)</w:t>
      </w:r>
    </w:p>
    <w:p w14:paraId="3DD2468A"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sz w:val="20"/>
          <w:lang w:val="de-DE"/>
        </w:rPr>
        <w:t xml:space="preserve">B-lymphoblastische Leukämie/Lymphom mit t(5;14)(q31;q32); </w:t>
      </w:r>
      <w:r w:rsidRPr="00945E91">
        <w:rPr>
          <w:rStyle w:val="Hervorhebung"/>
          <w:rFonts w:asciiTheme="minorHAnsi" w:hAnsiTheme="minorHAnsi" w:cstheme="minorHAnsi"/>
          <w:sz w:val="20"/>
          <w:lang w:val="de-DE"/>
        </w:rPr>
        <w:t>IL3-IGH</w:t>
      </w:r>
    </w:p>
    <w:p w14:paraId="46E8ECFB" w14:textId="77777777" w:rsidR="005754D0" w:rsidRPr="00945E91" w:rsidRDefault="005754D0" w:rsidP="00D11A8E">
      <w:pPr>
        <w:pStyle w:val="Textkrper-Einzug2"/>
        <w:numPr>
          <w:ilvl w:val="1"/>
          <w:numId w:val="7"/>
        </w:numPr>
        <w:spacing w:after="0" w:line="276" w:lineRule="auto"/>
        <w:ind w:left="1800"/>
        <w:jc w:val="left"/>
        <w:rPr>
          <w:rStyle w:val="Hervorhebung"/>
          <w:rFonts w:asciiTheme="minorHAnsi" w:hAnsiTheme="minorHAnsi" w:cstheme="minorHAnsi"/>
          <w:b/>
          <w:i w:val="0"/>
          <w:iCs w:val="0"/>
          <w:szCs w:val="22"/>
          <w:u w:val="single"/>
          <w:lang w:val="de-DE"/>
        </w:rPr>
      </w:pPr>
      <w:r w:rsidRPr="00945E91">
        <w:rPr>
          <w:rFonts w:asciiTheme="minorHAnsi" w:hAnsiTheme="minorHAnsi" w:cstheme="minorHAnsi"/>
          <w:sz w:val="20"/>
          <w:lang w:val="de-DE"/>
        </w:rPr>
        <w:t xml:space="preserve">B-lymphoblastische Leukämie/Lymphom mit t(1;19)(q23;p13.3); </w:t>
      </w:r>
      <w:r w:rsidRPr="00945E91">
        <w:rPr>
          <w:rStyle w:val="Hervorhebung"/>
          <w:rFonts w:asciiTheme="minorHAnsi" w:hAnsiTheme="minorHAnsi" w:cstheme="minorHAnsi"/>
          <w:sz w:val="20"/>
          <w:lang w:val="de-DE"/>
        </w:rPr>
        <w:t>TCF3-PBX1</w:t>
      </w:r>
    </w:p>
    <w:p w14:paraId="70D832A5"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b/>
          <w:szCs w:val="22"/>
          <w:u w:val="single"/>
          <w:lang w:val="de-DE"/>
        </w:rPr>
      </w:pPr>
      <w:r w:rsidRPr="00945E91">
        <w:rPr>
          <w:rFonts w:asciiTheme="minorHAnsi" w:hAnsiTheme="minorHAnsi" w:cstheme="minorHAnsi"/>
          <w:i/>
          <w:sz w:val="20"/>
          <w:lang w:val="de-DE"/>
        </w:rPr>
        <w:t>provisorische Entität:</w:t>
      </w:r>
      <w:r w:rsidRPr="00945E91">
        <w:rPr>
          <w:rFonts w:asciiTheme="minorHAnsi" w:hAnsiTheme="minorHAnsi" w:cstheme="minorHAnsi"/>
          <w:sz w:val="20"/>
          <w:lang w:val="de-DE"/>
        </w:rPr>
        <w:t xml:space="preserve"> B-lymphoblastische Leukämie/Lymphom, BCR-ABL1-like</w:t>
      </w:r>
    </w:p>
    <w:p w14:paraId="311BDF80" w14:textId="77777777" w:rsidR="005754D0" w:rsidRPr="00945E91" w:rsidRDefault="005754D0" w:rsidP="00D11A8E">
      <w:pPr>
        <w:pStyle w:val="Textkrper-Einzug2"/>
        <w:numPr>
          <w:ilvl w:val="1"/>
          <w:numId w:val="7"/>
        </w:numPr>
        <w:spacing w:after="0" w:line="276" w:lineRule="auto"/>
        <w:ind w:left="1800"/>
        <w:jc w:val="left"/>
        <w:rPr>
          <w:rFonts w:asciiTheme="minorHAnsi" w:hAnsiTheme="minorHAnsi" w:cstheme="minorHAnsi"/>
          <w:sz w:val="20"/>
          <w:lang w:val="de-DE"/>
        </w:rPr>
      </w:pPr>
      <w:r w:rsidRPr="00945E91">
        <w:rPr>
          <w:rFonts w:asciiTheme="minorHAnsi" w:hAnsiTheme="minorHAnsi" w:cstheme="minorHAnsi"/>
          <w:i/>
          <w:sz w:val="20"/>
          <w:lang w:val="de-DE"/>
        </w:rPr>
        <w:t>provisorische Entität:</w:t>
      </w:r>
      <w:r w:rsidRPr="00945E91">
        <w:rPr>
          <w:rFonts w:asciiTheme="minorHAnsi" w:hAnsiTheme="minorHAnsi" w:cstheme="minorHAnsi"/>
          <w:sz w:val="20"/>
          <w:lang w:val="de-DE"/>
        </w:rPr>
        <w:t xml:space="preserve"> B-lymphoblastische Leukämie/Lymphom mit iAMP21</w:t>
      </w:r>
    </w:p>
    <w:p w14:paraId="1559F936" w14:textId="77777777" w:rsidR="005754D0" w:rsidRPr="00945E91" w:rsidRDefault="005754D0" w:rsidP="005754D0">
      <w:pPr>
        <w:pStyle w:val="Textkrper-Einzug2"/>
        <w:spacing w:after="0" w:line="276" w:lineRule="auto"/>
        <w:ind w:left="360"/>
        <w:jc w:val="left"/>
        <w:rPr>
          <w:rFonts w:asciiTheme="minorHAnsi" w:hAnsiTheme="minorHAnsi" w:cstheme="minorHAnsi"/>
          <w:b/>
          <w:sz w:val="24"/>
          <w:szCs w:val="22"/>
          <w:u w:val="single"/>
          <w:lang w:val="de-DE"/>
        </w:rPr>
      </w:pPr>
      <w:r w:rsidRPr="00945E91">
        <w:rPr>
          <w:rStyle w:val="Fett"/>
          <w:rFonts w:asciiTheme="minorHAnsi" w:hAnsiTheme="minorHAnsi" w:cstheme="minorHAnsi"/>
          <w:lang w:val="de-DE"/>
        </w:rPr>
        <w:t>T-lymphoblastische Leukämie/Lymphom (T-ALL/T-LBL)</w:t>
      </w:r>
    </w:p>
    <w:p w14:paraId="37BA3993" w14:textId="77777777" w:rsidR="005754D0" w:rsidRPr="000F2B3C" w:rsidRDefault="005754D0" w:rsidP="00D11A8E">
      <w:pPr>
        <w:pStyle w:val="Textkrper-Einzug2"/>
        <w:numPr>
          <w:ilvl w:val="0"/>
          <w:numId w:val="7"/>
        </w:numPr>
        <w:spacing w:after="0" w:line="276" w:lineRule="auto"/>
        <w:ind w:left="1080"/>
        <w:jc w:val="left"/>
        <w:rPr>
          <w:rFonts w:asciiTheme="minorHAnsi" w:hAnsiTheme="minorHAnsi" w:cstheme="minorHAnsi"/>
          <w:lang w:val="en-US"/>
        </w:rPr>
      </w:pPr>
      <w:r w:rsidRPr="000F2B3C">
        <w:rPr>
          <w:rFonts w:asciiTheme="minorHAnsi" w:hAnsiTheme="minorHAnsi" w:cstheme="minorHAnsi"/>
          <w:lang w:val="en-US"/>
        </w:rPr>
        <w:t>provisorische Entität: Early T-cell precursor lymphoblastic leukemia</w:t>
      </w:r>
    </w:p>
    <w:p w14:paraId="7E3F95A3" w14:textId="77777777" w:rsidR="005754D0" w:rsidRPr="000F2B3C" w:rsidRDefault="005754D0" w:rsidP="005754D0">
      <w:pPr>
        <w:spacing w:line="240" w:lineRule="auto"/>
        <w:jc w:val="left"/>
        <w:rPr>
          <w:rFonts w:asciiTheme="minorHAnsi" w:hAnsiTheme="minorHAnsi" w:cstheme="minorHAnsi"/>
          <w:b/>
          <w:szCs w:val="22"/>
          <w:lang w:val="en-US"/>
        </w:rPr>
      </w:pPr>
    </w:p>
    <w:p w14:paraId="685C9B3A" w14:textId="77777777" w:rsidR="005754D0" w:rsidRPr="000F2B3C" w:rsidRDefault="005754D0" w:rsidP="005754D0">
      <w:pPr>
        <w:spacing w:line="240" w:lineRule="auto"/>
        <w:jc w:val="left"/>
        <w:rPr>
          <w:rFonts w:asciiTheme="minorHAnsi" w:hAnsiTheme="minorHAnsi" w:cstheme="minorHAnsi"/>
          <w:b/>
          <w:szCs w:val="22"/>
          <w:lang w:val="en-US"/>
        </w:rPr>
      </w:pPr>
    </w:p>
    <w:p w14:paraId="43BBFA94" w14:textId="1601251D" w:rsidR="005754D0" w:rsidRPr="000F2B3C" w:rsidRDefault="005754D0" w:rsidP="005754D0">
      <w:p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Philadelphia-</w:t>
      </w:r>
      <w:r w:rsidR="00945E91" w:rsidRPr="000F2B3C">
        <w:rPr>
          <w:rFonts w:asciiTheme="minorHAnsi" w:hAnsiTheme="minorHAnsi" w:cstheme="minorHAnsi"/>
          <w:b/>
          <w:szCs w:val="22"/>
          <w:lang w:val="en-US"/>
        </w:rPr>
        <w:t>Chromosome</w:t>
      </w:r>
      <w:r w:rsidRPr="000F2B3C">
        <w:rPr>
          <w:rFonts w:asciiTheme="minorHAnsi" w:hAnsiTheme="minorHAnsi" w:cstheme="minorHAnsi"/>
          <w:b/>
          <w:szCs w:val="22"/>
          <w:lang w:val="en-US"/>
        </w:rPr>
        <w:t>-like ALL (BCR-ABL1-like ALL)</w:t>
      </w:r>
    </w:p>
    <w:p w14:paraId="1D88D8EF" w14:textId="3DAA0E6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In der WHO-Klassifikation 2017 wurde die „Philadelphia-</w:t>
      </w:r>
      <w:r w:rsidR="00945E91" w:rsidRPr="00945E91">
        <w:rPr>
          <w:rFonts w:asciiTheme="minorHAnsi" w:hAnsiTheme="minorHAnsi" w:cstheme="minorHAnsi"/>
          <w:szCs w:val="22"/>
          <w:lang w:val="de-DE"/>
        </w:rPr>
        <w:t>Chromosome</w:t>
      </w:r>
      <w:r w:rsidRPr="00945E91">
        <w:rPr>
          <w:rFonts w:asciiTheme="minorHAnsi" w:hAnsiTheme="minorHAnsi" w:cstheme="minorHAnsi"/>
          <w:szCs w:val="22"/>
          <w:lang w:val="de-DE"/>
        </w:rPr>
        <w:t xml:space="preserve">-like ALL (BCR-ABL1-like ALL) </w:t>
      </w:r>
      <w:r w:rsidR="00945E91" w:rsidRPr="00945E91">
        <w:rPr>
          <w:rFonts w:asciiTheme="minorHAnsi" w:hAnsiTheme="minorHAnsi" w:cstheme="minorHAnsi"/>
          <w:szCs w:val="22"/>
          <w:lang w:val="de-DE"/>
        </w:rPr>
        <w:t>als provisorische</w:t>
      </w:r>
      <w:r w:rsidRPr="00945E91">
        <w:rPr>
          <w:rFonts w:asciiTheme="minorHAnsi" w:hAnsiTheme="minorHAnsi" w:cstheme="minorHAnsi"/>
          <w:szCs w:val="22"/>
          <w:lang w:val="de-DE"/>
        </w:rPr>
        <w:t xml:space="preserve"> Entität eingeführt (siehe oben). Kennzeichnend sind ein Genexpressionsprofil ähnlich zur Philadelphia-positiven ALL mit einer hohen Frequenz an Veränderungen am IKZF1 Gen, häufige MRD Positivität nach Ende der Induktion und </w:t>
      </w:r>
      <w:r w:rsidR="00945E91" w:rsidRPr="00945E91">
        <w:rPr>
          <w:rFonts w:asciiTheme="minorHAnsi" w:hAnsiTheme="minorHAnsi" w:cstheme="minorHAnsi"/>
          <w:szCs w:val="22"/>
          <w:lang w:val="de-DE"/>
        </w:rPr>
        <w:t>insgesamt schlechterer Outcome</w:t>
      </w:r>
      <w:r w:rsidRPr="00945E91">
        <w:rPr>
          <w:rFonts w:asciiTheme="minorHAnsi" w:hAnsiTheme="minorHAnsi" w:cstheme="minorHAnsi"/>
          <w:szCs w:val="22"/>
          <w:lang w:val="de-DE"/>
        </w:rPr>
        <w:t>. Mittlerweile wurde</w:t>
      </w:r>
      <w:r w:rsidR="002C7324">
        <w:rPr>
          <w:rFonts w:asciiTheme="minorHAnsi" w:hAnsiTheme="minorHAnsi" w:cstheme="minorHAnsi"/>
          <w:szCs w:val="22"/>
          <w:lang w:val="de-DE"/>
        </w:rPr>
        <w:t>n</w:t>
      </w:r>
      <w:r w:rsidRPr="00945E91">
        <w:rPr>
          <w:rFonts w:asciiTheme="minorHAnsi" w:hAnsiTheme="minorHAnsi" w:cstheme="minorHAnsi"/>
          <w:szCs w:val="22"/>
          <w:lang w:val="de-DE"/>
        </w:rPr>
        <w:t xml:space="preserve"> 70 Kinasefusionen beschrieben. Basierend auf den zugrundeliegenden Mutationen werden 4 Subgruppen unterschieden. Aufgrund der schlechten Prognose der BCR-ABL1-like ALL und der Verfügbarkeit zielgerichteter Therapien in Situationen wie Bridging to Transplant bei therapierefraktärer Erkrankung, MRD-Persistenz oder Rezidiv wird bei Patienten unter 40 Jahren bereits bei Erstdiagnose eine entsprechende Genexpressionsanalyse durchgeführt (siehe Kapitel 2.2). </w:t>
      </w:r>
    </w:p>
    <w:p w14:paraId="25F70225" w14:textId="77777777" w:rsidR="005754D0" w:rsidRPr="00945E91" w:rsidRDefault="005754D0" w:rsidP="005754D0">
      <w:pPr>
        <w:spacing w:line="240" w:lineRule="auto"/>
        <w:jc w:val="left"/>
        <w:rPr>
          <w:rFonts w:asciiTheme="minorHAnsi" w:hAnsiTheme="minorHAnsi" w:cstheme="minorHAnsi"/>
          <w:szCs w:val="22"/>
          <w:lang w:val="de-DE"/>
        </w:rPr>
      </w:pPr>
    </w:p>
    <w:p w14:paraId="101A1D8F"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noProof/>
          <w:sz w:val="24"/>
          <w:szCs w:val="24"/>
          <w:lang w:eastAsia="de-AT"/>
        </w:rPr>
        <w:drawing>
          <wp:inline distT="0" distB="0" distL="0" distR="0" wp14:anchorId="08095DEF" wp14:editId="0AF33959">
            <wp:extent cx="5560398" cy="3438862"/>
            <wp:effectExtent l="0" t="0" r="254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12" cy="3444128"/>
                    </a:xfrm>
                    <a:prstGeom prst="rect">
                      <a:avLst/>
                    </a:prstGeom>
                    <a:noFill/>
                    <a:ln>
                      <a:noFill/>
                    </a:ln>
                  </pic:spPr>
                </pic:pic>
              </a:graphicData>
            </a:graphic>
          </wp:inline>
        </w:drawing>
      </w:r>
    </w:p>
    <w:p w14:paraId="54ECC1CD" w14:textId="77777777" w:rsidR="005754D0" w:rsidRPr="000F2B3C" w:rsidRDefault="005754D0" w:rsidP="005754D0">
      <w:pPr>
        <w:spacing w:line="240" w:lineRule="auto"/>
        <w:jc w:val="left"/>
        <w:rPr>
          <w:rFonts w:asciiTheme="minorHAnsi" w:hAnsiTheme="minorHAnsi" w:cstheme="minorHAnsi"/>
          <w:sz w:val="18"/>
          <w:szCs w:val="22"/>
          <w:lang w:val="en-US"/>
        </w:rPr>
      </w:pPr>
      <w:r w:rsidRPr="000F2B3C">
        <w:rPr>
          <w:rFonts w:asciiTheme="minorHAnsi" w:hAnsiTheme="minorHAnsi" w:cstheme="minorHAnsi"/>
          <w:sz w:val="18"/>
          <w:szCs w:val="22"/>
          <w:lang w:val="en-US"/>
        </w:rPr>
        <w:t>Kimura S, Mullighan CG: Best Pract Res Clin Haematol 2020</w:t>
      </w:r>
    </w:p>
    <w:p w14:paraId="6B9CE357" w14:textId="483621C0" w:rsidR="005754D0" w:rsidRPr="00945E91" w:rsidRDefault="005754D0" w:rsidP="005754D0">
      <w:pPr>
        <w:pStyle w:val="berschrift2"/>
        <w:ind w:left="709" w:hanging="709"/>
        <w:rPr>
          <w:rFonts w:asciiTheme="minorHAnsi" w:hAnsiTheme="minorHAnsi" w:cstheme="minorHAnsi"/>
          <w:lang w:val="de-DE"/>
        </w:rPr>
      </w:pPr>
      <w:r w:rsidRPr="000F2B3C">
        <w:rPr>
          <w:rFonts w:asciiTheme="minorHAnsi" w:hAnsiTheme="minorHAnsi" w:cstheme="minorHAnsi"/>
          <w:sz w:val="18"/>
          <w:szCs w:val="22"/>
        </w:rPr>
        <w:br w:type="page"/>
      </w:r>
      <w:bookmarkStart w:id="11" w:name="_Toc70881112"/>
      <w:bookmarkStart w:id="12" w:name="_Toc74412391"/>
      <w:r w:rsidRPr="00945E91">
        <w:rPr>
          <w:rFonts w:asciiTheme="minorHAnsi" w:hAnsiTheme="minorHAnsi" w:cstheme="minorHAnsi"/>
          <w:lang w:val="de-DE"/>
        </w:rPr>
        <w:lastRenderedPageBreak/>
        <w:t>2.5.</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Assoziation zw</w:t>
      </w:r>
      <w:r w:rsidR="00D21C29" w:rsidRPr="00945E91">
        <w:rPr>
          <w:rFonts w:asciiTheme="minorHAnsi" w:hAnsiTheme="minorHAnsi" w:cstheme="minorHAnsi"/>
          <w:lang w:val="de-DE"/>
        </w:rPr>
        <w:t>ischen</w:t>
      </w:r>
      <w:r w:rsidRPr="00945E91">
        <w:rPr>
          <w:rFonts w:asciiTheme="minorHAnsi" w:hAnsiTheme="minorHAnsi" w:cstheme="minorHAnsi"/>
          <w:lang w:val="de-DE"/>
        </w:rPr>
        <w:t xml:space="preserve"> Molekularbiologie, Prognose </w:t>
      </w:r>
      <w:r w:rsidR="00D21C29" w:rsidRPr="00945E91">
        <w:rPr>
          <w:rFonts w:asciiTheme="minorHAnsi" w:hAnsiTheme="minorHAnsi" w:cstheme="minorHAnsi"/>
          <w:lang w:val="de-DE"/>
        </w:rPr>
        <w:t>&amp;</w:t>
      </w:r>
      <w:r w:rsidRPr="00945E91">
        <w:rPr>
          <w:rFonts w:asciiTheme="minorHAnsi" w:hAnsiTheme="minorHAnsi" w:cstheme="minorHAnsi"/>
          <w:lang w:val="de-DE"/>
        </w:rPr>
        <w:t xml:space="preserve"> möglichen Therapie</w:t>
      </w:r>
      <w:bookmarkEnd w:id="11"/>
      <w:r w:rsidR="00D21C29" w:rsidRPr="00945E91">
        <w:rPr>
          <w:rFonts w:asciiTheme="minorHAnsi" w:hAnsiTheme="minorHAnsi" w:cstheme="minorHAnsi"/>
          <w:lang w:val="de-DE"/>
        </w:rPr>
        <w:t>n</w:t>
      </w:r>
      <w:bookmarkEnd w:id="12"/>
    </w:p>
    <w:p w14:paraId="7CCA76FD" w14:textId="77777777" w:rsidR="005754D0" w:rsidRPr="00945E91" w:rsidRDefault="005754D0" w:rsidP="005754D0">
      <w:pPr>
        <w:jc w:val="left"/>
        <w:rPr>
          <w:rFonts w:asciiTheme="minorHAnsi" w:hAnsiTheme="minorHAnsi" w:cstheme="minorHAnsi"/>
          <w:sz w:val="24"/>
          <w:szCs w:val="24"/>
          <w:lang w:val="de-DE"/>
        </w:rPr>
      </w:pPr>
      <w:r w:rsidRPr="00945E91">
        <w:rPr>
          <w:rFonts w:asciiTheme="minorHAnsi" w:hAnsiTheme="minorHAnsi" w:cstheme="minorHAnsi"/>
          <w:noProof/>
          <w:sz w:val="24"/>
          <w:szCs w:val="24"/>
          <w:lang w:eastAsia="de-AT"/>
        </w:rPr>
        <w:drawing>
          <wp:inline distT="0" distB="0" distL="0" distR="0" wp14:anchorId="4C252B34" wp14:editId="48F74959">
            <wp:extent cx="5760720" cy="196151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61518"/>
                    </a:xfrm>
                    <a:prstGeom prst="rect">
                      <a:avLst/>
                    </a:prstGeom>
                    <a:noFill/>
                    <a:ln>
                      <a:noFill/>
                    </a:ln>
                  </pic:spPr>
                </pic:pic>
              </a:graphicData>
            </a:graphic>
          </wp:inline>
        </w:drawing>
      </w:r>
    </w:p>
    <w:p w14:paraId="7E43C7CF" w14:textId="77777777" w:rsidR="005754D0" w:rsidRPr="00C9205D" w:rsidRDefault="005754D0" w:rsidP="005754D0">
      <w:pPr>
        <w:jc w:val="left"/>
        <w:rPr>
          <w:rFonts w:asciiTheme="minorHAnsi" w:hAnsiTheme="minorHAnsi" w:cstheme="minorHAnsi"/>
          <w:sz w:val="18"/>
          <w:szCs w:val="22"/>
          <w:lang w:val="es-ES"/>
        </w:rPr>
      </w:pPr>
      <w:r w:rsidRPr="00C9205D">
        <w:rPr>
          <w:rFonts w:asciiTheme="minorHAnsi" w:hAnsiTheme="minorHAnsi" w:cstheme="minorHAnsi"/>
          <w:sz w:val="18"/>
          <w:szCs w:val="22"/>
          <w:lang w:val="es-ES"/>
        </w:rPr>
        <w:t>Kruse A et al.: Int J Mol Sci 2020</w:t>
      </w:r>
    </w:p>
    <w:p w14:paraId="095552CE" w14:textId="77777777" w:rsidR="005754D0" w:rsidRPr="00C9205D" w:rsidRDefault="005754D0" w:rsidP="005754D0">
      <w:pPr>
        <w:spacing w:line="240" w:lineRule="auto"/>
        <w:jc w:val="left"/>
        <w:rPr>
          <w:rFonts w:asciiTheme="minorHAnsi" w:hAnsiTheme="minorHAnsi" w:cstheme="minorHAnsi"/>
          <w:b/>
          <w:szCs w:val="22"/>
          <w:lang w:val="es-ES"/>
        </w:rPr>
      </w:pPr>
    </w:p>
    <w:p w14:paraId="6ED5D51D"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Die nachfolgende Tabelle zur kindlichen ALL gibt einen Ausblick auf mögliche therapeutische Implikationen, die aus der molekularen Subtypisierung entstehen können.</w:t>
      </w:r>
    </w:p>
    <w:p w14:paraId="1C5DB5FE" w14:textId="77777777" w:rsidR="005754D0" w:rsidRPr="00945E91" w:rsidRDefault="005754D0" w:rsidP="005754D0">
      <w:pPr>
        <w:spacing w:line="240" w:lineRule="auto"/>
        <w:jc w:val="left"/>
        <w:rPr>
          <w:rFonts w:asciiTheme="minorHAnsi" w:hAnsiTheme="minorHAnsi" w:cstheme="minorHAnsi"/>
          <w:szCs w:val="22"/>
          <w:lang w:val="de-DE"/>
        </w:rPr>
      </w:pPr>
    </w:p>
    <w:p w14:paraId="521B9FDF" w14:textId="77777777" w:rsidR="005754D0" w:rsidRPr="00945E91" w:rsidRDefault="005754D0" w:rsidP="005754D0">
      <w:pPr>
        <w:jc w:val="left"/>
        <w:rPr>
          <w:rFonts w:asciiTheme="minorHAnsi" w:hAnsiTheme="minorHAnsi" w:cstheme="minorHAnsi"/>
          <w:sz w:val="24"/>
          <w:szCs w:val="24"/>
          <w:lang w:val="de-DE"/>
        </w:rPr>
      </w:pPr>
      <w:r w:rsidRPr="00945E91">
        <w:rPr>
          <w:rFonts w:asciiTheme="minorHAnsi" w:hAnsiTheme="minorHAnsi" w:cstheme="minorHAnsi"/>
          <w:noProof/>
          <w:sz w:val="24"/>
          <w:szCs w:val="24"/>
          <w:lang w:eastAsia="de-AT"/>
        </w:rPr>
        <w:drawing>
          <wp:inline distT="0" distB="0" distL="0" distR="0" wp14:anchorId="51C5C4E8" wp14:editId="2B1FCF80">
            <wp:extent cx="5760720" cy="317122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71227"/>
                    </a:xfrm>
                    <a:prstGeom prst="rect">
                      <a:avLst/>
                    </a:prstGeom>
                    <a:noFill/>
                    <a:ln>
                      <a:noFill/>
                    </a:ln>
                  </pic:spPr>
                </pic:pic>
              </a:graphicData>
            </a:graphic>
          </wp:inline>
        </w:drawing>
      </w:r>
    </w:p>
    <w:p w14:paraId="08D11C9C" w14:textId="77777777" w:rsidR="005754D0" w:rsidRPr="00945E91" w:rsidRDefault="005754D0" w:rsidP="005754D0">
      <w:pPr>
        <w:jc w:val="left"/>
        <w:rPr>
          <w:rFonts w:asciiTheme="minorHAnsi" w:hAnsiTheme="minorHAnsi" w:cstheme="minorHAnsi"/>
          <w:b/>
          <w:szCs w:val="22"/>
          <w:lang w:val="de-DE"/>
        </w:rPr>
      </w:pPr>
      <w:r w:rsidRPr="00945E91">
        <w:rPr>
          <w:rFonts w:asciiTheme="minorHAnsi" w:hAnsiTheme="minorHAnsi" w:cstheme="minorHAnsi"/>
          <w:sz w:val="18"/>
          <w:szCs w:val="22"/>
          <w:lang w:val="de-DE"/>
        </w:rPr>
        <w:t>Pui CH: Front Med 2020;14: 689–700</w:t>
      </w:r>
    </w:p>
    <w:p w14:paraId="5943440B"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br w:type="page"/>
      </w:r>
    </w:p>
    <w:p w14:paraId="04963CC1" w14:textId="66050285" w:rsidR="005754D0" w:rsidRPr="00945E91" w:rsidRDefault="005754D0" w:rsidP="005754D0">
      <w:pPr>
        <w:pStyle w:val="berschrift2"/>
        <w:rPr>
          <w:rFonts w:asciiTheme="minorHAnsi" w:hAnsiTheme="minorHAnsi" w:cstheme="minorHAnsi"/>
          <w:lang w:val="de-DE"/>
        </w:rPr>
      </w:pPr>
      <w:bookmarkStart w:id="13" w:name="_Toc70881113"/>
      <w:bookmarkStart w:id="14" w:name="_Toc74412392"/>
      <w:r w:rsidRPr="00945E91">
        <w:rPr>
          <w:rFonts w:asciiTheme="minorHAnsi" w:hAnsiTheme="minorHAnsi" w:cstheme="minorHAnsi"/>
          <w:lang w:val="de-DE"/>
        </w:rPr>
        <w:lastRenderedPageBreak/>
        <w:t>2.6.</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Einteilung gemäß GMALL nach Immunphänotyp und Molekulargenetik</w:t>
      </w:r>
      <w:bookmarkEnd w:id="13"/>
      <w:bookmarkEnd w:id="14"/>
    </w:p>
    <w:p w14:paraId="12A57B07" w14:textId="77777777" w:rsidR="005754D0" w:rsidRPr="00945E91" w:rsidRDefault="005754D0" w:rsidP="005754D0">
      <w:pPr>
        <w:pStyle w:val="Textkrper-Einzug2"/>
        <w:spacing w:after="0" w:line="276" w:lineRule="auto"/>
        <w:ind w:left="0"/>
        <w:jc w:val="left"/>
        <w:rPr>
          <w:rFonts w:asciiTheme="minorHAnsi" w:hAnsiTheme="minorHAnsi" w:cstheme="minorHAnsi"/>
          <w:b/>
          <w:szCs w:val="22"/>
          <w:lang w:val="de-DE"/>
        </w:rPr>
      </w:pPr>
    </w:p>
    <w:tbl>
      <w:tblPr>
        <w:tblW w:w="9356" w:type="dxa"/>
        <w:tblCellMar>
          <w:left w:w="70" w:type="dxa"/>
          <w:right w:w="70" w:type="dxa"/>
        </w:tblCellMar>
        <w:tblLook w:val="04A0" w:firstRow="1" w:lastRow="0" w:firstColumn="1" w:lastColumn="0" w:noHBand="0" w:noVBand="1"/>
      </w:tblPr>
      <w:tblGrid>
        <w:gridCol w:w="1688"/>
        <w:gridCol w:w="70"/>
        <w:gridCol w:w="2778"/>
        <w:gridCol w:w="1276"/>
        <w:gridCol w:w="3544"/>
      </w:tblGrid>
      <w:tr w:rsidR="005754D0" w:rsidRPr="00945E91" w14:paraId="43B5B46A" w14:textId="77777777" w:rsidTr="005754D0">
        <w:trPr>
          <w:trHeight w:val="290"/>
        </w:trPr>
        <w:tc>
          <w:tcPr>
            <w:tcW w:w="1758" w:type="dxa"/>
            <w:gridSpan w:val="2"/>
            <w:tcBorders>
              <w:top w:val="nil"/>
              <w:left w:val="nil"/>
              <w:bottom w:val="nil"/>
              <w:right w:val="nil"/>
            </w:tcBorders>
            <w:shd w:val="clear" w:color="auto" w:fill="000000" w:themeFill="text1"/>
            <w:noWrap/>
            <w:vAlign w:val="bottom"/>
            <w:hideMark/>
          </w:tcPr>
          <w:p w14:paraId="716D76E2"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Subgruppe</w:t>
            </w:r>
          </w:p>
        </w:tc>
        <w:tc>
          <w:tcPr>
            <w:tcW w:w="2778" w:type="dxa"/>
            <w:tcBorders>
              <w:top w:val="nil"/>
              <w:left w:val="nil"/>
              <w:bottom w:val="nil"/>
              <w:right w:val="nil"/>
            </w:tcBorders>
            <w:shd w:val="clear" w:color="auto" w:fill="000000" w:themeFill="text1"/>
            <w:noWrap/>
            <w:vAlign w:val="bottom"/>
            <w:hideMark/>
          </w:tcPr>
          <w:p w14:paraId="0F76B6EA"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Immunphänotypisierung</w:t>
            </w:r>
          </w:p>
        </w:tc>
        <w:tc>
          <w:tcPr>
            <w:tcW w:w="1276" w:type="dxa"/>
            <w:tcBorders>
              <w:top w:val="nil"/>
              <w:left w:val="nil"/>
              <w:bottom w:val="nil"/>
              <w:right w:val="nil"/>
            </w:tcBorders>
            <w:shd w:val="clear" w:color="auto" w:fill="000000" w:themeFill="text1"/>
            <w:noWrap/>
            <w:vAlign w:val="bottom"/>
            <w:hideMark/>
          </w:tcPr>
          <w:p w14:paraId="5853D765"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Inzidenz</w:t>
            </w:r>
          </w:p>
        </w:tc>
        <w:tc>
          <w:tcPr>
            <w:tcW w:w="3544" w:type="dxa"/>
            <w:tcBorders>
              <w:top w:val="nil"/>
              <w:left w:val="nil"/>
              <w:bottom w:val="nil"/>
              <w:right w:val="nil"/>
            </w:tcBorders>
            <w:shd w:val="clear" w:color="auto" w:fill="000000" w:themeFill="text1"/>
            <w:noWrap/>
            <w:vAlign w:val="bottom"/>
            <w:hideMark/>
          </w:tcPr>
          <w:p w14:paraId="237B13DC"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Zyto-/Molekulargenetik</w:t>
            </w:r>
          </w:p>
        </w:tc>
      </w:tr>
      <w:tr w:rsidR="005754D0" w:rsidRPr="0046732A" w14:paraId="4E8103A6" w14:textId="77777777" w:rsidTr="005754D0">
        <w:trPr>
          <w:trHeight w:val="290"/>
        </w:trPr>
        <w:tc>
          <w:tcPr>
            <w:tcW w:w="1688" w:type="dxa"/>
            <w:tcBorders>
              <w:top w:val="nil"/>
              <w:left w:val="nil"/>
              <w:bottom w:val="single" w:sz="4" w:space="0" w:color="auto"/>
              <w:right w:val="nil"/>
            </w:tcBorders>
            <w:shd w:val="clear" w:color="000000" w:fill="D9D9D9"/>
            <w:noWrap/>
            <w:vAlign w:val="bottom"/>
            <w:hideMark/>
          </w:tcPr>
          <w:p w14:paraId="2CD72A04" w14:textId="77777777" w:rsidR="005754D0" w:rsidRPr="00945E91" w:rsidRDefault="005754D0" w:rsidP="005754D0">
            <w:pPr>
              <w:pStyle w:val="Textkrper-Einzug2"/>
              <w:spacing w:after="0" w:line="276" w:lineRule="auto"/>
              <w:ind w:left="142"/>
              <w:jc w:val="left"/>
              <w:rPr>
                <w:rFonts w:asciiTheme="minorHAnsi" w:hAnsiTheme="minorHAnsi" w:cstheme="minorHAnsi"/>
                <w:b/>
                <w:szCs w:val="22"/>
                <w:lang w:val="de-DE"/>
              </w:rPr>
            </w:pPr>
            <w:r w:rsidRPr="00945E91">
              <w:rPr>
                <w:rFonts w:asciiTheme="minorHAnsi" w:hAnsiTheme="minorHAnsi" w:cstheme="minorHAnsi"/>
                <w:b/>
                <w:szCs w:val="22"/>
                <w:lang w:val="de-DE"/>
              </w:rPr>
              <w:t>B- Linien ALL</w:t>
            </w:r>
          </w:p>
        </w:tc>
        <w:tc>
          <w:tcPr>
            <w:tcW w:w="7668" w:type="dxa"/>
            <w:gridSpan w:val="4"/>
            <w:tcBorders>
              <w:top w:val="nil"/>
              <w:left w:val="nil"/>
              <w:bottom w:val="single" w:sz="4" w:space="0" w:color="auto"/>
              <w:right w:val="nil"/>
            </w:tcBorders>
            <w:shd w:val="clear" w:color="000000" w:fill="D9D9D9"/>
            <w:noWrap/>
            <w:vAlign w:val="bottom"/>
            <w:hideMark/>
          </w:tcPr>
          <w:p w14:paraId="55739752" w14:textId="77777777" w:rsidR="005754D0" w:rsidRPr="00C9205D" w:rsidRDefault="005754D0" w:rsidP="005754D0">
            <w:pPr>
              <w:pStyle w:val="Textkrper-Einzug2"/>
              <w:spacing w:after="0" w:line="276" w:lineRule="auto"/>
              <w:jc w:val="left"/>
              <w:rPr>
                <w:rFonts w:asciiTheme="minorHAnsi" w:hAnsiTheme="minorHAnsi" w:cstheme="minorHAnsi"/>
                <w:szCs w:val="22"/>
                <w:lang w:val="es-ES"/>
              </w:rPr>
            </w:pPr>
            <w:r w:rsidRPr="00C9205D">
              <w:rPr>
                <w:rFonts w:asciiTheme="minorHAnsi" w:hAnsiTheme="minorHAnsi" w:cstheme="minorHAnsi"/>
                <w:szCs w:val="22"/>
                <w:lang w:val="es-ES"/>
              </w:rPr>
              <w:t>HLA-DR+, TdT+, CD19+ u./o. cyCD79a+ u./o. cyCD22+ </w:t>
            </w:r>
          </w:p>
        </w:tc>
      </w:tr>
      <w:tr w:rsidR="005754D0" w:rsidRPr="00945E91" w14:paraId="2AF76EF0" w14:textId="77777777" w:rsidTr="005754D0">
        <w:trPr>
          <w:trHeight w:val="290"/>
        </w:trPr>
        <w:tc>
          <w:tcPr>
            <w:tcW w:w="1688" w:type="dxa"/>
            <w:tcBorders>
              <w:top w:val="single" w:sz="4" w:space="0" w:color="auto"/>
              <w:left w:val="nil"/>
              <w:bottom w:val="nil"/>
              <w:right w:val="nil"/>
            </w:tcBorders>
            <w:shd w:val="clear" w:color="auto" w:fill="auto"/>
            <w:noWrap/>
            <w:vAlign w:val="bottom"/>
            <w:hideMark/>
          </w:tcPr>
          <w:p w14:paraId="4675CF7F"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Pro-B*</w:t>
            </w:r>
          </w:p>
        </w:tc>
        <w:tc>
          <w:tcPr>
            <w:tcW w:w="2848" w:type="dxa"/>
            <w:gridSpan w:val="2"/>
            <w:tcBorders>
              <w:top w:val="single" w:sz="4" w:space="0" w:color="auto"/>
              <w:left w:val="nil"/>
              <w:bottom w:val="nil"/>
              <w:right w:val="nil"/>
            </w:tcBorders>
            <w:shd w:val="clear" w:color="auto" w:fill="auto"/>
            <w:noWrap/>
            <w:vAlign w:val="bottom"/>
            <w:hideMark/>
          </w:tcPr>
          <w:p w14:paraId="30A60CF6"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CD10-</w:t>
            </w:r>
          </w:p>
        </w:tc>
        <w:tc>
          <w:tcPr>
            <w:tcW w:w="1276" w:type="dxa"/>
            <w:tcBorders>
              <w:top w:val="single" w:sz="4" w:space="0" w:color="auto"/>
              <w:left w:val="nil"/>
              <w:bottom w:val="nil"/>
              <w:right w:val="nil"/>
            </w:tcBorders>
            <w:shd w:val="clear" w:color="auto" w:fill="auto"/>
            <w:noWrap/>
            <w:vAlign w:val="bottom"/>
            <w:hideMark/>
          </w:tcPr>
          <w:p w14:paraId="6D4BFA54"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11%</w:t>
            </w:r>
          </w:p>
        </w:tc>
        <w:tc>
          <w:tcPr>
            <w:tcW w:w="3544" w:type="dxa"/>
            <w:tcBorders>
              <w:top w:val="single" w:sz="4" w:space="0" w:color="auto"/>
              <w:left w:val="nil"/>
              <w:bottom w:val="nil"/>
              <w:right w:val="nil"/>
            </w:tcBorders>
            <w:shd w:val="clear" w:color="auto" w:fill="auto"/>
            <w:noWrap/>
            <w:vAlign w:val="bottom"/>
            <w:hideMark/>
          </w:tcPr>
          <w:p w14:paraId="16CF54DD"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t(4v;11); KMT2A-Rearrangements</w:t>
            </w:r>
          </w:p>
        </w:tc>
      </w:tr>
      <w:tr w:rsidR="005754D0" w:rsidRPr="00945E91" w14:paraId="0959C8FE" w14:textId="77777777" w:rsidTr="005754D0">
        <w:trPr>
          <w:trHeight w:val="290"/>
        </w:trPr>
        <w:tc>
          <w:tcPr>
            <w:tcW w:w="1688" w:type="dxa"/>
            <w:tcBorders>
              <w:top w:val="nil"/>
              <w:left w:val="nil"/>
              <w:bottom w:val="nil"/>
              <w:right w:val="nil"/>
            </w:tcBorders>
            <w:shd w:val="clear" w:color="auto" w:fill="auto"/>
            <w:noWrap/>
            <w:vAlign w:val="bottom"/>
            <w:hideMark/>
          </w:tcPr>
          <w:p w14:paraId="7167C00E"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c- (common)*</w:t>
            </w:r>
          </w:p>
        </w:tc>
        <w:tc>
          <w:tcPr>
            <w:tcW w:w="2848" w:type="dxa"/>
            <w:gridSpan w:val="2"/>
            <w:tcBorders>
              <w:top w:val="nil"/>
              <w:left w:val="nil"/>
              <w:bottom w:val="nil"/>
              <w:right w:val="nil"/>
            </w:tcBorders>
            <w:shd w:val="clear" w:color="auto" w:fill="auto"/>
            <w:noWrap/>
            <w:vAlign w:val="bottom"/>
            <w:hideMark/>
          </w:tcPr>
          <w:p w14:paraId="343FD53E"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CD10+</w:t>
            </w:r>
          </w:p>
        </w:tc>
        <w:tc>
          <w:tcPr>
            <w:tcW w:w="1276" w:type="dxa"/>
            <w:tcBorders>
              <w:top w:val="nil"/>
              <w:left w:val="nil"/>
              <w:bottom w:val="nil"/>
              <w:right w:val="nil"/>
            </w:tcBorders>
            <w:shd w:val="clear" w:color="auto" w:fill="auto"/>
            <w:noWrap/>
            <w:vAlign w:val="bottom"/>
            <w:hideMark/>
          </w:tcPr>
          <w:p w14:paraId="0FE4849E"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49%</w:t>
            </w:r>
          </w:p>
        </w:tc>
        <w:tc>
          <w:tcPr>
            <w:tcW w:w="3544" w:type="dxa"/>
            <w:tcBorders>
              <w:top w:val="nil"/>
              <w:left w:val="nil"/>
              <w:bottom w:val="nil"/>
              <w:right w:val="nil"/>
            </w:tcBorders>
            <w:shd w:val="clear" w:color="auto" w:fill="auto"/>
            <w:noWrap/>
            <w:vAlign w:val="bottom"/>
            <w:hideMark/>
          </w:tcPr>
          <w:p w14:paraId="4CC053C0"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t(9;22); BCR-ABL; IKZF1</w:t>
            </w:r>
          </w:p>
        </w:tc>
      </w:tr>
      <w:tr w:rsidR="005754D0" w:rsidRPr="00945E91" w14:paraId="51BA0FCE" w14:textId="77777777" w:rsidTr="005754D0">
        <w:trPr>
          <w:trHeight w:val="290"/>
        </w:trPr>
        <w:tc>
          <w:tcPr>
            <w:tcW w:w="1688" w:type="dxa"/>
            <w:tcBorders>
              <w:top w:val="nil"/>
              <w:left w:val="nil"/>
              <w:right w:val="nil"/>
            </w:tcBorders>
            <w:shd w:val="clear" w:color="auto" w:fill="auto"/>
            <w:noWrap/>
            <w:vAlign w:val="bottom"/>
            <w:hideMark/>
          </w:tcPr>
          <w:p w14:paraId="54805C63"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Prä-B*</w:t>
            </w:r>
          </w:p>
        </w:tc>
        <w:tc>
          <w:tcPr>
            <w:tcW w:w="2848" w:type="dxa"/>
            <w:gridSpan w:val="2"/>
            <w:tcBorders>
              <w:top w:val="nil"/>
              <w:left w:val="nil"/>
              <w:right w:val="nil"/>
            </w:tcBorders>
            <w:shd w:val="clear" w:color="auto" w:fill="auto"/>
            <w:noWrap/>
            <w:vAlign w:val="bottom"/>
            <w:hideMark/>
          </w:tcPr>
          <w:p w14:paraId="5B6530EF"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cyIgM+</w:t>
            </w:r>
          </w:p>
        </w:tc>
        <w:tc>
          <w:tcPr>
            <w:tcW w:w="1276" w:type="dxa"/>
            <w:tcBorders>
              <w:top w:val="nil"/>
              <w:left w:val="nil"/>
              <w:right w:val="nil"/>
            </w:tcBorders>
            <w:shd w:val="clear" w:color="auto" w:fill="auto"/>
            <w:noWrap/>
            <w:vAlign w:val="bottom"/>
            <w:hideMark/>
          </w:tcPr>
          <w:p w14:paraId="54131B09"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12%</w:t>
            </w:r>
          </w:p>
        </w:tc>
        <w:tc>
          <w:tcPr>
            <w:tcW w:w="3544" w:type="dxa"/>
            <w:tcBorders>
              <w:top w:val="nil"/>
              <w:left w:val="nil"/>
              <w:right w:val="nil"/>
            </w:tcBorders>
            <w:shd w:val="clear" w:color="auto" w:fill="auto"/>
            <w:noWrap/>
            <w:vAlign w:val="bottom"/>
            <w:hideMark/>
          </w:tcPr>
          <w:p w14:paraId="7C011CC8"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t(1;19); TCF3-PBX1;t(9;22); BCR-ABL; IKZF1</w:t>
            </w:r>
          </w:p>
        </w:tc>
      </w:tr>
      <w:tr w:rsidR="005754D0" w:rsidRPr="00945E91" w14:paraId="384BE2B5" w14:textId="77777777" w:rsidTr="005754D0">
        <w:trPr>
          <w:trHeight w:val="290"/>
        </w:trPr>
        <w:tc>
          <w:tcPr>
            <w:tcW w:w="1688" w:type="dxa"/>
            <w:tcBorders>
              <w:top w:val="nil"/>
              <w:left w:val="nil"/>
              <w:bottom w:val="single" w:sz="4" w:space="0" w:color="auto"/>
              <w:right w:val="nil"/>
            </w:tcBorders>
            <w:shd w:val="clear" w:color="000000" w:fill="FFFFFF"/>
            <w:noWrap/>
            <w:vAlign w:val="bottom"/>
            <w:hideMark/>
          </w:tcPr>
          <w:p w14:paraId="69FD2215"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Reife B</w:t>
            </w:r>
          </w:p>
        </w:tc>
        <w:tc>
          <w:tcPr>
            <w:tcW w:w="2848" w:type="dxa"/>
            <w:gridSpan w:val="2"/>
            <w:tcBorders>
              <w:top w:val="nil"/>
              <w:left w:val="nil"/>
              <w:bottom w:val="single" w:sz="4" w:space="0" w:color="auto"/>
              <w:right w:val="nil"/>
            </w:tcBorders>
            <w:shd w:val="clear" w:color="000000" w:fill="FFFFFF"/>
            <w:noWrap/>
            <w:vAlign w:val="bottom"/>
            <w:hideMark/>
          </w:tcPr>
          <w:p w14:paraId="2F116E13"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sIg+</w:t>
            </w:r>
          </w:p>
        </w:tc>
        <w:tc>
          <w:tcPr>
            <w:tcW w:w="1276" w:type="dxa"/>
            <w:tcBorders>
              <w:top w:val="nil"/>
              <w:left w:val="nil"/>
              <w:bottom w:val="single" w:sz="4" w:space="0" w:color="auto"/>
              <w:right w:val="nil"/>
            </w:tcBorders>
            <w:shd w:val="clear" w:color="000000" w:fill="FFFFFF"/>
            <w:noWrap/>
            <w:vAlign w:val="bottom"/>
            <w:hideMark/>
          </w:tcPr>
          <w:p w14:paraId="4AB89EB3"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4%</w:t>
            </w:r>
          </w:p>
        </w:tc>
        <w:tc>
          <w:tcPr>
            <w:tcW w:w="3544" w:type="dxa"/>
            <w:tcBorders>
              <w:top w:val="nil"/>
              <w:left w:val="nil"/>
              <w:bottom w:val="single" w:sz="4" w:space="0" w:color="auto"/>
              <w:right w:val="nil"/>
            </w:tcBorders>
            <w:shd w:val="clear" w:color="000000" w:fill="FFFFFF"/>
            <w:noWrap/>
            <w:vAlign w:val="bottom"/>
            <w:hideMark/>
          </w:tcPr>
          <w:p w14:paraId="27AD2407"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t(8;14); MYC-Rearrangements</w:t>
            </w:r>
          </w:p>
        </w:tc>
      </w:tr>
      <w:tr w:rsidR="005754D0" w:rsidRPr="00945E91" w14:paraId="79F4234B" w14:textId="77777777" w:rsidTr="005754D0">
        <w:trPr>
          <w:trHeight w:val="290"/>
        </w:trPr>
        <w:tc>
          <w:tcPr>
            <w:tcW w:w="1688" w:type="dxa"/>
            <w:tcBorders>
              <w:top w:val="single" w:sz="4" w:space="0" w:color="auto"/>
              <w:left w:val="nil"/>
              <w:bottom w:val="single" w:sz="4" w:space="0" w:color="auto"/>
              <w:right w:val="nil"/>
            </w:tcBorders>
            <w:shd w:val="clear" w:color="000000" w:fill="D9D9D9"/>
            <w:noWrap/>
            <w:vAlign w:val="bottom"/>
            <w:hideMark/>
          </w:tcPr>
          <w:p w14:paraId="5244FC24" w14:textId="77777777" w:rsidR="005754D0" w:rsidRPr="00945E91" w:rsidRDefault="005754D0" w:rsidP="005754D0">
            <w:pPr>
              <w:pStyle w:val="Textkrper-Einzug2"/>
              <w:spacing w:after="0" w:line="276" w:lineRule="auto"/>
              <w:ind w:left="142"/>
              <w:jc w:val="left"/>
              <w:rPr>
                <w:rFonts w:asciiTheme="minorHAnsi" w:hAnsiTheme="minorHAnsi" w:cstheme="minorHAnsi"/>
                <w:b/>
                <w:szCs w:val="22"/>
                <w:lang w:val="de-DE"/>
              </w:rPr>
            </w:pPr>
            <w:r w:rsidRPr="00945E91">
              <w:rPr>
                <w:rFonts w:asciiTheme="minorHAnsi" w:hAnsiTheme="minorHAnsi" w:cstheme="minorHAnsi"/>
                <w:b/>
                <w:szCs w:val="22"/>
                <w:lang w:val="de-DE"/>
              </w:rPr>
              <w:t>T- Linien ALL</w:t>
            </w:r>
          </w:p>
        </w:tc>
        <w:tc>
          <w:tcPr>
            <w:tcW w:w="2848" w:type="dxa"/>
            <w:gridSpan w:val="2"/>
            <w:tcBorders>
              <w:top w:val="single" w:sz="4" w:space="0" w:color="auto"/>
              <w:left w:val="nil"/>
              <w:bottom w:val="single" w:sz="4" w:space="0" w:color="auto"/>
              <w:right w:val="nil"/>
            </w:tcBorders>
            <w:shd w:val="clear" w:color="000000" w:fill="D9D9D9"/>
            <w:noWrap/>
            <w:vAlign w:val="bottom"/>
            <w:hideMark/>
          </w:tcPr>
          <w:p w14:paraId="3B89C85F"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TdT+, cyCD3+, CD7+</w:t>
            </w:r>
          </w:p>
        </w:tc>
        <w:tc>
          <w:tcPr>
            <w:tcW w:w="1276" w:type="dxa"/>
            <w:tcBorders>
              <w:top w:val="single" w:sz="4" w:space="0" w:color="auto"/>
              <w:left w:val="nil"/>
              <w:bottom w:val="single" w:sz="4" w:space="0" w:color="auto"/>
              <w:right w:val="nil"/>
            </w:tcBorders>
            <w:shd w:val="clear" w:color="000000" w:fill="D9D9D9"/>
            <w:noWrap/>
            <w:vAlign w:val="bottom"/>
            <w:hideMark/>
          </w:tcPr>
          <w:p w14:paraId="2FD8AF71"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p>
        </w:tc>
        <w:tc>
          <w:tcPr>
            <w:tcW w:w="3544" w:type="dxa"/>
            <w:tcBorders>
              <w:top w:val="single" w:sz="4" w:space="0" w:color="auto"/>
              <w:left w:val="nil"/>
              <w:bottom w:val="single" w:sz="4" w:space="0" w:color="auto"/>
              <w:right w:val="nil"/>
            </w:tcBorders>
            <w:shd w:val="clear" w:color="000000" w:fill="D9D9D9"/>
            <w:noWrap/>
            <w:vAlign w:val="bottom"/>
            <w:hideMark/>
          </w:tcPr>
          <w:p w14:paraId="26CF4E1B"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 </w:t>
            </w:r>
          </w:p>
        </w:tc>
      </w:tr>
      <w:tr w:rsidR="005754D0" w:rsidRPr="00945E91" w14:paraId="6A92754B" w14:textId="77777777" w:rsidTr="005754D0">
        <w:trPr>
          <w:trHeight w:val="290"/>
        </w:trPr>
        <w:tc>
          <w:tcPr>
            <w:tcW w:w="1688" w:type="dxa"/>
            <w:tcBorders>
              <w:top w:val="single" w:sz="4" w:space="0" w:color="auto"/>
              <w:left w:val="nil"/>
              <w:bottom w:val="nil"/>
              <w:right w:val="nil"/>
            </w:tcBorders>
            <w:shd w:val="clear" w:color="auto" w:fill="auto"/>
            <w:noWrap/>
            <w:vAlign w:val="bottom"/>
            <w:hideMark/>
          </w:tcPr>
          <w:p w14:paraId="25FAEB02"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„Early“ T</w:t>
            </w:r>
          </w:p>
        </w:tc>
        <w:tc>
          <w:tcPr>
            <w:tcW w:w="2848" w:type="dxa"/>
            <w:gridSpan w:val="2"/>
            <w:tcBorders>
              <w:top w:val="single" w:sz="4" w:space="0" w:color="auto"/>
              <w:left w:val="nil"/>
              <w:bottom w:val="nil"/>
              <w:right w:val="nil"/>
            </w:tcBorders>
            <w:shd w:val="clear" w:color="auto" w:fill="auto"/>
            <w:noWrap/>
            <w:vAlign w:val="bottom"/>
            <w:hideMark/>
          </w:tcPr>
          <w:p w14:paraId="261681D2"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CD2-, sCD3-, CD1a-</w:t>
            </w:r>
          </w:p>
        </w:tc>
        <w:tc>
          <w:tcPr>
            <w:tcW w:w="1276" w:type="dxa"/>
            <w:tcBorders>
              <w:top w:val="single" w:sz="4" w:space="0" w:color="auto"/>
              <w:left w:val="nil"/>
              <w:bottom w:val="nil"/>
              <w:right w:val="nil"/>
            </w:tcBorders>
            <w:shd w:val="clear" w:color="auto" w:fill="auto"/>
            <w:noWrap/>
            <w:vAlign w:val="bottom"/>
            <w:hideMark/>
          </w:tcPr>
          <w:p w14:paraId="487F23D0"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6%</w:t>
            </w:r>
          </w:p>
        </w:tc>
        <w:tc>
          <w:tcPr>
            <w:tcW w:w="3544" w:type="dxa"/>
            <w:tcBorders>
              <w:top w:val="single" w:sz="4" w:space="0" w:color="auto"/>
              <w:left w:val="nil"/>
              <w:bottom w:val="nil"/>
              <w:right w:val="nil"/>
            </w:tcBorders>
            <w:shd w:val="clear" w:color="auto" w:fill="auto"/>
            <w:noWrap/>
            <w:vAlign w:val="bottom"/>
            <w:hideMark/>
          </w:tcPr>
          <w:p w14:paraId="508DCA30"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PTEN*,N/K-RAS*</w:t>
            </w:r>
          </w:p>
        </w:tc>
      </w:tr>
      <w:tr w:rsidR="005754D0" w:rsidRPr="00945E91" w14:paraId="1F2B3ABA" w14:textId="77777777" w:rsidTr="005754D0">
        <w:trPr>
          <w:trHeight w:val="290"/>
        </w:trPr>
        <w:tc>
          <w:tcPr>
            <w:tcW w:w="1688" w:type="dxa"/>
            <w:tcBorders>
              <w:top w:val="nil"/>
              <w:left w:val="nil"/>
              <w:right w:val="nil"/>
            </w:tcBorders>
            <w:shd w:val="clear" w:color="auto" w:fill="auto"/>
            <w:noWrap/>
            <w:vAlign w:val="bottom"/>
            <w:hideMark/>
          </w:tcPr>
          <w:p w14:paraId="0FAAA0A1"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„Thymische“ T</w:t>
            </w:r>
          </w:p>
        </w:tc>
        <w:tc>
          <w:tcPr>
            <w:tcW w:w="2848" w:type="dxa"/>
            <w:gridSpan w:val="2"/>
            <w:tcBorders>
              <w:top w:val="nil"/>
              <w:left w:val="nil"/>
              <w:right w:val="nil"/>
            </w:tcBorders>
            <w:shd w:val="clear" w:color="auto" w:fill="auto"/>
            <w:noWrap/>
            <w:vAlign w:val="bottom"/>
            <w:hideMark/>
          </w:tcPr>
          <w:p w14:paraId="1FE106EC"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sCD3±, CD1a+</w:t>
            </w:r>
          </w:p>
        </w:tc>
        <w:tc>
          <w:tcPr>
            <w:tcW w:w="1276" w:type="dxa"/>
            <w:tcBorders>
              <w:top w:val="nil"/>
              <w:left w:val="nil"/>
              <w:right w:val="nil"/>
            </w:tcBorders>
            <w:shd w:val="clear" w:color="auto" w:fill="auto"/>
            <w:noWrap/>
            <w:vAlign w:val="bottom"/>
            <w:hideMark/>
          </w:tcPr>
          <w:p w14:paraId="16D35BB0"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12%</w:t>
            </w:r>
          </w:p>
        </w:tc>
        <w:tc>
          <w:tcPr>
            <w:tcW w:w="3544" w:type="dxa"/>
            <w:tcBorders>
              <w:top w:val="nil"/>
              <w:left w:val="nil"/>
              <w:right w:val="nil"/>
            </w:tcBorders>
            <w:shd w:val="clear" w:color="auto" w:fill="auto"/>
            <w:noWrap/>
            <w:vAlign w:val="bottom"/>
            <w:hideMark/>
          </w:tcPr>
          <w:p w14:paraId="45711B25"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NOTCH1/FBXW7*</w:t>
            </w:r>
          </w:p>
        </w:tc>
      </w:tr>
      <w:tr w:rsidR="005754D0" w:rsidRPr="00945E91" w14:paraId="160AB59E" w14:textId="77777777" w:rsidTr="005754D0">
        <w:trPr>
          <w:trHeight w:val="290"/>
        </w:trPr>
        <w:tc>
          <w:tcPr>
            <w:tcW w:w="1688" w:type="dxa"/>
            <w:tcBorders>
              <w:top w:val="nil"/>
              <w:left w:val="nil"/>
              <w:bottom w:val="single" w:sz="4" w:space="0" w:color="auto"/>
              <w:right w:val="nil"/>
            </w:tcBorders>
            <w:shd w:val="clear" w:color="auto" w:fill="auto"/>
            <w:noWrap/>
            <w:vAlign w:val="bottom"/>
            <w:hideMark/>
          </w:tcPr>
          <w:p w14:paraId="5878B4B4" w14:textId="77777777" w:rsidR="005754D0" w:rsidRPr="00945E91" w:rsidRDefault="005754D0" w:rsidP="005754D0">
            <w:pPr>
              <w:pStyle w:val="Textkrper-Einzug2"/>
              <w:spacing w:after="0" w:line="276" w:lineRule="auto"/>
              <w:ind w:left="142"/>
              <w:jc w:val="left"/>
              <w:rPr>
                <w:rFonts w:asciiTheme="minorHAnsi" w:hAnsiTheme="minorHAnsi" w:cstheme="minorHAnsi"/>
                <w:szCs w:val="22"/>
                <w:lang w:val="de-DE"/>
              </w:rPr>
            </w:pPr>
            <w:r w:rsidRPr="00945E91">
              <w:rPr>
                <w:rFonts w:asciiTheme="minorHAnsi" w:hAnsiTheme="minorHAnsi" w:cstheme="minorHAnsi"/>
                <w:szCs w:val="22"/>
                <w:lang w:val="de-DE"/>
              </w:rPr>
              <w:t>„Mature“ T</w:t>
            </w:r>
          </w:p>
        </w:tc>
        <w:tc>
          <w:tcPr>
            <w:tcW w:w="2848" w:type="dxa"/>
            <w:gridSpan w:val="2"/>
            <w:tcBorders>
              <w:top w:val="nil"/>
              <w:left w:val="nil"/>
              <w:bottom w:val="single" w:sz="4" w:space="0" w:color="auto"/>
              <w:right w:val="nil"/>
            </w:tcBorders>
            <w:shd w:val="clear" w:color="auto" w:fill="auto"/>
            <w:noWrap/>
            <w:vAlign w:val="bottom"/>
            <w:hideMark/>
          </w:tcPr>
          <w:p w14:paraId="29B95401"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sCD3+, CD1a-</w:t>
            </w:r>
          </w:p>
        </w:tc>
        <w:tc>
          <w:tcPr>
            <w:tcW w:w="1276" w:type="dxa"/>
            <w:tcBorders>
              <w:top w:val="nil"/>
              <w:left w:val="nil"/>
              <w:bottom w:val="single" w:sz="4" w:space="0" w:color="auto"/>
              <w:right w:val="nil"/>
            </w:tcBorders>
            <w:shd w:val="clear" w:color="auto" w:fill="auto"/>
            <w:noWrap/>
            <w:vAlign w:val="bottom"/>
            <w:hideMark/>
          </w:tcPr>
          <w:p w14:paraId="45D87272"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6%</w:t>
            </w:r>
          </w:p>
        </w:tc>
        <w:tc>
          <w:tcPr>
            <w:tcW w:w="3544" w:type="dxa"/>
            <w:tcBorders>
              <w:top w:val="nil"/>
              <w:left w:val="nil"/>
              <w:bottom w:val="single" w:sz="4" w:space="0" w:color="auto"/>
              <w:right w:val="nil"/>
            </w:tcBorders>
            <w:shd w:val="clear" w:color="auto" w:fill="auto"/>
            <w:noWrap/>
            <w:vAlign w:val="bottom"/>
            <w:hideMark/>
          </w:tcPr>
          <w:p w14:paraId="1BAB4F37" w14:textId="77777777" w:rsidR="005754D0" w:rsidRPr="00945E91" w:rsidRDefault="005754D0" w:rsidP="005754D0">
            <w:pPr>
              <w:pStyle w:val="Textkrper-Einzug2"/>
              <w:spacing w:after="0" w:line="276" w:lineRule="auto"/>
              <w:jc w:val="left"/>
              <w:rPr>
                <w:rFonts w:asciiTheme="minorHAnsi" w:hAnsiTheme="minorHAnsi" w:cstheme="minorHAnsi"/>
                <w:szCs w:val="22"/>
                <w:lang w:val="de-DE"/>
              </w:rPr>
            </w:pPr>
          </w:p>
        </w:tc>
      </w:tr>
    </w:tbl>
    <w:p w14:paraId="33E63090" w14:textId="5B3DD386" w:rsidR="005754D0" w:rsidRDefault="005754D0" w:rsidP="005754D0">
      <w:pPr>
        <w:pStyle w:val="Textkrper-Einzug2"/>
        <w:spacing w:after="0" w:line="276" w:lineRule="auto"/>
        <w:ind w:left="0"/>
        <w:jc w:val="left"/>
        <w:rPr>
          <w:rFonts w:asciiTheme="minorHAnsi" w:hAnsiTheme="minorHAnsi" w:cstheme="minorHAnsi"/>
          <w:sz w:val="20"/>
          <w:szCs w:val="22"/>
          <w:lang w:val="de-DE"/>
        </w:rPr>
      </w:pPr>
      <w:r w:rsidRPr="00945E91">
        <w:rPr>
          <w:rFonts w:asciiTheme="minorHAnsi" w:hAnsiTheme="minorHAnsi" w:cstheme="minorHAnsi"/>
          <w:sz w:val="20"/>
          <w:szCs w:val="22"/>
          <w:lang w:val="de-DE"/>
        </w:rPr>
        <w:t>*Pro-B-ALL, C-(Common) ALL und Prä-B-ALL werden als B-Vorläufer-ALL zusammengefasst.</w:t>
      </w:r>
    </w:p>
    <w:p w14:paraId="6DE89105" w14:textId="77777777" w:rsidR="00D9135B" w:rsidRDefault="00D9135B" w:rsidP="005754D0">
      <w:pPr>
        <w:pStyle w:val="Textkrper-Einzug2"/>
        <w:spacing w:after="0" w:line="276" w:lineRule="auto"/>
        <w:ind w:left="0"/>
        <w:jc w:val="left"/>
        <w:rPr>
          <w:rFonts w:asciiTheme="minorHAnsi" w:hAnsiTheme="minorHAnsi" w:cstheme="minorHAnsi"/>
          <w:sz w:val="20"/>
          <w:szCs w:val="22"/>
          <w:lang w:val="de-DE"/>
        </w:rPr>
      </w:pPr>
    </w:p>
    <w:p w14:paraId="2DE3D001" w14:textId="23A44C82" w:rsidR="0016488E" w:rsidRPr="00945E91" w:rsidRDefault="0016488E" w:rsidP="005754D0">
      <w:pPr>
        <w:pStyle w:val="Textkrper-Einzug2"/>
        <w:spacing w:after="0" w:line="276" w:lineRule="auto"/>
        <w:ind w:left="0"/>
        <w:jc w:val="left"/>
        <w:rPr>
          <w:rFonts w:asciiTheme="minorHAnsi" w:hAnsiTheme="minorHAnsi" w:cstheme="minorHAnsi"/>
          <w:sz w:val="20"/>
          <w:szCs w:val="22"/>
          <w:lang w:val="de-DE"/>
        </w:rPr>
      </w:pPr>
      <w:r w:rsidRPr="00945E91">
        <w:rPr>
          <w:rFonts w:asciiTheme="minorHAnsi" w:hAnsiTheme="minorHAnsi" w:cstheme="minorHAnsi"/>
          <w:b/>
          <w:szCs w:val="22"/>
          <w:lang w:val="de-DE"/>
        </w:rPr>
        <w:t xml:space="preserve">Die </w:t>
      </w:r>
      <w:r w:rsidRPr="00945E91">
        <w:rPr>
          <w:rStyle w:val="Fett"/>
          <w:rFonts w:asciiTheme="minorHAnsi" w:hAnsiTheme="minorHAnsi" w:cstheme="minorHAnsi"/>
          <w:i/>
          <w:lang w:val="de-DE"/>
        </w:rPr>
        <w:t xml:space="preserve">Neoplasie der reifen B-Zelle (Mature B-cell neoplasms), </w:t>
      </w:r>
      <w:r w:rsidRPr="00945E91">
        <w:rPr>
          <w:rStyle w:val="Fett"/>
          <w:rFonts w:asciiTheme="minorHAnsi" w:hAnsiTheme="minorHAnsi" w:cstheme="minorHAnsi"/>
          <w:lang w:val="de-DE"/>
        </w:rPr>
        <w:t xml:space="preserve">d.h. </w:t>
      </w:r>
      <w:r w:rsidRPr="00945E91">
        <w:rPr>
          <w:rFonts w:asciiTheme="minorHAnsi" w:hAnsiTheme="minorHAnsi" w:cstheme="minorHAnsi"/>
          <w:b/>
          <w:szCs w:val="22"/>
          <w:lang w:val="de-DE"/>
        </w:rPr>
        <w:t xml:space="preserve">reifzellige „Burkitt“-B-ALL, Burkitt-Lymphom und andere aggressive Lymphome, wird in dieser Leitlinie </w:t>
      </w:r>
      <w:r w:rsidRPr="00945E91">
        <w:rPr>
          <w:rFonts w:asciiTheme="minorHAnsi" w:hAnsiTheme="minorHAnsi" w:cstheme="minorHAnsi"/>
          <w:b/>
          <w:szCs w:val="22"/>
          <w:u w:val="single"/>
          <w:lang w:val="de-DE"/>
        </w:rPr>
        <w:t>nicht</w:t>
      </w:r>
      <w:r w:rsidRPr="00945E91">
        <w:rPr>
          <w:rFonts w:asciiTheme="minorHAnsi" w:hAnsiTheme="minorHAnsi" w:cstheme="minorHAnsi"/>
          <w:b/>
          <w:szCs w:val="22"/>
          <w:lang w:val="de-DE"/>
        </w:rPr>
        <w:t xml:space="preserve"> abgehandelt</w:t>
      </w:r>
      <w:r w:rsidR="0088119E">
        <w:rPr>
          <w:rFonts w:asciiTheme="minorHAnsi" w:hAnsiTheme="minorHAnsi" w:cstheme="minorHAnsi"/>
          <w:b/>
          <w:szCs w:val="22"/>
          <w:lang w:val="de-DE"/>
        </w:rPr>
        <w:t>. Cave: Die</w:t>
      </w:r>
      <w:r>
        <w:rPr>
          <w:rFonts w:asciiTheme="minorHAnsi" w:hAnsiTheme="minorHAnsi" w:cstheme="minorHAnsi"/>
          <w:b/>
          <w:szCs w:val="22"/>
          <w:lang w:val="de-DE"/>
        </w:rPr>
        <w:t xml:space="preserve"> Terminologie „B-ALL“ wie bislang in der GMALL für reifzellige B-Zellneoplasie, also nicht Leukämie sondern (leukämisches) Lymphom, verwendet, bedeutet heute in der internationalen Literatur B-Vorläufer ALL.</w:t>
      </w:r>
    </w:p>
    <w:p w14:paraId="20E1C6B4"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10909852"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Bei etwa 29% der Patienten zeigen die typischen ALL-Blasten die Koexpression myeloischer</w:t>
      </w:r>
    </w:p>
    <w:p w14:paraId="16304CB8"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Oberflächenmarker wie CD13, CD33 (&gt;20%). Bestimmte Subgruppen der ALL gehen mit einer</w:t>
      </w:r>
    </w:p>
    <w:p w14:paraId="55FBFAE5"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höheren Inzidenz myeloischer Koexpression einher, z. B. „early“ T-ALL, pro-B-ALL, Ph/BCR-ABL positive</w:t>
      </w:r>
    </w:p>
    <w:p w14:paraId="3ED50B0B"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ALL. Die myeloische Koexpression ist prognostisch nicht relevant. Die Patienten werden</w:t>
      </w:r>
    </w:p>
    <w:p w14:paraId="0E157566"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analog den betreffenden ALL-Protokollen behandelt.</w:t>
      </w:r>
    </w:p>
    <w:p w14:paraId="684579B5" w14:textId="77777777" w:rsidR="005754D0" w:rsidRPr="00945E91" w:rsidRDefault="005754D0" w:rsidP="005754D0">
      <w:pPr>
        <w:spacing w:line="240" w:lineRule="auto"/>
        <w:jc w:val="left"/>
        <w:rPr>
          <w:rFonts w:asciiTheme="minorHAnsi" w:hAnsiTheme="minorHAnsi" w:cstheme="minorHAnsi"/>
          <w:b/>
          <w:szCs w:val="22"/>
          <w:u w:val="single"/>
          <w:lang w:val="de-DE"/>
        </w:rPr>
      </w:pPr>
    </w:p>
    <w:p w14:paraId="4C5B02AC" w14:textId="77777777" w:rsidR="005754D0" w:rsidRPr="00945E91" w:rsidRDefault="005754D0" w:rsidP="005754D0">
      <w:pPr>
        <w:spacing w:line="240" w:lineRule="auto"/>
        <w:jc w:val="left"/>
        <w:rPr>
          <w:rFonts w:asciiTheme="minorHAnsi" w:hAnsiTheme="minorHAnsi" w:cstheme="minorHAnsi"/>
          <w:b/>
          <w:szCs w:val="22"/>
          <w:u w:val="single"/>
          <w:lang w:val="de-DE"/>
        </w:rPr>
      </w:pPr>
    </w:p>
    <w:p w14:paraId="5A826C3B" w14:textId="77777777" w:rsidR="005754D0" w:rsidRPr="00945E91" w:rsidRDefault="005754D0" w:rsidP="005754D0">
      <w:pPr>
        <w:spacing w:line="240" w:lineRule="auto"/>
        <w:jc w:val="left"/>
        <w:rPr>
          <w:rFonts w:asciiTheme="minorHAnsi" w:hAnsiTheme="minorHAnsi" w:cstheme="minorHAnsi"/>
          <w:b/>
          <w:szCs w:val="22"/>
          <w:u w:val="single"/>
          <w:lang w:val="de-DE"/>
        </w:rPr>
      </w:pPr>
    </w:p>
    <w:p w14:paraId="587EF4EA" w14:textId="77777777" w:rsidR="005754D0" w:rsidRPr="00945E91" w:rsidRDefault="005754D0" w:rsidP="005754D0">
      <w:pPr>
        <w:spacing w:line="240" w:lineRule="auto"/>
        <w:jc w:val="left"/>
        <w:rPr>
          <w:rFonts w:asciiTheme="minorHAnsi" w:hAnsiTheme="minorHAnsi" w:cstheme="minorHAnsi"/>
          <w:b/>
          <w:bCs/>
          <w:iCs/>
          <w:sz w:val="24"/>
          <w:szCs w:val="24"/>
          <w:lang w:val="de-DE"/>
        </w:rPr>
      </w:pPr>
      <w:r w:rsidRPr="00945E91">
        <w:rPr>
          <w:rFonts w:asciiTheme="minorHAnsi" w:hAnsiTheme="minorHAnsi" w:cstheme="minorHAnsi"/>
          <w:i/>
          <w:lang w:val="de-DE"/>
        </w:rPr>
        <w:br w:type="page"/>
      </w:r>
    </w:p>
    <w:p w14:paraId="19869AEA" w14:textId="1E2B092C" w:rsidR="005754D0" w:rsidRPr="00945E91" w:rsidRDefault="005754D0" w:rsidP="005754D0">
      <w:pPr>
        <w:pStyle w:val="berschrift2"/>
        <w:rPr>
          <w:rFonts w:asciiTheme="minorHAnsi" w:hAnsiTheme="minorHAnsi" w:cstheme="minorHAnsi"/>
          <w:lang w:val="de-DE"/>
        </w:rPr>
      </w:pPr>
      <w:bookmarkStart w:id="15" w:name="_Toc70881114"/>
      <w:bookmarkStart w:id="16" w:name="_Toc74412393"/>
      <w:r w:rsidRPr="00945E91">
        <w:rPr>
          <w:rFonts w:asciiTheme="minorHAnsi" w:hAnsiTheme="minorHAnsi" w:cstheme="minorHAnsi"/>
          <w:lang w:val="de-DE"/>
        </w:rPr>
        <w:lastRenderedPageBreak/>
        <w:t>2.7</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Risikoeinteilung zur Festlegung des Behandlungsalgorithmus</w:t>
      </w:r>
      <w:bookmarkEnd w:id="15"/>
      <w:bookmarkEnd w:id="16"/>
    </w:p>
    <w:p w14:paraId="632082A6" w14:textId="5861AD65"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r w:rsidRPr="00945E91">
        <w:rPr>
          <w:rFonts w:asciiTheme="minorHAnsi" w:hAnsiTheme="minorHAnsi" w:cstheme="minorHAnsi"/>
          <w:szCs w:val="22"/>
          <w:lang w:val="de-DE"/>
        </w:rPr>
        <w:t xml:space="preserve">Die Einschätzung der Prognose und Therapiestratifizierung für </w:t>
      </w:r>
      <w:r w:rsidR="00945E91" w:rsidRPr="00945E91">
        <w:rPr>
          <w:rFonts w:asciiTheme="minorHAnsi" w:hAnsiTheme="minorHAnsi" w:cstheme="minorHAnsi"/>
          <w:szCs w:val="22"/>
          <w:lang w:val="de-DE"/>
        </w:rPr>
        <w:t>Patienten</w:t>
      </w:r>
      <w:r w:rsidRPr="00945E91">
        <w:rPr>
          <w:rFonts w:asciiTheme="minorHAnsi" w:hAnsiTheme="minorHAnsi" w:cstheme="minorHAnsi"/>
          <w:szCs w:val="22"/>
          <w:lang w:val="de-DE"/>
        </w:rPr>
        <w:t xml:space="preserve"> mit BCR-ABL negativer ALL vor dem 26. Lebensjahr erfolgt nach dem AIEOP-Protokoll 2017</w:t>
      </w:r>
      <w:r w:rsidRPr="00945E91">
        <w:rPr>
          <w:rFonts w:asciiTheme="minorHAnsi" w:hAnsiTheme="minorHAnsi" w:cstheme="minorHAnsi"/>
          <w:b/>
          <w:szCs w:val="22"/>
          <w:lang w:val="de-DE"/>
        </w:rPr>
        <w:t xml:space="preserve"> (Kapitel 2.7.1)</w:t>
      </w:r>
      <w:r w:rsidRPr="00945E91">
        <w:rPr>
          <w:rFonts w:asciiTheme="minorHAnsi" w:hAnsiTheme="minorHAnsi" w:cstheme="minorHAnsi"/>
          <w:szCs w:val="22"/>
          <w:lang w:val="de-DE"/>
        </w:rPr>
        <w:t>, alle anderen Patientengruppen (BCR-ABL positiver ALL/LBL ab dem 18. Lebensjahr und alle Patienten ab dem 26. Lebensjahr unabhängig vom BCR-ABL-Mutationsstatus) werden nach der Risikogruppierung des GMALL-Konsensus 2017 eingeteilt (</w:t>
      </w:r>
      <w:r w:rsidRPr="00945E91">
        <w:rPr>
          <w:rFonts w:asciiTheme="minorHAnsi" w:hAnsiTheme="minorHAnsi" w:cstheme="minorHAnsi"/>
          <w:b/>
          <w:szCs w:val="22"/>
          <w:lang w:val="de-DE"/>
        </w:rPr>
        <w:t>Kapitel 2.7.2).</w:t>
      </w:r>
    </w:p>
    <w:p w14:paraId="7140FE7B"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656FAF44" w14:textId="77777777" w:rsidR="005754D0" w:rsidRPr="00945E91" w:rsidRDefault="005754D0" w:rsidP="005754D0">
      <w:pPr>
        <w:spacing w:line="276" w:lineRule="auto"/>
        <w:jc w:val="both"/>
        <w:rPr>
          <w:rFonts w:asciiTheme="minorHAnsi" w:hAnsiTheme="minorHAnsi" w:cstheme="minorHAnsi"/>
          <w:b/>
          <w:bCs/>
          <w:sz w:val="20"/>
          <w:lang w:val="de-DE"/>
        </w:rPr>
      </w:pPr>
      <w:r w:rsidRPr="00945E91">
        <w:rPr>
          <w:rFonts w:asciiTheme="minorHAnsi" w:hAnsiTheme="minorHAnsi" w:cstheme="minorHAnsi"/>
          <w:szCs w:val="22"/>
          <w:lang w:val="de-DE"/>
        </w:rPr>
        <w:t>In allen Protokollen inkludiert die Behandlungsstratifizierung neben molekularen Marker bei Diagnosestellung auch das molekulare Therapieansprechen in den ersten Wochen nach Diagnosestellung.</w:t>
      </w:r>
    </w:p>
    <w:p w14:paraId="08A3A3D7" w14:textId="77777777" w:rsidR="005754D0" w:rsidRPr="00945E91" w:rsidRDefault="005754D0" w:rsidP="005754D0">
      <w:pPr>
        <w:spacing w:line="276" w:lineRule="auto"/>
        <w:jc w:val="left"/>
        <w:rPr>
          <w:rFonts w:asciiTheme="minorHAnsi" w:hAnsiTheme="minorHAnsi" w:cstheme="minorHAnsi"/>
          <w:lang w:val="de-DE"/>
        </w:rPr>
      </w:pPr>
      <w:r w:rsidRPr="00945E91">
        <w:rPr>
          <w:rFonts w:asciiTheme="minorHAnsi" w:hAnsiTheme="minorHAnsi" w:cstheme="minorHAnsi"/>
          <w:lang w:val="de-DE"/>
        </w:rPr>
        <w:br/>
      </w:r>
    </w:p>
    <w:p w14:paraId="08D1244F" w14:textId="7B6F8800" w:rsidR="005754D0" w:rsidRPr="00945E91" w:rsidRDefault="005754D0" w:rsidP="005754D0">
      <w:pPr>
        <w:pStyle w:val="berschrift3"/>
        <w:rPr>
          <w:rFonts w:asciiTheme="minorHAnsi" w:hAnsiTheme="minorHAnsi" w:cstheme="minorHAnsi"/>
          <w:lang w:val="de-DE"/>
        </w:rPr>
      </w:pPr>
      <w:bookmarkStart w:id="17" w:name="_Toc70881115"/>
      <w:bookmarkStart w:id="18" w:name="_Toc74412394"/>
      <w:r w:rsidRPr="00945E91">
        <w:rPr>
          <w:rFonts w:asciiTheme="minorHAnsi" w:hAnsiTheme="minorHAnsi" w:cstheme="minorHAnsi"/>
          <w:lang w:val="de-DE"/>
        </w:rPr>
        <w:t>2.7.1</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Risikogruppen gemäß AIEOP 2017</w:t>
      </w:r>
      <w:bookmarkEnd w:id="17"/>
      <w:bookmarkEnd w:id="18"/>
      <w:r w:rsidRPr="00945E91">
        <w:rPr>
          <w:rFonts w:asciiTheme="minorHAnsi" w:hAnsiTheme="minorHAnsi" w:cstheme="minorHAnsi"/>
          <w:lang w:val="de-DE"/>
        </w:rPr>
        <w:t xml:space="preserve"> </w:t>
      </w:r>
    </w:p>
    <w:p w14:paraId="5A6A9CD3" w14:textId="5718AABA" w:rsidR="005754D0" w:rsidRPr="00945E91" w:rsidRDefault="00C9205D" w:rsidP="005754D0">
      <w:pPr>
        <w:spacing w:line="276" w:lineRule="auto"/>
        <w:jc w:val="left"/>
        <w:rPr>
          <w:rFonts w:asciiTheme="minorHAnsi" w:hAnsiTheme="minorHAnsi" w:cstheme="minorHAnsi"/>
          <w:lang w:val="de-DE"/>
        </w:rPr>
      </w:pPr>
      <w:r>
        <w:rPr>
          <w:rFonts w:asciiTheme="minorHAnsi" w:hAnsiTheme="minorHAnsi" w:cstheme="minorHAnsi"/>
          <w:lang w:val="de-DE"/>
        </w:rPr>
        <w:t>Risikogruppen</w:t>
      </w:r>
      <w:r w:rsidR="005754D0" w:rsidRPr="00945E91">
        <w:rPr>
          <w:rFonts w:asciiTheme="minorHAnsi" w:hAnsiTheme="minorHAnsi" w:cstheme="minorHAnsi"/>
          <w:lang w:val="de-DE"/>
        </w:rPr>
        <w:t xml:space="preserve"> für junge Erwachsene mit BCR-ABL negativer ALL/LBL bis zum 25. Lebensjahr (Die Risikoeinschätzung zur Behandlungsstratifizierung erfolgt nach mehreren krankheitsspezifischen Mutationen und 2 PCR-MRD-Messungen („Time Point 1“ und „Time Point 2“), siehe auch Übersichtsgraphik in Kapitel 3.3.1 sowie </w:t>
      </w:r>
      <w:r w:rsidR="00945E91" w:rsidRPr="00945E91">
        <w:rPr>
          <w:rFonts w:asciiTheme="minorHAnsi" w:hAnsiTheme="minorHAnsi" w:cstheme="minorHAnsi"/>
          <w:lang w:val="de-DE"/>
        </w:rPr>
        <w:t>Flussdiagramme</w:t>
      </w:r>
      <w:r w:rsidR="005754D0" w:rsidRPr="00945E91">
        <w:rPr>
          <w:rFonts w:asciiTheme="minorHAnsi" w:hAnsiTheme="minorHAnsi" w:cstheme="minorHAnsi"/>
          <w:lang w:val="de-DE"/>
        </w:rPr>
        <w:t xml:space="preserve"> in Kapitel 3.3.2.</w:t>
      </w:r>
      <w:r>
        <w:rPr>
          <w:rFonts w:asciiTheme="minorHAnsi" w:hAnsiTheme="minorHAnsi" w:cstheme="minorHAnsi"/>
          <w:lang w:val="de-DE"/>
        </w:rPr>
        <w:t>)</w:t>
      </w:r>
      <w:r w:rsidR="005754D0" w:rsidRPr="00945E91">
        <w:rPr>
          <w:rFonts w:asciiTheme="minorHAnsi" w:hAnsiTheme="minorHAnsi" w:cstheme="minorHAnsi"/>
          <w:lang w:val="de-DE"/>
        </w:rPr>
        <w:t>. Die Stratifizierung erfolgt getrennt für die Vorläufer B-ALL/LBL bzw. „unknown immunophenotype“ und die T-ALL/-LBL.</w:t>
      </w:r>
    </w:p>
    <w:p w14:paraId="470F3859" w14:textId="77777777" w:rsidR="005754D0" w:rsidRPr="00945E91" w:rsidRDefault="005754D0" w:rsidP="005754D0">
      <w:pPr>
        <w:spacing w:line="240" w:lineRule="auto"/>
        <w:jc w:val="left"/>
        <w:rPr>
          <w:rFonts w:asciiTheme="minorHAnsi" w:hAnsiTheme="minorHAnsi" w:cstheme="minorHAnsi"/>
          <w:lang w:val="de-DE"/>
        </w:rPr>
      </w:pPr>
    </w:p>
    <w:p w14:paraId="2DF1852D" w14:textId="77777777" w:rsidR="005754D0" w:rsidRPr="00945E91" w:rsidRDefault="005754D0" w:rsidP="005754D0">
      <w:pPr>
        <w:spacing w:line="276" w:lineRule="auto"/>
        <w:jc w:val="both"/>
        <w:rPr>
          <w:rFonts w:asciiTheme="minorHAnsi" w:hAnsiTheme="minorHAnsi" w:cstheme="minorHAnsi"/>
          <w:b/>
          <w:lang w:val="de-DE"/>
        </w:rPr>
      </w:pPr>
      <w:r w:rsidRPr="00945E91">
        <w:rPr>
          <w:rFonts w:asciiTheme="minorHAnsi" w:hAnsiTheme="minorHAnsi" w:cstheme="minorHAnsi"/>
          <w:b/>
          <w:lang w:val="de-DE"/>
        </w:rPr>
        <w:t>AIEOP-Risikogruppen für die Precursor B-ALL/LBL bzw. „unknown immunophenotype“</w:t>
      </w:r>
    </w:p>
    <w:tbl>
      <w:tblPr>
        <w:tblW w:w="9214"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7087"/>
      </w:tblGrid>
      <w:tr w:rsidR="005754D0" w:rsidRPr="00945E91" w14:paraId="369EBC5A" w14:textId="77777777" w:rsidTr="005754D0">
        <w:trPr>
          <w:trHeight w:val="373"/>
        </w:trPr>
        <w:tc>
          <w:tcPr>
            <w:tcW w:w="2127" w:type="dxa"/>
            <w:shd w:val="clear" w:color="auto" w:fill="D9D9D9" w:themeFill="background1" w:themeFillShade="D9"/>
          </w:tcPr>
          <w:p w14:paraId="258ED6D5"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b/>
                <w:szCs w:val="22"/>
                <w:lang w:val="de-DE"/>
              </w:rPr>
              <w:t xml:space="preserve">Risikogruppen                  </w:t>
            </w:r>
          </w:p>
        </w:tc>
        <w:tc>
          <w:tcPr>
            <w:tcW w:w="7087" w:type="dxa"/>
            <w:shd w:val="clear" w:color="auto" w:fill="D9D9D9" w:themeFill="background1" w:themeFillShade="D9"/>
          </w:tcPr>
          <w:p w14:paraId="73D467CB"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b/>
                <w:szCs w:val="22"/>
                <w:lang w:val="de-DE"/>
              </w:rPr>
              <w:t>Kriterien</w:t>
            </w:r>
          </w:p>
        </w:tc>
      </w:tr>
      <w:tr w:rsidR="005754D0" w:rsidRPr="000F2B3C" w14:paraId="7E11188D" w14:textId="77777777" w:rsidTr="005754D0">
        <w:trPr>
          <w:trHeight w:val="1353"/>
        </w:trPr>
        <w:tc>
          <w:tcPr>
            <w:tcW w:w="2127" w:type="dxa"/>
            <w:hideMark/>
          </w:tcPr>
          <w:p w14:paraId="02AC87DD"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Standard Risk (SR)</w:t>
            </w:r>
          </w:p>
        </w:tc>
        <w:tc>
          <w:tcPr>
            <w:tcW w:w="7087" w:type="dxa"/>
            <w:tcBorders>
              <w:bottom w:val="single" w:sz="4" w:space="0" w:color="auto"/>
            </w:tcBorders>
          </w:tcPr>
          <w:p w14:paraId="2FE4E17C" w14:textId="77777777" w:rsidR="005754D0" w:rsidRPr="00945E91" w:rsidRDefault="005754D0" w:rsidP="00D11A8E">
            <w:pPr>
              <w:numPr>
                <w:ilvl w:val="0"/>
                <w:numId w:val="15"/>
              </w:numPr>
              <w:spacing w:line="240" w:lineRule="auto"/>
              <w:ind w:left="320" w:hanging="284"/>
              <w:jc w:val="left"/>
              <w:rPr>
                <w:rFonts w:asciiTheme="minorHAnsi" w:hAnsiTheme="minorHAnsi" w:cstheme="minorHAnsi"/>
                <w:szCs w:val="22"/>
                <w:lang w:val="de-DE"/>
              </w:rPr>
            </w:pPr>
            <w:r w:rsidRPr="00945E91">
              <w:rPr>
                <w:rFonts w:asciiTheme="minorHAnsi" w:hAnsiTheme="minorHAnsi" w:cstheme="minorHAnsi"/>
                <w:szCs w:val="22"/>
                <w:lang w:val="de-DE"/>
              </w:rPr>
              <w:t xml:space="preserve">No HR criteria </w:t>
            </w:r>
            <w:r w:rsidRPr="00945E91">
              <w:rPr>
                <w:rFonts w:asciiTheme="minorHAnsi" w:hAnsiTheme="minorHAnsi" w:cstheme="minorHAnsi"/>
                <w:b/>
                <w:szCs w:val="22"/>
                <w:lang w:val="de-DE"/>
              </w:rPr>
              <w:t>and</w:t>
            </w:r>
            <w:r w:rsidRPr="00945E91">
              <w:rPr>
                <w:rFonts w:asciiTheme="minorHAnsi" w:hAnsiTheme="minorHAnsi" w:cstheme="minorHAnsi"/>
                <w:szCs w:val="22"/>
                <w:lang w:val="de-DE"/>
              </w:rPr>
              <w:t xml:space="preserve"> </w:t>
            </w:r>
          </w:p>
          <w:p w14:paraId="7AAB0E5D" w14:textId="77777777" w:rsidR="005754D0" w:rsidRPr="000F2B3C" w:rsidRDefault="005754D0" w:rsidP="00D11A8E">
            <w:pPr>
              <w:numPr>
                <w:ilvl w:val="0"/>
                <w:numId w:val="15"/>
              </w:numPr>
              <w:spacing w:line="240" w:lineRule="auto"/>
              <w:ind w:left="320" w:hanging="284"/>
              <w:jc w:val="left"/>
              <w:rPr>
                <w:rFonts w:asciiTheme="minorHAnsi" w:hAnsiTheme="minorHAnsi" w:cstheme="minorHAnsi"/>
                <w:szCs w:val="22"/>
                <w:lang w:val="en-US"/>
              </w:rPr>
            </w:pPr>
            <w:r w:rsidRPr="000F2B3C">
              <w:rPr>
                <w:rFonts w:asciiTheme="minorHAnsi" w:hAnsiTheme="minorHAnsi" w:cstheme="minorHAnsi"/>
                <w:szCs w:val="22"/>
                <w:lang w:val="en-US"/>
              </w:rPr>
              <w:t xml:space="preserve">PCR-MRD at „Time Point 1“  negative for all investigated markers with at least one marker with a quantitative range of ≤ 10-4 </w:t>
            </w:r>
            <w:r w:rsidRPr="000F2B3C">
              <w:rPr>
                <w:rFonts w:asciiTheme="minorHAnsi" w:hAnsiTheme="minorHAnsi" w:cstheme="minorHAnsi"/>
                <w:b/>
                <w:szCs w:val="22"/>
                <w:lang w:val="en-US"/>
              </w:rPr>
              <w:t>or</w:t>
            </w:r>
          </w:p>
          <w:p w14:paraId="0F52FF19" w14:textId="77777777" w:rsidR="005754D0" w:rsidRPr="000F2B3C" w:rsidRDefault="005754D0" w:rsidP="00D11A8E">
            <w:pPr>
              <w:numPr>
                <w:ilvl w:val="0"/>
                <w:numId w:val="15"/>
              </w:numPr>
              <w:spacing w:line="240" w:lineRule="auto"/>
              <w:ind w:left="320" w:hanging="284"/>
              <w:jc w:val="left"/>
              <w:rPr>
                <w:rFonts w:asciiTheme="minorHAnsi" w:hAnsiTheme="minorHAnsi" w:cstheme="minorHAnsi"/>
                <w:b/>
                <w:szCs w:val="22"/>
                <w:lang w:val="en-US"/>
              </w:rPr>
            </w:pPr>
            <w:r w:rsidRPr="000F2B3C">
              <w:rPr>
                <w:rFonts w:asciiTheme="minorHAnsi" w:hAnsiTheme="minorHAnsi" w:cstheme="minorHAnsi"/>
                <w:szCs w:val="22"/>
                <w:lang w:val="en-US"/>
              </w:rPr>
              <w:t>Inconclusive PCR-MRD result at „Time Point 1“ and PCR-MRD not positive at „Time Point 2“  and FCM-MRD in BM d15 &lt; 0.1%</w:t>
            </w:r>
            <w:r w:rsidRPr="000F2B3C">
              <w:rPr>
                <w:rFonts w:asciiTheme="minorHAnsi" w:hAnsiTheme="minorHAnsi" w:cstheme="minorHAnsi"/>
                <w:b/>
                <w:szCs w:val="22"/>
                <w:lang w:val="en-US"/>
              </w:rPr>
              <w:t xml:space="preserve"> </w:t>
            </w:r>
          </w:p>
        </w:tc>
      </w:tr>
      <w:tr w:rsidR="005754D0" w:rsidRPr="0046732A" w14:paraId="2229A752" w14:textId="77777777" w:rsidTr="005754D0">
        <w:trPr>
          <w:trHeight w:val="365"/>
        </w:trPr>
        <w:tc>
          <w:tcPr>
            <w:tcW w:w="2127" w:type="dxa"/>
            <w:tcBorders>
              <w:top w:val="single" w:sz="4" w:space="0" w:color="auto"/>
              <w:bottom w:val="single" w:sz="4" w:space="0" w:color="auto"/>
            </w:tcBorders>
          </w:tcPr>
          <w:p w14:paraId="70E7DB72"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Moderate Risk (MR)</w:t>
            </w:r>
          </w:p>
        </w:tc>
        <w:tc>
          <w:tcPr>
            <w:tcW w:w="7087" w:type="dxa"/>
            <w:tcBorders>
              <w:top w:val="single" w:sz="4" w:space="0" w:color="auto"/>
              <w:bottom w:val="single" w:sz="4" w:space="0" w:color="auto"/>
            </w:tcBorders>
          </w:tcPr>
          <w:p w14:paraId="09DA98EE" w14:textId="77777777" w:rsidR="005754D0" w:rsidRPr="00C9205D" w:rsidRDefault="005754D0" w:rsidP="00D11A8E">
            <w:pPr>
              <w:pStyle w:val="Listenabsatz"/>
              <w:numPr>
                <w:ilvl w:val="0"/>
                <w:numId w:val="16"/>
              </w:numPr>
              <w:spacing w:line="240" w:lineRule="auto"/>
              <w:jc w:val="left"/>
              <w:rPr>
                <w:rFonts w:asciiTheme="minorHAnsi" w:hAnsiTheme="minorHAnsi" w:cstheme="minorHAnsi"/>
                <w:szCs w:val="22"/>
                <w:lang w:val="es-ES"/>
              </w:rPr>
            </w:pPr>
            <w:r w:rsidRPr="00C9205D">
              <w:rPr>
                <w:rFonts w:asciiTheme="minorHAnsi" w:hAnsiTheme="minorHAnsi" w:cstheme="minorHAnsi"/>
                <w:szCs w:val="22"/>
                <w:lang w:val="es-ES"/>
              </w:rPr>
              <w:t>no HR criteria and no SR criteria</w:t>
            </w:r>
          </w:p>
        </w:tc>
      </w:tr>
      <w:tr w:rsidR="005754D0" w:rsidRPr="000F2B3C" w14:paraId="76800B8E" w14:textId="77777777" w:rsidTr="005754D0">
        <w:trPr>
          <w:trHeight w:val="983"/>
        </w:trPr>
        <w:tc>
          <w:tcPr>
            <w:tcW w:w="2127" w:type="dxa"/>
            <w:tcBorders>
              <w:top w:val="single" w:sz="4" w:space="0" w:color="auto"/>
              <w:bottom w:val="single" w:sz="4" w:space="0" w:color="auto"/>
            </w:tcBorders>
            <w:hideMark/>
          </w:tcPr>
          <w:p w14:paraId="3304CBDB"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High Risk(HR)</w:t>
            </w:r>
          </w:p>
        </w:tc>
        <w:tc>
          <w:tcPr>
            <w:tcW w:w="7087" w:type="dxa"/>
            <w:tcBorders>
              <w:top w:val="single" w:sz="4" w:space="0" w:color="auto"/>
              <w:bottom w:val="single" w:sz="4" w:space="0" w:color="auto"/>
            </w:tcBorders>
          </w:tcPr>
          <w:p w14:paraId="5A0D6CF2" w14:textId="77777777" w:rsidR="005754D0" w:rsidRPr="000F2B3C" w:rsidRDefault="005754D0" w:rsidP="00D11A8E">
            <w:pPr>
              <w:numPr>
                <w:ilvl w:val="0"/>
                <w:numId w:val="17"/>
              </w:num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 xml:space="preserve">Early High Risk (early HR) </w:t>
            </w:r>
          </w:p>
          <w:p w14:paraId="50195854" w14:textId="77777777" w:rsidR="005754D0" w:rsidRPr="00C9205D" w:rsidRDefault="005754D0" w:rsidP="00D11A8E">
            <w:pPr>
              <w:numPr>
                <w:ilvl w:val="0"/>
                <w:numId w:val="8"/>
              </w:numPr>
              <w:spacing w:line="240" w:lineRule="auto"/>
              <w:ind w:left="745" w:hanging="283"/>
              <w:jc w:val="left"/>
              <w:rPr>
                <w:rFonts w:asciiTheme="minorHAnsi" w:hAnsiTheme="minorHAnsi" w:cstheme="minorHAnsi"/>
                <w:szCs w:val="22"/>
                <w:lang w:val="es-ES"/>
              </w:rPr>
            </w:pPr>
            <w:r w:rsidRPr="00C9205D">
              <w:rPr>
                <w:rFonts w:asciiTheme="minorHAnsi" w:hAnsiTheme="minorHAnsi" w:cstheme="minorHAnsi"/>
                <w:szCs w:val="22"/>
                <w:lang w:val="es-ES"/>
              </w:rPr>
              <w:t xml:space="preserve">no complete remission on day 33 </w:t>
            </w:r>
            <w:r w:rsidRPr="00C9205D">
              <w:rPr>
                <w:rFonts w:asciiTheme="minorHAnsi" w:hAnsiTheme="minorHAnsi" w:cstheme="minorHAnsi"/>
                <w:b/>
                <w:szCs w:val="22"/>
                <w:lang w:val="es-ES"/>
              </w:rPr>
              <w:t>or</w:t>
            </w:r>
            <w:r w:rsidRPr="00C9205D">
              <w:rPr>
                <w:rFonts w:asciiTheme="minorHAnsi" w:hAnsiTheme="minorHAnsi" w:cstheme="minorHAnsi"/>
                <w:szCs w:val="22"/>
                <w:lang w:val="es-ES"/>
              </w:rPr>
              <w:t xml:space="preserve"> </w:t>
            </w:r>
          </w:p>
          <w:p w14:paraId="775E753D" w14:textId="77777777" w:rsidR="005754D0" w:rsidRPr="000F2B3C" w:rsidRDefault="005754D0" w:rsidP="00D11A8E">
            <w:pPr>
              <w:numPr>
                <w:ilvl w:val="0"/>
                <w:numId w:val="8"/>
              </w:numPr>
              <w:spacing w:line="240" w:lineRule="auto"/>
              <w:ind w:left="745" w:hanging="283"/>
              <w:jc w:val="left"/>
              <w:rPr>
                <w:rFonts w:asciiTheme="minorHAnsi" w:hAnsiTheme="minorHAnsi" w:cstheme="minorHAnsi"/>
                <w:szCs w:val="22"/>
                <w:lang w:val="en-US"/>
              </w:rPr>
            </w:pPr>
            <w:r w:rsidRPr="000F2B3C">
              <w:rPr>
                <w:rFonts w:asciiTheme="minorHAnsi" w:hAnsiTheme="minorHAnsi" w:cstheme="minorHAnsi"/>
                <w:szCs w:val="22"/>
                <w:lang w:val="en-US"/>
              </w:rPr>
              <w:t xml:space="preserve">positivity for KMT2A-AFF1 (MLL-AF4) </w:t>
            </w:r>
            <w:r w:rsidRPr="000F2B3C">
              <w:rPr>
                <w:rFonts w:asciiTheme="minorHAnsi" w:hAnsiTheme="minorHAnsi" w:cstheme="minorHAnsi"/>
                <w:b/>
                <w:szCs w:val="22"/>
                <w:lang w:val="en-US"/>
              </w:rPr>
              <w:t>or</w:t>
            </w:r>
            <w:r w:rsidRPr="000F2B3C">
              <w:rPr>
                <w:rFonts w:asciiTheme="minorHAnsi" w:hAnsiTheme="minorHAnsi" w:cstheme="minorHAnsi"/>
                <w:szCs w:val="22"/>
                <w:lang w:val="en-US"/>
              </w:rPr>
              <w:t xml:space="preserve"> </w:t>
            </w:r>
          </w:p>
          <w:p w14:paraId="7DC4A67C" w14:textId="77777777" w:rsidR="005754D0" w:rsidRPr="00C9205D" w:rsidRDefault="005754D0" w:rsidP="00D11A8E">
            <w:pPr>
              <w:numPr>
                <w:ilvl w:val="0"/>
                <w:numId w:val="8"/>
              </w:numPr>
              <w:spacing w:line="240" w:lineRule="auto"/>
              <w:ind w:left="745" w:hanging="283"/>
              <w:jc w:val="left"/>
              <w:rPr>
                <w:rFonts w:asciiTheme="minorHAnsi" w:hAnsiTheme="minorHAnsi" w:cstheme="minorHAnsi"/>
                <w:szCs w:val="22"/>
                <w:lang w:val="es-ES"/>
              </w:rPr>
            </w:pPr>
            <w:r w:rsidRPr="00C9205D">
              <w:rPr>
                <w:rFonts w:asciiTheme="minorHAnsi" w:hAnsiTheme="minorHAnsi" w:cstheme="minorHAnsi"/>
                <w:szCs w:val="22"/>
                <w:lang w:val="es-ES"/>
              </w:rPr>
              <w:t xml:space="preserve">positivity for TCF3-HLF1 (E2A-HLF) </w:t>
            </w:r>
            <w:r w:rsidRPr="00C9205D">
              <w:rPr>
                <w:rFonts w:asciiTheme="minorHAnsi" w:hAnsiTheme="minorHAnsi" w:cstheme="minorHAnsi"/>
                <w:b/>
                <w:szCs w:val="22"/>
                <w:lang w:val="es-ES"/>
              </w:rPr>
              <w:t>or</w:t>
            </w:r>
            <w:r w:rsidRPr="00C9205D">
              <w:rPr>
                <w:rFonts w:asciiTheme="minorHAnsi" w:hAnsiTheme="minorHAnsi" w:cstheme="minorHAnsi"/>
                <w:szCs w:val="22"/>
                <w:lang w:val="es-ES"/>
              </w:rPr>
              <w:t xml:space="preserve"> </w:t>
            </w:r>
          </w:p>
          <w:p w14:paraId="7C33D0AA" w14:textId="77777777" w:rsidR="005754D0" w:rsidRPr="00945E91" w:rsidRDefault="005754D0" w:rsidP="00D11A8E">
            <w:pPr>
              <w:numPr>
                <w:ilvl w:val="0"/>
                <w:numId w:val="8"/>
              </w:numPr>
              <w:spacing w:line="240" w:lineRule="auto"/>
              <w:ind w:left="745" w:hanging="283"/>
              <w:jc w:val="left"/>
              <w:rPr>
                <w:rFonts w:asciiTheme="minorHAnsi" w:hAnsiTheme="minorHAnsi" w:cstheme="minorHAnsi"/>
                <w:szCs w:val="22"/>
                <w:lang w:val="de-DE"/>
              </w:rPr>
            </w:pPr>
            <w:r w:rsidRPr="00945E91">
              <w:rPr>
                <w:rFonts w:asciiTheme="minorHAnsi" w:hAnsiTheme="minorHAnsi" w:cstheme="minorHAnsi"/>
                <w:szCs w:val="22"/>
                <w:lang w:val="de-DE"/>
              </w:rPr>
              <w:t xml:space="preserve">hypodiploidy &lt;45 chromosomes </w:t>
            </w:r>
            <w:r w:rsidRPr="00945E91">
              <w:rPr>
                <w:rFonts w:asciiTheme="minorHAnsi" w:hAnsiTheme="minorHAnsi" w:cstheme="minorHAnsi"/>
                <w:b/>
                <w:szCs w:val="22"/>
                <w:lang w:val="de-DE"/>
              </w:rPr>
              <w:t>or</w:t>
            </w:r>
            <w:r w:rsidRPr="00945E91">
              <w:rPr>
                <w:rFonts w:asciiTheme="minorHAnsi" w:hAnsiTheme="minorHAnsi" w:cstheme="minorHAnsi"/>
                <w:szCs w:val="22"/>
                <w:lang w:val="de-DE"/>
              </w:rPr>
              <w:t xml:space="preserve"> </w:t>
            </w:r>
          </w:p>
          <w:p w14:paraId="6AD90011" w14:textId="77777777" w:rsidR="005754D0" w:rsidRPr="000F2B3C" w:rsidRDefault="005754D0" w:rsidP="00D11A8E">
            <w:pPr>
              <w:numPr>
                <w:ilvl w:val="0"/>
                <w:numId w:val="8"/>
              </w:numPr>
              <w:spacing w:line="240" w:lineRule="auto"/>
              <w:ind w:left="745" w:hanging="283"/>
              <w:jc w:val="left"/>
              <w:rPr>
                <w:rFonts w:asciiTheme="minorHAnsi" w:hAnsiTheme="minorHAnsi" w:cstheme="minorHAnsi"/>
                <w:szCs w:val="22"/>
                <w:lang w:val="en-US"/>
              </w:rPr>
            </w:pPr>
            <w:r w:rsidRPr="000F2B3C">
              <w:rPr>
                <w:rFonts w:asciiTheme="minorHAnsi" w:hAnsiTheme="minorHAnsi" w:cstheme="minorHAnsi"/>
                <w:szCs w:val="22"/>
                <w:lang w:val="en-US"/>
              </w:rPr>
              <w:t xml:space="preserve">FCM-MRD in BM on day 15 ≥ 10% and not ETV6-RUNX1 (TEL-AML1) positive </w:t>
            </w:r>
            <w:r w:rsidRPr="000F2B3C">
              <w:rPr>
                <w:rFonts w:asciiTheme="minorHAnsi" w:hAnsiTheme="minorHAnsi" w:cstheme="minorHAnsi"/>
                <w:b/>
                <w:szCs w:val="22"/>
                <w:lang w:val="en-US"/>
              </w:rPr>
              <w:t>or</w:t>
            </w:r>
            <w:r w:rsidRPr="000F2B3C">
              <w:rPr>
                <w:rFonts w:asciiTheme="minorHAnsi" w:hAnsiTheme="minorHAnsi" w:cstheme="minorHAnsi"/>
                <w:szCs w:val="22"/>
                <w:lang w:val="en-US"/>
              </w:rPr>
              <w:t xml:space="preserve"> </w:t>
            </w:r>
          </w:p>
          <w:p w14:paraId="21E48530" w14:textId="77777777" w:rsidR="005754D0" w:rsidRPr="000F2B3C" w:rsidRDefault="005754D0" w:rsidP="00D11A8E">
            <w:pPr>
              <w:numPr>
                <w:ilvl w:val="0"/>
                <w:numId w:val="8"/>
              </w:numPr>
              <w:spacing w:line="240" w:lineRule="auto"/>
              <w:ind w:left="745" w:hanging="283"/>
              <w:jc w:val="left"/>
              <w:rPr>
                <w:rFonts w:asciiTheme="minorHAnsi" w:hAnsiTheme="minorHAnsi" w:cstheme="minorHAnsi"/>
                <w:szCs w:val="22"/>
                <w:lang w:val="en-US"/>
              </w:rPr>
            </w:pPr>
            <w:r w:rsidRPr="000F2B3C">
              <w:rPr>
                <w:rFonts w:asciiTheme="minorHAnsi" w:hAnsiTheme="minorHAnsi" w:cstheme="minorHAnsi"/>
                <w:szCs w:val="22"/>
                <w:lang w:val="en-US"/>
              </w:rPr>
              <w:t xml:space="preserve">IKZF1plus and PCR-MRD at TP1 positive or inconclusive and not positive for ETV6-RUNX1, TCF3-PBX1 or KMT2A rearrangement other than KMT2A-AFF1 </w:t>
            </w:r>
            <w:r w:rsidRPr="000F2B3C">
              <w:rPr>
                <w:rFonts w:asciiTheme="minorHAnsi" w:hAnsiTheme="minorHAnsi" w:cstheme="minorHAnsi"/>
                <w:b/>
                <w:szCs w:val="22"/>
                <w:lang w:val="en-US"/>
              </w:rPr>
              <w:t>or</w:t>
            </w:r>
            <w:r w:rsidRPr="000F2B3C">
              <w:rPr>
                <w:rFonts w:asciiTheme="minorHAnsi" w:hAnsiTheme="minorHAnsi" w:cstheme="minorHAnsi"/>
                <w:szCs w:val="22"/>
                <w:lang w:val="en-US"/>
              </w:rPr>
              <w:t xml:space="preserve"> </w:t>
            </w:r>
          </w:p>
          <w:p w14:paraId="56D64366" w14:textId="77777777" w:rsidR="005754D0" w:rsidRPr="000F2B3C" w:rsidRDefault="005754D0" w:rsidP="00D11A8E">
            <w:pPr>
              <w:numPr>
                <w:ilvl w:val="0"/>
                <w:numId w:val="8"/>
              </w:numPr>
              <w:spacing w:line="240" w:lineRule="auto"/>
              <w:ind w:left="745" w:hanging="283"/>
              <w:jc w:val="left"/>
              <w:rPr>
                <w:rFonts w:asciiTheme="minorHAnsi" w:hAnsiTheme="minorHAnsi" w:cstheme="minorHAnsi"/>
                <w:szCs w:val="22"/>
                <w:lang w:val="en-US"/>
              </w:rPr>
            </w:pPr>
            <w:r w:rsidRPr="000F2B3C">
              <w:rPr>
                <w:rFonts w:asciiTheme="minorHAnsi" w:hAnsiTheme="minorHAnsi" w:cstheme="minorHAnsi"/>
                <w:szCs w:val="22"/>
                <w:lang w:val="en-US"/>
              </w:rPr>
              <w:t>PCR-MRD at „Time Point 1“ ≥ 5x10-4</w:t>
            </w:r>
          </w:p>
          <w:p w14:paraId="74E48C66" w14:textId="77777777" w:rsidR="005754D0" w:rsidRPr="00945E91" w:rsidRDefault="005754D0" w:rsidP="00D11A8E">
            <w:pPr>
              <w:numPr>
                <w:ilvl w:val="0"/>
                <w:numId w:val="18"/>
              </w:num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 xml:space="preserve">High Risk (HR) </w:t>
            </w:r>
          </w:p>
          <w:p w14:paraId="7EEB17EB" w14:textId="77777777" w:rsidR="005754D0" w:rsidRPr="000F2B3C" w:rsidRDefault="005754D0" w:rsidP="00D11A8E">
            <w:pPr>
              <w:numPr>
                <w:ilvl w:val="1"/>
                <w:numId w:val="8"/>
              </w:numPr>
              <w:spacing w:line="240" w:lineRule="auto"/>
              <w:ind w:left="887"/>
              <w:jc w:val="left"/>
              <w:rPr>
                <w:rFonts w:asciiTheme="minorHAnsi" w:hAnsiTheme="minorHAnsi" w:cstheme="minorHAnsi"/>
                <w:szCs w:val="22"/>
                <w:lang w:val="en-US"/>
              </w:rPr>
            </w:pPr>
            <w:r w:rsidRPr="000F2B3C">
              <w:rPr>
                <w:rFonts w:asciiTheme="minorHAnsi" w:hAnsiTheme="minorHAnsi" w:cstheme="minorHAnsi"/>
                <w:szCs w:val="22"/>
                <w:lang w:val="en-US"/>
              </w:rPr>
              <w:t xml:space="preserve">Any of the Conditions listed for „early High Risk“ </w:t>
            </w:r>
            <w:r w:rsidRPr="000F2B3C">
              <w:rPr>
                <w:rFonts w:asciiTheme="minorHAnsi" w:hAnsiTheme="minorHAnsi" w:cstheme="minorHAnsi"/>
                <w:b/>
                <w:szCs w:val="22"/>
                <w:lang w:val="en-US"/>
              </w:rPr>
              <w:t>or</w:t>
            </w:r>
          </w:p>
          <w:p w14:paraId="1C017DBF" w14:textId="77777777" w:rsidR="005754D0" w:rsidRPr="000F2B3C" w:rsidRDefault="005754D0" w:rsidP="00D11A8E">
            <w:pPr>
              <w:numPr>
                <w:ilvl w:val="1"/>
                <w:numId w:val="8"/>
              </w:numPr>
              <w:spacing w:line="240" w:lineRule="auto"/>
              <w:ind w:left="887"/>
              <w:jc w:val="left"/>
              <w:rPr>
                <w:rFonts w:asciiTheme="minorHAnsi" w:hAnsiTheme="minorHAnsi" w:cstheme="minorHAnsi"/>
                <w:szCs w:val="22"/>
                <w:lang w:val="en-US"/>
              </w:rPr>
            </w:pPr>
            <w:r w:rsidRPr="000F2B3C">
              <w:rPr>
                <w:rFonts w:asciiTheme="minorHAnsi" w:hAnsiTheme="minorHAnsi" w:cstheme="minorHAnsi"/>
                <w:szCs w:val="22"/>
                <w:lang w:val="en-US"/>
              </w:rPr>
              <w:t>PCR-MRD at „Time Point 1“  ≥ 5x10-4 and PCR-MRD positive &lt; 5x10-4 at „Time Point 2“  (PCR-MRD SER = MRD-</w:t>
            </w:r>
            <w:r w:rsidRPr="000F2B3C">
              <w:rPr>
                <w:rFonts w:asciiTheme="minorHAnsi" w:hAnsiTheme="minorHAnsi" w:cstheme="minorHAnsi"/>
                <w:sz w:val="20"/>
                <w:szCs w:val="22"/>
                <w:lang w:val="en-US"/>
              </w:rPr>
              <w:t>Slow Early Responder</w:t>
            </w:r>
            <w:r w:rsidRPr="000F2B3C">
              <w:rPr>
                <w:rFonts w:asciiTheme="minorHAnsi" w:hAnsiTheme="minorHAnsi" w:cstheme="minorHAnsi"/>
                <w:szCs w:val="22"/>
                <w:lang w:val="en-US"/>
              </w:rPr>
              <w:t xml:space="preserve">) </w:t>
            </w:r>
            <w:r w:rsidRPr="000F2B3C">
              <w:rPr>
                <w:rFonts w:asciiTheme="minorHAnsi" w:hAnsiTheme="minorHAnsi" w:cstheme="minorHAnsi"/>
                <w:b/>
                <w:szCs w:val="22"/>
                <w:lang w:val="en-US"/>
              </w:rPr>
              <w:t>or</w:t>
            </w:r>
            <w:r w:rsidRPr="000F2B3C">
              <w:rPr>
                <w:rFonts w:asciiTheme="minorHAnsi" w:hAnsiTheme="minorHAnsi" w:cstheme="minorHAnsi"/>
                <w:szCs w:val="22"/>
                <w:lang w:val="en-US"/>
              </w:rPr>
              <w:t xml:space="preserve"> </w:t>
            </w:r>
          </w:p>
          <w:p w14:paraId="0041C71B" w14:textId="77777777" w:rsidR="005754D0" w:rsidRPr="000F2B3C" w:rsidRDefault="005754D0" w:rsidP="00D11A8E">
            <w:pPr>
              <w:numPr>
                <w:ilvl w:val="1"/>
                <w:numId w:val="8"/>
              </w:numPr>
              <w:spacing w:line="240" w:lineRule="auto"/>
              <w:ind w:left="887"/>
              <w:jc w:val="left"/>
              <w:rPr>
                <w:rFonts w:asciiTheme="minorHAnsi" w:hAnsiTheme="minorHAnsi" w:cstheme="minorHAnsi"/>
                <w:szCs w:val="22"/>
                <w:lang w:val="en-US"/>
              </w:rPr>
            </w:pPr>
            <w:r w:rsidRPr="000F2B3C">
              <w:rPr>
                <w:rFonts w:asciiTheme="minorHAnsi" w:hAnsiTheme="minorHAnsi" w:cstheme="minorHAnsi"/>
                <w:szCs w:val="22"/>
                <w:lang w:val="en-US"/>
              </w:rPr>
              <w:t>PCR-MRD at „Time Point 2“  ≥ 5x10-4</w:t>
            </w:r>
            <w:r w:rsidRPr="000F2B3C">
              <w:rPr>
                <w:rFonts w:asciiTheme="minorHAnsi" w:hAnsiTheme="minorHAnsi" w:cstheme="minorHAnsi"/>
                <w:sz w:val="20"/>
                <w:szCs w:val="22"/>
                <w:lang w:val="en-US"/>
              </w:rPr>
              <w:t xml:space="preserve"> </w:t>
            </w:r>
          </w:p>
        </w:tc>
      </w:tr>
    </w:tbl>
    <w:p w14:paraId="294841FF" w14:textId="77777777" w:rsidR="005754D0" w:rsidRPr="000F2B3C" w:rsidRDefault="005754D0" w:rsidP="005754D0">
      <w:pPr>
        <w:autoSpaceDE w:val="0"/>
        <w:autoSpaceDN w:val="0"/>
        <w:adjustRightInd w:val="0"/>
        <w:spacing w:line="240" w:lineRule="auto"/>
        <w:jc w:val="left"/>
        <w:rPr>
          <w:rFonts w:asciiTheme="minorHAnsi" w:hAnsiTheme="minorHAnsi" w:cstheme="minorHAnsi"/>
          <w:color w:val="000000"/>
          <w:sz w:val="20"/>
          <w:lang w:val="en-US" w:eastAsia="de-AT"/>
        </w:rPr>
      </w:pPr>
    </w:p>
    <w:p w14:paraId="54189BCB" w14:textId="55C771BE" w:rsidR="005754D0" w:rsidRPr="000F2B3C" w:rsidRDefault="005754D0" w:rsidP="005754D0">
      <w:pPr>
        <w:spacing w:line="276" w:lineRule="auto"/>
        <w:jc w:val="both"/>
        <w:rPr>
          <w:rFonts w:asciiTheme="minorHAnsi" w:hAnsiTheme="minorHAnsi" w:cstheme="minorHAnsi"/>
          <w:b/>
          <w:lang w:val="en-US"/>
        </w:rPr>
      </w:pPr>
    </w:p>
    <w:p w14:paraId="5F636DB9" w14:textId="14D82BF3" w:rsidR="005754D0" w:rsidRDefault="005754D0" w:rsidP="005754D0">
      <w:pPr>
        <w:spacing w:line="276" w:lineRule="auto"/>
        <w:jc w:val="both"/>
        <w:rPr>
          <w:rFonts w:asciiTheme="minorHAnsi" w:hAnsiTheme="minorHAnsi" w:cstheme="minorHAnsi"/>
          <w:b/>
          <w:lang w:val="en-US"/>
        </w:rPr>
      </w:pPr>
    </w:p>
    <w:p w14:paraId="441AC31F" w14:textId="77777777" w:rsidR="00463666" w:rsidRPr="000F2B3C" w:rsidRDefault="00463666" w:rsidP="005754D0">
      <w:pPr>
        <w:spacing w:line="276" w:lineRule="auto"/>
        <w:jc w:val="both"/>
        <w:rPr>
          <w:rFonts w:asciiTheme="minorHAnsi" w:hAnsiTheme="minorHAnsi" w:cstheme="minorHAnsi"/>
          <w:b/>
          <w:lang w:val="en-US"/>
        </w:rPr>
      </w:pPr>
    </w:p>
    <w:p w14:paraId="6B63FF21" w14:textId="77777777" w:rsidR="005754D0" w:rsidRPr="00945E91" w:rsidRDefault="005754D0" w:rsidP="005754D0">
      <w:pPr>
        <w:spacing w:line="276" w:lineRule="auto"/>
        <w:jc w:val="both"/>
        <w:rPr>
          <w:rFonts w:asciiTheme="minorHAnsi" w:hAnsiTheme="minorHAnsi" w:cstheme="minorHAnsi"/>
          <w:b/>
          <w:lang w:val="de-DE"/>
        </w:rPr>
      </w:pPr>
      <w:r w:rsidRPr="00945E91">
        <w:rPr>
          <w:rFonts w:asciiTheme="minorHAnsi" w:hAnsiTheme="minorHAnsi" w:cstheme="minorHAnsi"/>
          <w:b/>
          <w:lang w:val="de-DE"/>
        </w:rPr>
        <w:lastRenderedPageBreak/>
        <w:t>AIEOP-Risikogruppen für die Precursor T-ALL/LBL (T-ALL)</w:t>
      </w:r>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142"/>
        <w:gridCol w:w="6804"/>
      </w:tblGrid>
      <w:tr w:rsidR="005754D0" w:rsidRPr="00945E91" w14:paraId="5072D4A7" w14:textId="77777777" w:rsidTr="005754D0">
        <w:trPr>
          <w:trHeight w:val="373"/>
        </w:trPr>
        <w:tc>
          <w:tcPr>
            <w:tcW w:w="2405" w:type="dxa"/>
            <w:gridSpan w:val="2"/>
            <w:shd w:val="clear" w:color="auto" w:fill="D9D9D9" w:themeFill="background1" w:themeFillShade="D9"/>
          </w:tcPr>
          <w:p w14:paraId="763F7A37"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Risikogruppen</w:t>
            </w:r>
          </w:p>
        </w:tc>
        <w:tc>
          <w:tcPr>
            <w:tcW w:w="6804" w:type="dxa"/>
            <w:shd w:val="clear" w:color="auto" w:fill="D9D9D9" w:themeFill="background1" w:themeFillShade="D9"/>
          </w:tcPr>
          <w:p w14:paraId="7C40791A" w14:textId="77777777" w:rsidR="005754D0" w:rsidRPr="00945E91" w:rsidRDefault="005754D0" w:rsidP="005754D0">
            <w:pPr>
              <w:spacing w:line="240" w:lineRule="auto"/>
              <w:ind w:left="155"/>
              <w:jc w:val="left"/>
              <w:rPr>
                <w:rFonts w:asciiTheme="minorHAnsi" w:hAnsiTheme="minorHAnsi" w:cstheme="minorHAnsi"/>
                <w:b/>
                <w:szCs w:val="22"/>
                <w:lang w:val="de-DE"/>
              </w:rPr>
            </w:pPr>
            <w:r w:rsidRPr="00945E91">
              <w:rPr>
                <w:rFonts w:asciiTheme="minorHAnsi" w:hAnsiTheme="minorHAnsi" w:cstheme="minorHAnsi"/>
                <w:b/>
                <w:szCs w:val="22"/>
                <w:lang w:val="de-DE"/>
              </w:rPr>
              <w:t>Kriterien</w:t>
            </w:r>
          </w:p>
        </w:tc>
      </w:tr>
      <w:tr w:rsidR="005754D0" w:rsidRPr="000F2B3C" w14:paraId="0AD97903" w14:textId="77777777" w:rsidTr="005754D0">
        <w:trPr>
          <w:trHeight w:val="1353"/>
        </w:trPr>
        <w:tc>
          <w:tcPr>
            <w:tcW w:w="2263" w:type="dxa"/>
          </w:tcPr>
          <w:p w14:paraId="6054EE65" w14:textId="77777777" w:rsidR="005754D0" w:rsidRPr="000F2B3C" w:rsidRDefault="005754D0" w:rsidP="005754D0">
            <w:p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 xml:space="preserve">Early Standard Risk </w:t>
            </w:r>
          </w:p>
          <w:p w14:paraId="354A8FD4" w14:textId="77777777" w:rsidR="005754D0" w:rsidRPr="000F2B3C" w:rsidRDefault="005754D0" w:rsidP="005754D0">
            <w:p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 xml:space="preserve">(early SR) </w:t>
            </w:r>
          </w:p>
          <w:p w14:paraId="087C8A84" w14:textId="77777777" w:rsidR="005754D0" w:rsidRPr="000F2B3C" w:rsidRDefault="005754D0" w:rsidP="005754D0">
            <w:pPr>
              <w:spacing w:line="240" w:lineRule="auto"/>
              <w:jc w:val="left"/>
              <w:rPr>
                <w:rFonts w:asciiTheme="minorHAnsi" w:hAnsiTheme="minorHAnsi" w:cstheme="minorHAnsi"/>
                <w:b/>
                <w:szCs w:val="22"/>
                <w:lang w:val="en-US"/>
              </w:rPr>
            </w:pPr>
          </w:p>
        </w:tc>
        <w:tc>
          <w:tcPr>
            <w:tcW w:w="6946" w:type="dxa"/>
            <w:gridSpan w:val="2"/>
            <w:tcBorders>
              <w:bottom w:val="single" w:sz="4" w:space="0" w:color="auto"/>
            </w:tcBorders>
          </w:tcPr>
          <w:p w14:paraId="2CDA9CE8" w14:textId="77777777" w:rsidR="005754D0" w:rsidRPr="000F2B3C" w:rsidRDefault="005754D0" w:rsidP="00D11A8E">
            <w:pPr>
              <w:numPr>
                <w:ilvl w:val="0"/>
                <w:numId w:val="19"/>
              </w:numPr>
              <w:spacing w:line="240" w:lineRule="auto"/>
              <w:jc w:val="left"/>
              <w:rPr>
                <w:rFonts w:asciiTheme="minorHAnsi" w:hAnsiTheme="minorHAnsi" w:cstheme="minorHAnsi"/>
                <w:szCs w:val="22"/>
                <w:lang w:val="en-US"/>
              </w:rPr>
            </w:pPr>
            <w:r w:rsidRPr="000F2B3C">
              <w:rPr>
                <w:rFonts w:asciiTheme="minorHAnsi" w:hAnsiTheme="minorHAnsi" w:cstheme="minorHAnsi"/>
                <w:szCs w:val="22"/>
                <w:lang w:val="en-US"/>
              </w:rPr>
              <w:t xml:space="preserve">Complete remission on day 33 and FCM-MRD in BM on day 15 &lt;10% and Prednisone Good-Response and  PCR-MRD at „Time Point 1“  negative for all investigated markers with at least one marker with a quantitative range of ≤ 10-4 </w:t>
            </w:r>
            <w:r w:rsidRPr="000F2B3C">
              <w:rPr>
                <w:rFonts w:asciiTheme="minorHAnsi" w:hAnsiTheme="minorHAnsi" w:cstheme="minorHAnsi"/>
                <w:b/>
                <w:szCs w:val="22"/>
                <w:lang w:val="en-US"/>
              </w:rPr>
              <w:t xml:space="preserve">or </w:t>
            </w:r>
          </w:p>
          <w:p w14:paraId="59C23789" w14:textId="77777777" w:rsidR="005754D0" w:rsidRPr="000F2B3C" w:rsidRDefault="005754D0" w:rsidP="00D11A8E">
            <w:pPr>
              <w:numPr>
                <w:ilvl w:val="0"/>
                <w:numId w:val="19"/>
              </w:numPr>
              <w:spacing w:line="240" w:lineRule="auto"/>
              <w:jc w:val="left"/>
              <w:rPr>
                <w:rFonts w:asciiTheme="minorHAnsi" w:hAnsiTheme="minorHAnsi" w:cstheme="minorHAnsi"/>
                <w:szCs w:val="22"/>
                <w:lang w:val="en-US"/>
              </w:rPr>
            </w:pPr>
            <w:r w:rsidRPr="000F2B3C">
              <w:rPr>
                <w:rFonts w:asciiTheme="minorHAnsi" w:hAnsiTheme="minorHAnsi" w:cstheme="minorHAnsi"/>
                <w:szCs w:val="22"/>
                <w:lang w:val="en-US"/>
              </w:rPr>
              <w:t xml:space="preserve">Inconclusive PCR-MRD result at „Time Point 1“  and FCM-MRD in BM d15 &lt;0.1% </w:t>
            </w:r>
          </w:p>
        </w:tc>
      </w:tr>
      <w:tr w:rsidR="005754D0" w:rsidRPr="000F2B3C" w14:paraId="7B104E04" w14:textId="77777777" w:rsidTr="005754D0">
        <w:trPr>
          <w:trHeight w:val="365"/>
        </w:trPr>
        <w:tc>
          <w:tcPr>
            <w:tcW w:w="2263" w:type="dxa"/>
            <w:tcBorders>
              <w:top w:val="single" w:sz="4" w:space="0" w:color="auto"/>
              <w:bottom w:val="single" w:sz="4" w:space="0" w:color="auto"/>
            </w:tcBorders>
          </w:tcPr>
          <w:p w14:paraId="54040D54"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High Risk (HR)</w:t>
            </w:r>
          </w:p>
        </w:tc>
        <w:tc>
          <w:tcPr>
            <w:tcW w:w="6946" w:type="dxa"/>
            <w:gridSpan w:val="2"/>
            <w:tcBorders>
              <w:top w:val="single" w:sz="4" w:space="0" w:color="auto"/>
              <w:bottom w:val="single" w:sz="4" w:space="0" w:color="auto"/>
            </w:tcBorders>
          </w:tcPr>
          <w:p w14:paraId="3A8033EC" w14:textId="77777777" w:rsidR="005754D0" w:rsidRPr="00C9205D" w:rsidRDefault="005754D0" w:rsidP="00D11A8E">
            <w:pPr>
              <w:numPr>
                <w:ilvl w:val="0"/>
                <w:numId w:val="19"/>
              </w:numPr>
              <w:spacing w:line="240" w:lineRule="auto"/>
              <w:jc w:val="left"/>
              <w:rPr>
                <w:rFonts w:asciiTheme="minorHAnsi" w:hAnsiTheme="minorHAnsi" w:cstheme="minorHAnsi"/>
                <w:szCs w:val="22"/>
                <w:lang w:val="es-ES"/>
              </w:rPr>
            </w:pPr>
            <w:r w:rsidRPr="00C9205D">
              <w:rPr>
                <w:rFonts w:asciiTheme="minorHAnsi" w:hAnsiTheme="minorHAnsi" w:cstheme="minorHAnsi"/>
                <w:szCs w:val="22"/>
                <w:lang w:val="es-ES"/>
              </w:rPr>
              <w:t xml:space="preserve">No complete remission on day 33 </w:t>
            </w:r>
            <w:r w:rsidRPr="00C9205D">
              <w:rPr>
                <w:rFonts w:asciiTheme="minorHAnsi" w:hAnsiTheme="minorHAnsi" w:cstheme="minorHAnsi"/>
                <w:b/>
                <w:szCs w:val="22"/>
                <w:lang w:val="es-ES"/>
              </w:rPr>
              <w:t>or</w:t>
            </w:r>
            <w:r w:rsidRPr="00C9205D">
              <w:rPr>
                <w:rFonts w:asciiTheme="minorHAnsi" w:hAnsiTheme="minorHAnsi" w:cstheme="minorHAnsi"/>
                <w:szCs w:val="22"/>
                <w:lang w:val="es-ES"/>
              </w:rPr>
              <w:t xml:space="preserve"> </w:t>
            </w:r>
          </w:p>
          <w:p w14:paraId="6354A77E" w14:textId="77777777" w:rsidR="005754D0" w:rsidRPr="000F2B3C" w:rsidRDefault="005754D0" w:rsidP="00D11A8E">
            <w:pPr>
              <w:numPr>
                <w:ilvl w:val="0"/>
                <w:numId w:val="19"/>
              </w:numPr>
              <w:spacing w:line="240" w:lineRule="auto"/>
              <w:jc w:val="left"/>
              <w:rPr>
                <w:rFonts w:asciiTheme="minorHAnsi" w:hAnsiTheme="minorHAnsi" w:cstheme="minorHAnsi"/>
                <w:szCs w:val="22"/>
                <w:lang w:val="en-US"/>
              </w:rPr>
            </w:pPr>
            <w:r w:rsidRPr="000F2B3C">
              <w:rPr>
                <w:rFonts w:asciiTheme="minorHAnsi" w:hAnsiTheme="minorHAnsi" w:cstheme="minorHAnsi"/>
                <w:szCs w:val="22"/>
                <w:lang w:val="en-US"/>
              </w:rPr>
              <w:t xml:space="preserve">FCM-MRD in BM on day 15 ≥ 10% </w:t>
            </w:r>
            <w:r w:rsidRPr="000F2B3C">
              <w:rPr>
                <w:rFonts w:asciiTheme="minorHAnsi" w:hAnsiTheme="minorHAnsi" w:cstheme="minorHAnsi"/>
                <w:b/>
                <w:szCs w:val="22"/>
                <w:lang w:val="en-US"/>
              </w:rPr>
              <w:t>or</w:t>
            </w:r>
            <w:r w:rsidRPr="000F2B3C">
              <w:rPr>
                <w:rFonts w:asciiTheme="minorHAnsi" w:hAnsiTheme="minorHAnsi" w:cstheme="minorHAnsi"/>
                <w:szCs w:val="22"/>
                <w:lang w:val="en-US"/>
              </w:rPr>
              <w:t xml:space="preserve"> </w:t>
            </w:r>
          </w:p>
          <w:p w14:paraId="41AA86E8" w14:textId="77777777" w:rsidR="005754D0" w:rsidRPr="00945E91" w:rsidRDefault="005754D0" w:rsidP="00D11A8E">
            <w:pPr>
              <w:numPr>
                <w:ilvl w:val="0"/>
                <w:numId w:val="19"/>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Prednisone Poor-Response </w:t>
            </w:r>
            <w:r w:rsidRPr="00945E91">
              <w:rPr>
                <w:rFonts w:asciiTheme="minorHAnsi" w:hAnsiTheme="minorHAnsi" w:cstheme="minorHAnsi"/>
                <w:b/>
                <w:szCs w:val="22"/>
                <w:lang w:val="de-DE"/>
              </w:rPr>
              <w:t>or</w:t>
            </w:r>
            <w:r w:rsidRPr="00945E91">
              <w:rPr>
                <w:rFonts w:asciiTheme="minorHAnsi" w:hAnsiTheme="minorHAnsi" w:cstheme="minorHAnsi"/>
                <w:szCs w:val="22"/>
                <w:lang w:val="de-DE"/>
              </w:rPr>
              <w:t xml:space="preserve"> </w:t>
            </w:r>
          </w:p>
          <w:p w14:paraId="46064EF8" w14:textId="77777777" w:rsidR="005754D0" w:rsidRPr="000F2B3C" w:rsidRDefault="005754D0" w:rsidP="00D11A8E">
            <w:pPr>
              <w:numPr>
                <w:ilvl w:val="0"/>
                <w:numId w:val="19"/>
              </w:numPr>
              <w:spacing w:line="240" w:lineRule="auto"/>
              <w:jc w:val="left"/>
              <w:rPr>
                <w:rFonts w:asciiTheme="minorHAnsi" w:hAnsiTheme="minorHAnsi" w:cstheme="minorHAnsi"/>
                <w:szCs w:val="22"/>
                <w:lang w:val="en-US"/>
              </w:rPr>
            </w:pPr>
            <w:r w:rsidRPr="000F2B3C">
              <w:rPr>
                <w:rFonts w:asciiTheme="minorHAnsi" w:hAnsiTheme="minorHAnsi" w:cstheme="minorHAnsi"/>
                <w:szCs w:val="22"/>
                <w:lang w:val="en-US"/>
              </w:rPr>
              <w:t xml:space="preserve">PCR-MRD at „Time Point 2“  ≥ 5x10-4 </w:t>
            </w:r>
          </w:p>
        </w:tc>
      </w:tr>
      <w:tr w:rsidR="005754D0" w:rsidRPr="00945E91" w14:paraId="1A9D8A0B" w14:textId="77777777" w:rsidTr="005754D0">
        <w:trPr>
          <w:trHeight w:val="380"/>
        </w:trPr>
        <w:tc>
          <w:tcPr>
            <w:tcW w:w="2263" w:type="dxa"/>
            <w:tcBorders>
              <w:top w:val="single" w:sz="4" w:space="0" w:color="auto"/>
              <w:bottom w:val="single" w:sz="4" w:space="0" w:color="auto"/>
            </w:tcBorders>
          </w:tcPr>
          <w:p w14:paraId="3B8DEC0F" w14:textId="77777777" w:rsidR="005754D0" w:rsidRPr="000F2B3C" w:rsidRDefault="005754D0" w:rsidP="005754D0">
            <w:p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 xml:space="preserve">Non-High Risk </w:t>
            </w:r>
          </w:p>
          <w:p w14:paraId="4EA5D7FC" w14:textId="77777777" w:rsidR="005754D0" w:rsidRPr="000F2B3C" w:rsidRDefault="005754D0" w:rsidP="005754D0">
            <w:pPr>
              <w:spacing w:line="240" w:lineRule="auto"/>
              <w:jc w:val="left"/>
              <w:rPr>
                <w:rFonts w:asciiTheme="minorHAnsi" w:hAnsiTheme="minorHAnsi" w:cstheme="minorHAnsi"/>
                <w:b/>
                <w:szCs w:val="22"/>
                <w:lang w:val="en-US"/>
              </w:rPr>
            </w:pPr>
            <w:r w:rsidRPr="000F2B3C">
              <w:rPr>
                <w:rFonts w:asciiTheme="minorHAnsi" w:hAnsiTheme="minorHAnsi" w:cstheme="minorHAnsi"/>
                <w:b/>
                <w:szCs w:val="22"/>
                <w:lang w:val="en-US"/>
              </w:rPr>
              <w:t>(non-HR)</w:t>
            </w:r>
          </w:p>
        </w:tc>
        <w:tc>
          <w:tcPr>
            <w:tcW w:w="6946" w:type="dxa"/>
            <w:gridSpan w:val="2"/>
            <w:tcBorders>
              <w:top w:val="single" w:sz="4" w:space="0" w:color="auto"/>
              <w:bottom w:val="single" w:sz="4" w:space="0" w:color="auto"/>
            </w:tcBorders>
          </w:tcPr>
          <w:p w14:paraId="4B5BC4E6" w14:textId="77777777" w:rsidR="005754D0" w:rsidRPr="00945E91" w:rsidRDefault="005754D0" w:rsidP="00D11A8E">
            <w:pPr>
              <w:numPr>
                <w:ilvl w:val="0"/>
                <w:numId w:val="19"/>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No HR criteria</w:t>
            </w:r>
          </w:p>
        </w:tc>
      </w:tr>
    </w:tbl>
    <w:p w14:paraId="28C57D59" w14:textId="77777777" w:rsidR="005754D0" w:rsidRPr="00945E91" w:rsidRDefault="005754D0" w:rsidP="005754D0">
      <w:pPr>
        <w:spacing w:line="240" w:lineRule="auto"/>
        <w:jc w:val="left"/>
        <w:rPr>
          <w:rFonts w:asciiTheme="minorHAnsi" w:hAnsiTheme="minorHAnsi" w:cstheme="minorHAnsi"/>
          <w:b/>
          <w:szCs w:val="22"/>
          <w:lang w:val="de-DE"/>
        </w:rPr>
      </w:pPr>
    </w:p>
    <w:p w14:paraId="3B667F65" w14:textId="77777777" w:rsidR="005754D0" w:rsidRPr="00945E91" w:rsidRDefault="005754D0" w:rsidP="005754D0">
      <w:pPr>
        <w:spacing w:line="240" w:lineRule="auto"/>
        <w:jc w:val="left"/>
        <w:rPr>
          <w:rFonts w:asciiTheme="minorHAnsi" w:hAnsiTheme="minorHAnsi" w:cstheme="minorHAnsi"/>
          <w:b/>
          <w:szCs w:val="22"/>
          <w:lang w:val="de-DE"/>
        </w:rPr>
      </w:pPr>
    </w:p>
    <w:p w14:paraId="66322B24" w14:textId="77777777" w:rsidR="005754D0" w:rsidRPr="00945E91" w:rsidRDefault="005754D0" w:rsidP="005754D0">
      <w:pPr>
        <w:spacing w:line="240" w:lineRule="auto"/>
        <w:jc w:val="left"/>
        <w:rPr>
          <w:rFonts w:asciiTheme="minorHAnsi" w:hAnsiTheme="minorHAnsi" w:cstheme="minorHAnsi"/>
          <w:b/>
          <w:szCs w:val="22"/>
          <w:lang w:val="de-DE"/>
        </w:rPr>
      </w:pPr>
    </w:p>
    <w:p w14:paraId="2DAE0209" w14:textId="1631EB5D" w:rsidR="005754D0" w:rsidRPr="00945E91" w:rsidRDefault="005754D0" w:rsidP="005754D0">
      <w:pPr>
        <w:pStyle w:val="berschrift3"/>
        <w:rPr>
          <w:rFonts w:asciiTheme="minorHAnsi" w:hAnsiTheme="minorHAnsi" w:cstheme="minorHAnsi"/>
          <w:lang w:val="de-DE"/>
        </w:rPr>
      </w:pPr>
      <w:bookmarkStart w:id="19" w:name="_Toc70881116"/>
      <w:bookmarkStart w:id="20" w:name="_Toc74412395"/>
      <w:r w:rsidRPr="00945E91">
        <w:rPr>
          <w:rFonts w:asciiTheme="minorHAnsi" w:hAnsiTheme="minorHAnsi" w:cstheme="minorHAnsi"/>
          <w:lang w:val="de-DE"/>
        </w:rPr>
        <w:t>2.7.2.</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Risikogruppen nach GMALL</w:t>
      </w:r>
      <w:bookmarkEnd w:id="19"/>
      <w:bookmarkEnd w:id="20"/>
    </w:p>
    <w:p w14:paraId="0790D3B6" w14:textId="0A34FBE0" w:rsidR="005754D0" w:rsidRDefault="005754D0" w:rsidP="005754D0">
      <w:pPr>
        <w:spacing w:line="276" w:lineRule="auto"/>
        <w:jc w:val="both"/>
        <w:rPr>
          <w:rFonts w:asciiTheme="minorHAnsi" w:hAnsiTheme="minorHAnsi" w:cstheme="minorHAnsi"/>
          <w:lang w:val="de-DE"/>
        </w:rPr>
      </w:pPr>
      <w:r w:rsidRPr="00945E91">
        <w:rPr>
          <w:rFonts w:asciiTheme="minorHAnsi" w:hAnsiTheme="minorHAnsi" w:cstheme="minorHAnsi"/>
          <w:lang w:val="de-DE"/>
        </w:rPr>
        <w:t>Für Patienten mit BCR-ABL-positiver ALL ab dem 18. Lebensjahr und für alle Patienten ab dem 26. Lebensjahr erfolgt die Risikoeinschätzung zur Behandlungsstratifizierung nach GMALL-Studienprotokollen 2017. Grundlage ist die Immunphänotypisierung (Kapitel 2.6), verschiedene Laborwerte und molekulare Marker sowie das Ansprechen zu 2 Zeitpunkten.</w:t>
      </w:r>
      <w:r w:rsidR="00DB23B1">
        <w:rPr>
          <w:rFonts w:asciiTheme="minorHAnsi" w:hAnsiTheme="minorHAnsi" w:cstheme="minorHAnsi"/>
          <w:lang w:val="de-DE"/>
        </w:rPr>
        <w:t xml:space="preserve"> </w:t>
      </w:r>
    </w:p>
    <w:p w14:paraId="2DAF87A2" w14:textId="7FE401B4" w:rsidR="00DB23B1" w:rsidRPr="00945E91" w:rsidRDefault="00DB23B1" w:rsidP="005754D0">
      <w:pPr>
        <w:spacing w:line="276" w:lineRule="auto"/>
        <w:jc w:val="both"/>
        <w:rPr>
          <w:rFonts w:asciiTheme="minorHAnsi" w:hAnsiTheme="minorHAnsi" w:cstheme="minorHAnsi"/>
          <w:lang w:val="de-DE"/>
        </w:rPr>
      </w:pPr>
      <w:r>
        <w:rPr>
          <w:rFonts w:asciiTheme="minorHAnsi" w:hAnsiTheme="minorHAnsi" w:cstheme="minorHAnsi"/>
          <w:lang w:val="de-DE"/>
        </w:rPr>
        <w:t xml:space="preserve">Für Patienten in der Hochrisiko – und Höchstrisikogruppe wird eine allogene Stammzell-Transplantation in 1. CR nach Ende der Konsolidierung I empfohlen. </w:t>
      </w:r>
    </w:p>
    <w:p w14:paraId="5A16A8AF" w14:textId="77777777" w:rsidR="005754D0" w:rsidRPr="00945E91" w:rsidRDefault="005754D0" w:rsidP="005754D0">
      <w:pPr>
        <w:jc w:val="both"/>
        <w:rPr>
          <w:rFonts w:asciiTheme="minorHAnsi" w:hAnsiTheme="minorHAnsi" w:cstheme="minorHAnsi"/>
          <w:lang w:val="de-DE"/>
        </w:rPr>
      </w:pPr>
    </w:p>
    <w:p w14:paraId="32522AED" w14:textId="77777777" w:rsidR="005754D0" w:rsidRPr="00945E91" w:rsidRDefault="005754D0" w:rsidP="005754D0">
      <w:pPr>
        <w:spacing w:line="276" w:lineRule="auto"/>
        <w:jc w:val="both"/>
        <w:rPr>
          <w:rFonts w:asciiTheme="minorHAnsi" w:hAnsiTheme="minorHAnsi" w:cstheme="minorHAnsi"/>
          <w:b/>
          <w:lang w:val="de-DE"/>
        </w:rPr>
      </w:pPr>
      <w:r w:rsidRPr="00945E91">
        <w:rPr>
          <w:rFonts w:asciiTheme="minorHAnsi" w:hAnsiTheme="minorHAnsi" w:cstheme="minorHAnsi"/>
          <w:b/>
          <w:lang w:val="de-DE"/>
        </w:rPr>
        <w:t xml:space="preserve">GMALL-Risikogruppen </w:t>
      </w:r>
    </w:p>
    <w:tbl>
      <w:tblPr>
        <w:tblW w:w="9209" w:type="dxa"/>
        <w:tblLook w:val="04A0" w:firstRow="1" w:lastRow="0" w:firstColumn="1" w:lastColumn="0" w:noHBand="0" w:noVBand="1"/>
      </w:tblPr>
      <w:tblGrid>
        <w:gridCol w:w="2263"/>
        <w:gridCol w:w="6946"/>
      </w:tblGrid>
      <w:tr w:rsidR="005754D0" w:rsidRPr="00945E91" w14:paraId="32456EA5" w14:textId="77777777" w:rsidTr="005754D0">
        <w:trPr>
          <w:trHeight w:val="373"/>
        </w:trPr>
        <w:tc>
          <w:tcPr>
            <w:tcW w:w="2263" w:type="dxa"/>
            <w:tcBorders>
              <w:right w:val="nil"/>
            </w:tcBorders>
            <w:shd w:val="clear" w:color="auto" w:fill="D9D9D9" w:themeFill="background1" w:themeFillShade="D9"/>
          </w:tcPr>
          <w:p w14:paraId="1545886A"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Risikogruppen</w:t>
            </w:r>
          </w:p>
        </w:tc>
        <w:tc>
          <w:tcPr>
            <w:tcW w:w="6946" w:type="dxa"/>
            <w:tcBorders>
              <w:left w:val="nil"/>
            </w:tcBorders>
            <w:shd w:val="clear" w:color="auto" w:fill="D9D9D9" w:themeFill="background1" w:themeFillShade="D9"/>
          </w:tcPr>
          <w:p w14:paraId="278EF478"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Kriterien</w:t>
            </w:r>
          </w:p>
        </w:tc>
      </w:tr>
      <w:tr w:rsidR="005754D0" w:rsidRPr="00945E91" w14:paraId="2FCB1FA9" w14:textId="77777777" w:rsidTr="005754D0">
        <w:tblPrEx>
          <w:tblBorders>
            <w:top w:val="single" w:sz="4" w:space="0" w:color="auto"/>
            <w:left w:val="single" w:sz="4" w:space="0" w:color="auto"/>
            <w:bottom w:val="single" w:sz="4" w:space="0" w:color="auto"/>
            <w:right w:val="single" w:sz="4" w:space="0" w:color="auto"/>
          </w:tblBorders>
        </w:tblPrEx>
        <w:trPr>
          <w:trHeight w:val="1353"/>
        </w:trPr>
        <w:tc>
          <w:tcPr>
            <w:tcW w:w="2263" w:type="dxa"/>
            <w:vMerge w:val="restart"/>
            <w:hideMark/>
          </w:tcPr>
          <w:p w14:paraId="2CB27B9F"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I. Standardrisiko (SR)</w:t>
            </w:r>
          </w:p>
        </w:tc>
        <w:tc>
          <w:tcPr>
            <w:tcW w:w="6946" w:type="dxa"/>
            <w:tcBorders>
              <w:bottom w:val="single" w:sz="4" w:space="0" w:color="auto"/>
            </w:tcBorders>
            <w:hideMark/>
          </w:tcPr>
          <w:p w14:paraId="563D47C5"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B-Vorläufer-ALL</w:t>
            </w:r>
          </w:p>
          <w:p w14:paraId="07F73593" w14:textId="77777777" w:rsidR="005754D0" w:rsidRPr="00945E91" w:rsidRDefault="005754D0" w:rsidP="00D11A8E">
            <w:pPr>
              <w:numPr>
                <w:ilvl w:val="0"/>
                <w:numId w:val="20"/>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CR an Tag 26 (nach Induktion I) und</w:t>
            </w:r>
          </w:p>
          <w:p w14:paraId="31CEF62F" w14:textId="77777777" w:rsidR="005754D0" w:rsidRPr="00945E91" w:rsidRDefault="005754D0" w:rsidP="00D11A8E">
            <w:pPr>
              <w:numPr>
                <w:ilvl w:val="0"/>
                <w:numId w:val="20"/>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WBC &lt; 30 000/µl</w:t>
            </w:r>
          </w:p>
          <w:p w14:paraId="6BC7423D" w14:textId="77777777" w:rsidR="005754D0" w:rsidRPr="00945E91" w:rsidRDefault="005754D0" w:rsidP="00D11A8E">
            <w:pPr>
              <w:numPr>
                <w:ilvl w:val="0"/>
                <w:numId w:val="20"/>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keine pro-B-ALL bzw. t(v;11q23), MLL rearrangiert</w:t>
            </w:r>
          </w:p>
          <w:p w14:paraId="5644FDD8" w14:textId="77777777" w:rsidR="005754D0" w:rsidRPr="00945E91" w:rsidRDefault="005754D0" w:rsidP="00D11A8E">
            <w:pPr>
              <w:numPr>
                <w:ilvl w:val="0"/>
                <w:numId w:val="20"/>
              </w:numPr>
              <w:spacing w:line="240" w:lineRule="auto"/>
              <w:jc w:val="left"/>
              <w:rPr>
                <w:rFonts w:asciiTheme="minorHAnsi" w:hAnsiTheme="minorHAnsi" w:cstheme="minorHAnsi"/>
                <w:b/>
                <w:szCs w:val="22"/>
                <w:lang w:val="de-DE"/>
              </w:rPr>
            </w:pPr>
            <w:r w:rsidRPr="00945E91">
              <w:rPr>
                <w:rFonts w:asciiTheme="minorHAnsi" w:hAnsiTheme="minorHAnsi" w:cstheme="minorHAnsi"/>
                <w:szCs w:val="22"/>
                <w:lang w:val="de-DE"/>
              </w:rPr>
              <w:t>keine t(9;22)/BCR-ABL-positive ALL</w:t>
            </w:r>
          </w:p>
        </w:tc>
      </w:tr>
      <w:tr w:rsidR="005754D0" w:rsidRPr="00945E91" w14:paraId="56B8B5AE" w14:textId="77777777" w:rsidTr="005754D0">
        <w:tblPrEx>
          <w:tblBorders>
            <w:top w:val="single" w:sz="4" w:space="0" w:color="auto"/>
            <w:left w:val="single" w:sz="4" w:space="0" w:color="auto"/>
            <w:bottom w:val="single" w:sz="4" w:space="0" w:color="auto"/>
            <w:right w:val="single" w:sz="4" w:space="0" w:color="auto"/>
          </w:tblBorders>
        </w:tblPrEx>
        <w:tc>
          <w:tcPr>
            <w:tcW w:w="2263" w:type="dxa"/>
            <w:vMerge/>
            <w:tcBorders>
              <w:bottom w:val="single" w:sz="4" w:space="0" w:color="auto"/>
            </w:tcBorders>
            <w:hideMark/>
          </w:tcPr>
          <w:p w14:paraId="1E8A6838" w14:textId="77777777" w:rsidR="005754D0" w:rsidRPr="00945E91" w:rsidRDefault="005754D0" w:rsidP="005754D0">
            <w:pPr>
              <w:spacing w:line="240" w:lineRule="auto"/>
              <w:jc w:val="left"/>
              <w:rPr>
                <w:rFonts w:asciiTheme="minorHAnsi" w:hAnsiTheme="minorHAnsi" w:cstheme="minorHAnsi"/>
                <w:szCs w:val="22"/>
                <w:lang w:val="de-DE"/>
              </w:rPr>
            </w:pPr>
          </w:p>
        </w:tc>
        <w:tc>
          <w:tcPr>
            <w:tcW w:w="6946" w:type="dxa"/>
            <w:tcBorders>
              <w:top w:val="single" w:sz="4" w:space="0" w:color="auto"/>
              <w:bottom w:val="single" w:sz="4" w:space="0" w:color="auto"/>
            </w:tcBorders>
            <w:hideMark/>
          </w:tcPr>
          <w:p w14:paraId="3ECCED4F"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Thymische T-ALL</w:t>
            </w:r>
          </w:p>
        </w:tc>
      </w:tr>
      <w:tr w:rsidR="005754D0" w:rsidRPr="00945E91" w14:paraId="29104B1B" w14:textId="77777777" w:rsidTr="005754D0">
        <w:tblPrEx>
          <w:tblBorders>
            <w:top w:val="single" w:sz="4" w:space="0" w:color="auto"/>
            <w:left w:val="single" w:sz="4" w:space="0" w:color="auto"/>
            <w:bottom w:val="single" w:sz="4" w:space="0" w:color="auto"/>
            <w:right w:val="single" w:sz="4" w:space="0" w:color="auto"/>
          </w:tblBorders>
        </w:tblPrEx>
        <w:trPr>
          <w:trHeight w:val="1353"/>
        </w:trPr>
        <w:tc>
          <w:tcPr>
            <w:tcW w:w="2263" w:type="dxa"/>
            <w:vMerge w:val="restart"/>
            <w:tcBorders>
              <w:top w:val="single" w:sz="4" w:space="0" w:color="auto"/>
              <w:bottom w:val="nil"/>
            </w:tcBorders>
            <w:hideMark/>
          </w:tcPr>
          <w:p w14:paraId="071EC714"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II. Hochrisiko (HR)</w:t>
            </w:r>
          </w:p>
        </w:tc>
        <w:tc>
          <w:tcPr>
            <w:tcW w:w="6946" w:type="dxa"/>
            <w:tcBorders>
              <w:top w:val="single" w:sz="4" w:space="0" w:color="auto"/>
              <w:bottom w:val="single" w:sz="4" w:space="0" w:color="auto"/>
            </w:tcBorders>
            <w:hideMark/>
          </w:tcPr>
          <w:p w14:paraId="42C80F33"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B-Vorläufer-ALL</w:t>
            </w:r>
          </w:p>
          <w:p w14:paraId="0FFBF591" w14:textId="77777777" w:rsidR="005754D0" w:rsidRPr="00945E91" w:rsidRDefault="005754D0" w:rsidP="00D11A8E">
            <w:pPr>
              <w:numPr>
                <w:ilvl w:val="0"/>
                <w:numId w:val="21"/>
              </w:numPr>
              <w:spacing w:line="240" w:lineRule="auto"/>
              <w:ind w:left="311"/>
              <w:jc w:val="left"/>
              <w:rPr>
                <w:rFonts w:asciiTheme="minorHAnsi" w:hAnsiTheme="minorHAnsi" w:cstheme="minorHAnsi"/>
                <w:szCs w:val="22"/>
                <w:lang w:val="de-DE"/>
              </w:rPr>
            </w:pPr>
            <w:r w:rsidRPr="00945E91">
              <w:rPr>
                <w:rFonts w:asciiTheme="minorHAnsi" w:hAnsiTheme="minorHAnsi" w:cstheme="minorHAnsi"/>
                <w:szCs w:val="22"/>
                <w:lang w:val="de-DE"/>
              </w:rPr>
              <w:t>CR erst an Tag 46 (nach Induktion II) oder</w:t>
            </w:r>
          </w:p>
          <w:p w14:paraId="50086D94" w14:textId="77777777" w:rsidR="005754D0" w:rsidRPr="00945E91" w:rsidRDefault="005754D0" w:rsidP="00D11A8E">
            <w:pPr>
              <w:numPr>
                <w:ilvl w:val="0"/>
                <w:numId w:val="21"/>
              </w:numPr>
              <w:spacing w:line="240" w:lineRule="auto"/>
              <w:ind w:left="311"/>
              <w:jc w:val="left"/>
              <w:rPr>
                <w:rFonts w:asciiTheme="minorHAnsi" w:hAnsiTheme="minorHAnsi" w:cstheme="minorHAnsi"/>
                <w:szCs w:val="22"/>
                <w:lang w:val="de-DE"/>
              </w:rPr>
            </w:pPr>
            <w:r w:rsidRPr="00945E91">
              <w:rPr>
                <w:rFonts w:asciiTheme="minorHAnsi" w:hAnsiTheme="minorHAnsi" w:cstheme="minorHAnsi"/>
                <w:szCs w:val="22"/>
                <w:lang w:val="de-DE"/>
              </w:rPr>
              <w:t>WBC &gt; 30 000/µl oder</w:t>
            </w:r>
          </w:p>
          <w:p w14:paraId="6E609F8E" w14:textId="77777777" w:rsidR="005754D0" w:rsidRPr="00945E91" w:rsidRDefault="005754D0" w:rsidP="00D11A8E">
            <w:pPr>
              <w:numPr>
                <w:ilvl w:val="0"/>
                <w:numId w:val="21"/>
              </w:numPr>
              <w:spacing w:line="240" w:lineRule="auto"/>
              <w:ind w:left="311"/>
              <w:jc w:val="left"/>
              <w:rPr>
                <w:rFonts w:asciiTheme="minorHAnsi" w:hAnsiTheme="minorHAnsi" w:cstheme="minorHAnsi"/>
                <w:szCs w:val="22"/>
                <w:lang w:val="de-DE"/>
              </w:rPr>
            </w:pPr>
            <w:r w:rsidRPr="00945E91">
              <w:rPr>
                <w:rFonts w:asciiTheme="minorHAnsi" w:hAnsiTheme="minorHAnsi" w:cstheme="minorHAnsi"/>
                <w:szCs w:val="22"/>
                <w:lang w:val="de-DE"/>
              </w:rPr>
              <w:t>pro-B-ALL bzw. t(v;11q23), MLL rearrangiert</w:t>
            </w:r>
          </w:p>
          <w:p w14:paraId="0BD5EDCB" w14:textId="77777777" w:rsidR="005754D0" w:rsidRPr="00945E91" w:rsidRDefault="005754D0" w:rsidP="00D11A8E">
            <w:pPr>
              <w:numPr>
                <w:ilvl w:val="0"/>
                <w:numId w:val="21"/>
              </w:numPr>
              <w:spacing w:line="240" w:lineRule="auto"/>
              <w:ind w:left="311"/>
              <w:jc w:val="left"/>
              <w:rPr>
                <w:rFonts w:asciiTheme="minorHAnsi" w:hAnsiTheme="minorHAnsi" w:cstheme="minorHAnsi"/>
                <w:b/>
                <w:szCs w:val="22"/>
                <w:lang w:val="de-DE"/>
              </w:rPr>
            </w:pPr>
            <w:r w:rsidRPr="00945E91">
              <w:rPr>
                <w:rFonts w:asciiTheme="minorHAnsi" w:hAnsiTheme="minorHAnsi" w:cstheme="minorHAnsi"/>
                <w:szCs w:val="22"/>
                <w:lang w:val="de-DE"/>
              </w:rPr>
              <w:t>keine t(9;22)/BCR-ABL-positive ALL</w:t>
            </w:r>
          </w:p>
        </w:tc>
      </w:tr>
      <w:tr w:rsidR="005754D0" w:rsidRPr="00945E91" w14:paraId="1184CFE3" w14:textId="77777777" w:rsidTr="005754D0">
        <w:tblPrEx>
          <w:tblBorders>
            <w:top w:val="single" w:sz="4" w:space="0" w:color="auto"/>
            <w:left w:val="single" w:sz="4" w:space="0" w:color="auto"/>
            <w:bottom w:val="single" w:sz="4" w:space="0" w:color="auto"/>
            <w:right w:val="single" w:sz="4" w:space="0" w:color="auto"/>
          </w:tblBorders>
        </w:tblPrEx>
        <w:tc>
          <w:tcPr>
            <w:tcW w:w="2263" w:type="dxa"/>
            <w:vMerge/>
            <w:tcBorders>
              <w:bottom w:val="single" w:sz="4" w:space="0" w:color="auto"/>
            </w:tcBorders>
            <w:hideMark/>
          </w:tcPr>
          <w:p w14:paraId="711E13C9" w14:textId="77777777" w:rsidR="005754D0" w:rsidRPr="00945E91" w:rsidRDefault="005754D0" w:rsidP="005754D0">
            <w:pPr>
              <w:spacing w:line="240" w:lineRule="auto"/>
              <w:jc w:val="left"/>
              <w:rPr>
                <w:rFonts w:asciiTheme="minorHAnsi" w:hAnsiTheme="minorHAnsi" w:cstheme="minorHAnsi"/>
                <w:b/>
                <w:szCs w:val="22"/>
                <w:lang w:val="de-DE"/>
              </w:rPr>
            </w:pPr>
          </w:p>
        </w:tc>
        <w:tc>
          <w:tcPr>
            <w:tcW w:w="6946" w:type="dxa"/>
            <w:tcBorders>
              <w:top w:val="single" w:sz="4" w:space="0" w:color="auto"/>
              <w:bottom w:val="single" w:sz="4" w:space="0" w:color="auto"/>
            </w:tcBorders>
            <w:hideMark/>
          </w:tcPr>
          <w:p w14:paraId="29EA0314"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Early-T- oder Mature-T-ALL</w:t>
            </w:r>
          </w:p>
        </w:tc>
      </w:tr>
      <w:tr w:rsidR="005754D0" w:rsidRPr="00945E91" w14:paraId="296D4CF1" w14:textId="77777777" w:rsidTr="005754D0">
        <w:tblPrEx>
          <w:tblBorders>
            <w:top w:val="single" w:sz="4" w:space="0" w:color="auto"/>
            <w:left w:val="single" w:sz="4" w:space="0" w:color="auto"/>
            <w:bottom w:val="single" w:sz="4" w:space="0" w:color="auto"/>
            <w:right w:val="single" w:sz="4" w:space="0" w:color="auto"/>
          </w:tblBorders>
        </w:tblPrEx>
        <w:tc>
          <w:tcPr>
            <w:tcW w:w="2263" w:type="dxa"/>
            <w:tcBorders>
              <w:top w:val="single" w:sz="4" w:space="0" w:color="auto"/>
              <w:bottom w:val="single" w:sz="4" w:space="0" w:color="auto"/>
            </w:tcBorders>
            <w:hideMark/>
          </w:tcPr>
          <w:p w14:paraId="2F280518"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III. Höchstrisiko (VHR)</w:t>
            </w:r>
          </w:p>
        </w:tc>
        <w:tc>
          <w:tcPr>
            <w:tcW w:w="6946" w:type="dxa"/>
            <w:tcBorders>
              <w:top w:val="single" w:sz="4" w:space="0" w:color="auto"/>
              <w:bottom w:val="single" w:sz="4" w:space="0" w:color="auto"/>
            </w:tcBorders>
            <w:hideMark/>
          </w:tcPr>
          <w:p w14:paraId="2D582417" w14:textId="77777777" w:rsidR="005754D0" w:rsidRPr="00945E91" w:rsidRDefault="005754D0" w:rsidP="005754D0">
            <w:pPr>
              <w:spacing w:line="240" w:lineRule="auto"/>
              <w:jc w:val="left"/>
              <w:rPr>
                <w:rFonts w:asciiTheme="minorHAnsi" w:hAnsiTheme="minorHAnsi" w:cstheme="minorHAnsi"/>
                <w:b/>
                <w:szCs w:val="22"/>
                <w:lang w:val="de-DE"/>
              </w:rPr>
            </w:pPr>
            <w:r w:rsidRPr="00945E91">
              <w:rPr>
                <w:rFonts w:asciiTheme="minorHAnsi" w:hAnsiTheme="minorHAnsi" w:cstheme="minorHAnsi"/>
                <w:b/>
                <w:szCs w:val="22"/>
                <w:lang w:val="de-DE"/>
              </w:rPr>
              <w:t>t(9;22)/BCR-ABL-positive ALL</w:t>
            </w:r>
          </w:p>
        </w:tc>
      </w:tr>
    </w:tbl>
    <w:p w14:paraId="612D7112" w14:textId="77777777" w:rsidR="005754D0" w:rsidRPr="00945E91" w:rsidRDefault="005754D0" w:rsidP="005754D0">
      <w:pPr>
        <w:jc w:val="left"/>
        <w:rPr>
          <w:rFonts w:asciiTheme="minorHAnsi" w:hAnsiTheme="minorHAnsi" w:cstheme="minorHAnsi"/>
          <w:lang w:val="de-DE"/>
        </w:rPr>
      </w:pPr>
    </w:p>
    <w:p w14:paraId="2757B03C"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br w:type="page"/>
      </w:r>
    </w:p>
    <w:p w14:paraId="6A10A877" w14:textId="08FF0F78" w:rsidR="005754D0" w:rsidRPr="00945E91" w:rsidRDefault="005754D0" w:rsidP="005754D0">
      <w:pPr>
        <w:pStyle w:val="berschrift2"/>
        <w:rPr>
          <w:rFonts w:asciiTheme="minorHAnsi" w:hAnsiTheme="minorHAnsi" w:cstheme="minorHAnsi"/>
          <w:lang w:val="de-DE"/>
        </w:rPr>
      </w:pPr>
      <w:bookmarkStart w:id="21" w:name="_Toc70881117"/>
      <w:bookmarkStart w:id="22" w:name="_Toc74412396"/>
      <w:r w:rsidRPr="00945E91">
        <w:rPr>
          <w:rFonts w:asciiTheme="minorHAnsi" w:hAnsiTheme="minorHAnsi" w:cstheme="minorHAnsi"/>
          <w:lang w:val="de-DE"/>
        </w:rPr>
        <w:lastRenderedPageBreak/>
        <w:t>2.8</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ZNS-Befall und Therapiealgorithmus</w:t>
      </w:r>
      <w:bookmarkEnd w:id="21"/>
      <w:bookmarkEnd w:id="22"/>
    </w:p>
    <w:p w14:paraId="6F959056"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Patienten mit initialem ZNS-Befall haben bei adäquater Therapie keine ungünstigere Prognose und sind deshalb alleine aufgrund des ZNS-Befalls keine Hochrisiko-Patienten. Sie werden nach dem Therapieplan entsprechend ihrer Risikostratifikation behandelt</w:t>
      </w:r>
    </w:p>
    <w:p w14:paraId="57CF256F" w14:textId="77777777" w:rsidR="005754D0" w:rsidRPr="00945E91" w:rsidRDefault="005754D0" w:rsidP="005754D0">
      <w:pPr>
        <w:spacing w:line="240" w:lineRule="auto"/>
        <w:jc w:val="left"/>
        <w:rPr>
          <w:rFonts w:asciiTheme="minorHAnsi" w:hAnsiTheme="minorHAnsi" w:cstheme="minorHAnsi"/>
          <w:szCs w:val="22"/>
          <w:lang w:val="de-DE"/>
        </w:rPr>
      </w:pPr>
    </w:p>
    <w:p w14:paraId="40DBE645"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Aufgrund des unterschiedlichen Vorgehens in den Therapieprotokollen von AIEOP und GMALL erfolgt bereits bei Erstdiagnose eine unterschiedliche Einteilung in den ZNS-Befall und die daraus resultierenden therapeutischen Maßnahmen.</w:t>
      </w:r>
    </w:p>
    <w:p w14:paraId="4F1DC1D4" w14:textId="77777777" w:rsidR="005754D0" w:rsidRPr="00945E91" w:rsidRDefault="005754D0" w:rsidP="005754D0">
      <w:pPr>
        <w:spacing w:line="240" w:lineRule="auto"/>
        <w:jc w:val="left"/>
        <w:rPr>
          <w:rFonts w:asciiTheme="minorHAnsi" w:hAnsiTheme="minorHAnsi" w:cstheme="minorHAnsi"/>
          <w:szCs w:val="22"/>
          <w:lang w:val="de-DE"/>
        </w:rPr>
      </w:pPr>
    </w:p>
    <w:p w14:paraId="43A1B6E9" w14:textId="77777777" w:rsidR="005754D0" w:rsidRPr="00945E91" w:rsidRDefault="005754D0" w:rsidP="005754D0">
      <w:pPr>
        <w:spacing w:line="240" w:lineRule="auto"/>
        <w:jc w:val="left"/>
        <w:rPr>
          <w:rFonts w:asciiTheme="minorHAnsi" w:hAnsiTheme="minorHAnsi" w:cstheme="minorHAnsi"/>
          <w:szCs w:val="22"/>
          <w:lang w:val="de-DE"/>
        </w:rPr>
      </w:pPr>
    </w:p>
    <w:p w14:paraId="2DF2DAC4" w14:textId="263E2A02" w:rsidR="005754D0" w:rsidRPr="00945E91" w:rsidRDefault="000C7408" w:rsidP="000C7408">
      <w:pPr>
        <w:pStyle w:val="berschrift3"/>
        <w:rPr>
          <w:rFonts w:asciiTheme="minorHAnsi" w:hAnsiTheme="minorHAnsi" w:cstheme="minorHAnsi"/>
          <w:lang w:val="de-DE"/>
        </w:rPr>
      </w:pPr>
      <w:bookmarkStart w:id="23" w:name="_Toc70881118"/>
      <w:bookmarkStart w:id="24" w:name="_Toc74412397"/>
      <w:r w:rsidRPr="00945E91">
        <w:rPr>
          <w:rFonts w:asciiTheme="minorHAnsi" w:hAnsiTheme="minorHAnsi" w:cstheme="minorHAnsi"/>
          <w:lang w:val="de-DE"/>
        </w:rPr>
        <w:t xml:space="preserve">2.8.1. </w:t>
      </w:r>
      <w:r w:rsidR="00D21C29" w:rsidRPr="00945E91">
        <w:rPr>
          <w:rFonts w:asciiTheme="minorHAnsi" w:hAnsiTheme="minorHAnsi" w:cstheme="minorHAnsi"/>
          <w:lang w:val="de-DE"/>
        </w:rPr>
        <w:t>ZNS-Therapie bei Behandlung nach AIEOP-Protokoll 2</w:t>
      </w:r>
      <w:r w:rsidR="005754D0" w:rsidRPr="00945E91">
        <w:rPr>
          <w:rFonts w:asciiTheme="minorHAnsi" w:hAnsiTheme="minorHAnsi" w:cstheme="minorHAnsi"/>
          <w:lang w:val="de-DE"/>
        </w:rPr>
        <w:t>009</w:t>
      </w:r>
      <w:bookmarkEnd w:id="23"/>
      <w:bookmarkEnd w:id="24"/>
    </w:p>
    <w:p w14:paraId="58BF6E0A" w14:textId="77777777" w:rsidR="005754D0" w:rsidRPr="00945E91" w:rsidRDefault="005754D0" w:rsidP="005754D0">
      <w:pPr>
        <w:spacing w:line="240" w:lineRule="auto"/>
        <w:jc w:val="left"/>
        <w:rPr>
          <w:rFonts w:asciiTheme="minorHAnsi" w:hAnsiTheme="minorHAnsi" w:cstheme="minorHAnsi"/>
          <w:szCs w:val="22"/>
          <w:u w:val="single"/>
          <w:lang w:val="de-DE"/>
        </w:rPr>
      </w:pPr>
      <w:r w:rsidRPr="00945E91">
        <w:rPr>
          <w:rFonts w:asciiTheme="minorHAnsi" w:hAnsiTheme="minorHAnsi" w:cstheme="minorHAnsi"/>
          <w:szCs w:val="22"/>
          <w:u w:val="single"/>
          <w:lang w:val="de-DE"/>
        </w:rPr>
        <w:t>Intrathekale Therapie</w:t>
      </w:r>
    </w:p>
    <w:p w14:paraId="42ED517F" w14:textId="197E7D49"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Die Einteilung der ZNS-Beteiligung erfolgt in CNS 1, CNS 2 a-c und CNS 3a-c (siehe Protokoll Kapitel 7.1., Seite 43ff). Patienten mit CNS 1 erhalten die im Protokoll (2009) vorgesehenen intrathekalen Injektionen. Patienten mit CNS 2 erhalten zusätzliche Injektionen in Protokoll IA. Patienten mit CNS 3 werden als CNS positiv bezeichnet und erhalten zusätzliche intrathekale Injektionen im </w:t>
      </w:r>
      <w:r w:rsidR="00945E91" w:rsidRPr="00945E91">
        <w:rPr>
          <w:rFonts w:asciiTheme="minorHAnsi" w:hAnsiTheme="minorHAnsi" w:cstheme="minorHAnsi"/>
          <w:szCs w:val="22"/>
          <w:lang w:val="de-DE"/>
        </w:rPr>
        <w:t>Protokoll</w:t>
      </w:r>
      <w:r w:rsidRPr="00945E91">
        <w:rPr>
          <w:rFonts w:asciiTheme="minorHAnsi" w:hAnsiTheme="minorHAnsi" w:cstheme="minorHAnsi"/>
          <w:szCs w:val="22"/>
          <w:lang w:val="de-DE"/>
        </w:rPr>
        <w:t xml:space="preserve"> IA und während der Reintensivierung. In CATO sind die entsprechenden intrathekalen Gaben hinterlegt. </w:t>
      </w:r>
    </w:p>
    <w:p w14:paraId="255C4324" w14:textId="77777777" w:rsidR="005754D0" w:rsidRPr="00945E91" w:rsidRDefault="005754D0" w:rsidP="005754D0">
      <w:pPr>
        <w:spacing w:line="240" w:lineRule="auto"/>
        <w:jc w:val="left"/>
        <w:rPr>
          <w:rFonts w:asciiTheme="minorHAnsi" w:hAnsiTheme="minorHAnsi" w:cstheme="minorHAnsi"/>
          <w:szCs w:val="22"/>
          <w:lang w:val="de-DE"/>
        </w:rPr>
      </w:pPr>
    </w:p>
    <w:p w14:paraId="5F8872ED"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noProof/>
          <w:lang w:eastAsia="de-AT"/>
        </w:rPr>
        <w:drawing>
          <wp:inline distT="0" distB="0" distL="0" distR="0" wp14:anchorId="7E682575" wp14:editId="7C71F00A">
            <wp:extent cx="5111332" cy="2872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5552" cy="2897593"/>
                    </a:xfrm>
                    <a:prstGeom prst="rect">
                      <a:avLst/>
                    </a:prstGeom>
                  </pic:spPr>
                </pic:pic>
              </a:graphicData>
            </a:graphic>
          </wp:inline>
        </w:drawing>
      </w:r>
    </w:p>
    <w:p w14:paraId="10ADC671" w14:textId="77777777" w:rsidR="005754D0" w:rsidRPr="00945E91" w:rsidRDefault="005754D0" w:rsidP="005754D0">
      <w:pPr>
        <w:spacing w:line="240" w:lineRule="auto"/>
        <w:jc w:val="left"/>
        <w:rPr>
          <w:rFonts w:asciiTheme="minorHAnsi" w:hAnsiTheme="minorHAnsi" w:cstheme="minorHAnsi"/>
          <w:szCs w:val="22"/>
          <w:lang w:val="de-DE"/>
        </w:rPr>
      </w:pPr>
    </w:p>
    <w:p w14:paraId="75A29671" w14:textId="3E55DE48" w:rsidR="005754D0" w:rsidRPr="00945E91" w:rsidRDefault="005754D0" w:rsidP="005754D0">
      <w:pPr>
        <w:spacing w:line="240" w:lineRule="auto"/>
        <w:jc w:val="left"/>
        <w:rPr>
          <w:rFonts w:asciiTheme="minorHAnsi" w:hAnsiTheme="minorHAnsi" w:cstheme="minorHAnsi"/>
          <w:szCs w:val="22"/>
          <w:u w:val="single"/>
          <w:lang w:val="de-DE"/>
        </w:rPr>
      </w:pPr>
    </w:p>
    <w:p w14:paraId="7972727F" w14:textId="77777777" w:rsidR="005754D0" w:rsidRPr="00945E91" w:rsidRDefault="005754D0" w:rsidP="005754D0">
      <w:pPr>
        <w:spacing w:line="240" w:lineRule="auto"/>
        <w:jc w:val="left"/>
        <w:rPr>
          <w:rFonts w:asciiTheme="minorHAnsi" w:hAnsiTheme="minorHAnsi" w:cstheme="minorHAnsi"/>
          <w:szCs w:val="22"/>
          <w:u w:val="single"/>
          <w:lang w:val="de-DE"/>
        </w:rPr>
      </w:pPr>
      <w:r w:rsidRPr="00945E91">
        <w:rPr>
          <w:rFonts w:asciiTheme="minorHAnsi" w:hAnsiTheme="minorHAnsi" w:cstheme="minorHAnsi"/>
          <w:szCs w:val="22"/>
          <w:u w:val="single"/>
          <w:lang w:val="de-DE"/>
        </w:rPr>
        <w:t xml:space="preserve">ZNS-Bestrahlung (CRT) </w:t>
      </w:r>
    </w:p>
    <w:p w14:paraId="369F5F4F"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Die CRT wird von Tag 8 bis Tag 22 der ersten Interims- oder Erhaltungsphase parallel zur Chemotherapie gegeben, etwa 2 Wochen nach Abschluss des vorangegangenen intensiven Chemotherapie-Elements. Sie umfasst das komplette Neurokranium einschließlich der ersten beiden Halswirbel (C1 und C2), den Retro-Bulbus-Raum und die komplette Schädelbasis, einschließlich der mittleren Schädelgrube.</w:t>
      </w:r>
    </w:p>
    <w:p w14:paraId="1B182634" w14:textId="77777777" w:rsidR="005754D0" w:rsidRPr="00945E91" w:rsidRDefault="005754D0" w:rsidP="005754D0">
      <w:pPr>
        <w:spacing w:line="240" w:lineRule="auto"/>
        <w:jc w:val="left"/>
        <w:rPr>
          <w:rFonts w:asciiTheme="minorHAnsi" w:hAnsiTheme="minorHAnsi" w:cstheme="minorHAnsi"/>
          <w:szCs w:val="22"/>
          <w:u w:val="single"/>
          <w:lang w:val="de-DE"/>
        </w:rPr>
      </w:pPr>
    </w:p>
    <w:p w14:paraId="087E5DD4"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Voraussetzungen für den Beginn:</w:t>
      </w:r>
    </w:p>
    <w:p w14:paraId="72E245AF"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Guter Allgemeinzustand, keine schwere Infektion</w:t>
      </w:r>
    </w:p>
    <w:p w14:paraId="6D984933"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sich erholendes (steigendes) Blutbild</w:t>
      </w:r>
    </w:p>
    <w:p w14:paraId="063D28D6"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WBC ≥1 G/L</w:t>
      </w:r>
    </w:p>
    <w:p w14:paraId="73543E3B"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Granulozyten ≥0,2 G/L</w:t>
      </w:r>
    </w:p>
    <w:p w14:paraId="01E448E3"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Thrombozyten ≥50 G/L</w:t>
      </w:r>
    </w:p>
    <w:p w14:paraId="2DCCCBDC" w14:textId="77777777" w:rsidR="005754D0" w:rsidRPr="00945E91" w:rsidRDefault="005754D0" w:rsidP="00D11A8E">
      <w:pPr>
        <w:pStyle w:val="Listenabsatz"/>
        <w:numPr>
          <w:ilvl w:val="0"/>
          <w:numId w:val="13"/>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Keine Anzeichen einer zerebralen Störung</w:t>
      </w:r>
    </w:p>
    <w:p w14:paraId="24B594E3" w14:textId="77777777" w:rsidR="005754D0" w:rsidRPr="00945E91" w:rsidRDefault="005754D0" w:rsidP="005754D0">
      <w:pPr>
        <w:spacing w:line="240" w:lineRule="auto"/>
        <w:jc w:val="left"/>
        <w:rPr>
          <w:rFonts w:asciiTheme="minorHAnsi" w:hAnsiTheme="minorHAnsi" w:cstheme="minorHAnsi"/>
          <w:szCs w:val="22"/>
          <w:lang w:val="de-DE"/>
        </w:rPr>
      </w:pPr>
    </w:p>
    <w:p w14:paraId="651D8A66" w14:textId="563B2090"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lastRenderedPageBreak/>
        <w:t xml:space="preserve">Gemäß </w:t>
      </w:r>
      <w:r w:rsidR="00245044">
        <w:rPr>
          <w:rFonts w:asciiTheme="minorHAnsi" w:hAnsiTheme="minorHAnsi" w:cstheme="minorHAnsi"/>
          <w:szCs w:val="22"/>
          <w:lang w:val="de-DE"/>
        </w:rPr>
        <w:t>AIEOP-</w:t>
      </w:r>
      <w:r w:rsidRPr="00945E91">
        <w:rPr>
          <w:rFonts w:asciiTheme="minorHAnsi" w:hAnsiTheme="minorHAnsi" w:cstheme="minorHAnsi"/>
          <w:szCs w:val="22"/>
          <w:lang w:val="de-DE"/>
        </w:rPr>
        <w:t>Protokoll 200</w:t>
      </w:r>
      <w:r w:rsidR="0088119E">
        <w:rPr>
          <w:rFonts w:asciiTheme="minorHAnsi" w:hAnsiTheme="minorHAnsi" w:cstheme="minorHAnsi"/>
          <w:szCs w:val="22"/>
          <w:lang w:val="de-DE"/>
        </w:rPr>
        <w:t>9</w:t>
      </w:r>
      <w:r w:rsidRPr="00945E91">
        <w:rPr>
          <w:rFonts w:asciiTheme="minorHAnsi" w:hAnsiTheme="minorHAnsi" w:cstheme="minorHAnsi"/>
          <w:szCs w:val="22"/>
          <w:lang w:val="de-DE"/>
        </w:rPr>
        <w:t xml:space="preserve"> erhalten Patienten mit ZNS-Beteiligung zum Zeitpunkt der Diagnose (CNS 3) eine CRT in einer Dosis von 18 Gy. Alle anderen Patienten mit Indikation zur prophylaktischen Bestrahlung gemäß nachfolgender Tabelle erhalten 12 Gy.</w:t>
      </w:r>
    </w:p>
    <w:p w14:paraId="39536543" w14:textId="77777777" w:rsidR="005754D0" w:rsidRPr="00945E91" w:rsidRDefault="005754D0" w:rsidP="005754D0">
      <w:pPr>
        <w:spacing w:line="240" w:lineRule="auto"/>
        <w:jc w:val="left"/>
        <w:rPr>
          <w:rFonts w:asciiTheme="minorHAnsi" w:hAnsiTheme="minorHAnsi" w:cstheme="minorHAnsi"/>
          <w:b/>
          <w:szCs w:val="22"/>
          <w:lang w:val="de-DE"/>
        </w:rPr>
      </w:pPr>
    </w:p>
    <w:p w14:paraId="4F609EFE"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noProof/>
          <w:lang w:eastAsia="de-AT"/>
        </w:rPr>
        <w:drawing>
          <wp:inline distT="0" distB="0" distL="0" distR="0" wp14:anchorId="3A129742" wp14:editId="7641A0E8">
            <wp:extent cx="5530532" cy="2545080"/>
            <wp:effectExtent l="19050" t="19050" r="13335" b="266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14" b="11455"/>
                    <a:stretch/>
                  </pic:blipFill>
                  <pic:spPr bwMode="auto">
                    <a:xfrm>
                      <a:off x="0" y="0"/>
                      <a:ext cx="5607128" cy="2580329"/>
                    </a:xfrm>
                    <a:prstGeom prst="rect">
                      <a:avLst/>
                    </a:prstGeom>
                    <a:ln>
                      <a:solidFill>
                        <a:schemeClr val="accent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8C06671" w14:textId="77777777" w:rsidR="005754D0" w:rsidRPr="00945E91" w:rsidRDefault="005754D0" w:rsidP="005754D0">
      <w:pPr>
        <w:spacing w:line="240" w:lineRule="auto"/>
        <w:jc w:val="left"/>
        <w:rPr>
          <w:rFonts w:asciiTheme="minorHAnsi" w:hAnsiTheme="minorHAnsi" w:cstheme="minorHAnsi"/>
          <w:szCs w:val="22"/>
          <w:lang w:val="de-DE"/>
        </w:rPr>
      </w:pPr>
    </w:p>
    <w:p w14:paraId="1826D3AC" w14:textId="77777777" w:rsidR="005754D0" w:rsidRPr="00945E91" w:rsidRDefault="005754D0" w:rsidP="005754D0">
      <w:pPr>
        <w:spacing w:line="240" w:lineRule="auto"/>
        <w:jc w:val="left"/>
        <w:rPr>
          <w:rFonts w:asciiTheme="minorHAnsi" w:hAnsiTheme="minorHAnsi" w:cstheme="minorHAnsi"/>
          <w:szCs w:val="22"/>
          <w:lang w:val="de-DE"/>
        </w:rPr>
      </w:pPr>
    </w:p>
    <w:p w14:paraId="24932010" w14:textId="77777777" w:rsidR="005754D0" w:rsidRPr="00945E91" w:rsidRDefault="005754D0" w:rsidP="005754D0">
      <w:pPr>
        <w:spacing w:line="240" w:lineRule="auto"/>
        <w:jc w:val="left"/>
        <w:rPr>
          <w:rFonts w:asciiTheme="minorHAnsi" w:hAnsiTheme="minorHAnsi" w:cstheme="minorHAnsi"/>
          <w:szCs w:val="22"/>
          <w:lang w:val="de-DE"/>
        </w:rPr>
      </w:pPr>
    </w:p>
    <w:p w14:paraId="3B41D097" w14:textId="78E508CB" w:rsidR="005754D0" w:rsidRPr="00945E91" w:rsidRDefault="000C7408" w:rsidP="000C7408">
      <w:pPr>
        <w:pStyle w:val="berschrift3"/>
        <w:rPr>
          <w:rFonts w:asciiTheme="minorHAnsi" w:hAnsiTheme="minorHAnsi" w:cstheme="minorHAnsi"/>
          <w:lang w:val="de-DE"/>
        </w:rPr>
      </w:pPr>
      <w:bookmarkStart w:id="25" w:name="_Toc70881119"/>
      <w:bookmarkStart w:id="26" w:name="_Toc74412398"/>
      <w:r w:rsidRPr="00945E91">
        <w:rPr>
          <w:rFonts w:asciiTheme="minorHAnsi" w:hAnsiTheme="minorHAnsi" w:cstheme="minorHAnsi"/>
          <w:lang w:val="de-DE"/>
        </w:rPr>
        <w:t xml:space="preserve">2.8.2. </w:t>
      </w:r>
      <w:r w:rsidR="00D21C29" w:rsidRPr="00945E91">
        <w:rPr>
          <w:rFonts w:asciiTheme="minorHAnsi" w:hAnsiTheme="minorHAnsi" w:cstheme="minorHAnsi"/>
          <w:lang w:val="de-DE"/>
        </w:rPr>
        <w:t>ZNS-Therapie</w:t>
      </w:r>
      <w:r w:rsidR="005754D0" w:rsidRPr="00945E91">
        <w:rPr>
          <w:rFonts w:asciiTheme="minorHAnsi" w:hAnsiTheme="minorHAnsi" w:cstheme="minorHAnsi"/>
          <w:lang w:val="de-DE"/>
        </w:rPr>
        <w:t xml:space="preserve"> </w:t>
      </w:r>
      <w:r w:rsidR="00D21C29" w:rsidRPr="00945E91">
        <w:rPr>
          <w:rFonts w:asciiTheme="minorHAnsi" w:hAnsiTheme="minorHAnsi" w:cstheme="minorHAnsi"/>
          <w:lang w:val="de-DE"/>
        </w:rPr>
        <w:t xml:space="preserve">bei Behandlung nach </w:t>
      </w:r>
      <w:r w:rsidR="005754D0" w:rsidRPr="00945E91">
        <w:rPr>
          <w:rFonts w:asciiTheme="minorHAnsi" w:hAnsiTheme="minorHAnsi" w:cstheme="minorHAnsi"/>
          <w:lang w:val="de-DE"/>
        </w:rPr>
        <w:t>GMALL-Protokolle</w:t>
      </w:r>
      <w:r w:rsidR="00D21C29" w:rsidRPr="00945E91">
        <w:rPr>
          <w:rFonts w:asciiTheme="minorHAnsi" w:hAnsiTheme="minorHAnsi" w:cstheme="minorHAnsi"/>
          <w:lang w:val="de-DE"/>
        </w:rPr>
        <w:t>n</w:t>
      </w:r>
      <w:bookmarkEnd w:id="25"/>
      <w:bookmarkEnd w:id="26"/>
    </w:p>
    <w:p w14:paraId="66EC1555" w14:textId="77777777" w:rsidR="005754D0" w:rsidRPr="00945E91" w:rsidRDefault="005754D0" w:rsidP="005754D0">
      <w:pPr>
        <w:spacing w:line="240" w:lineRule="auto"/>
        <w:jc w:val="left"/>
        <w:rPr>
          <w:rFonts w:asciiTheme="minorHAnsi" w:hAnsiTheme="minorHAnsi" w:cstheme="minorHAnsi"/>
          <w:szCs w:val="22"/>
          <w:lang w:val="de-DE"/>
        </w:rPr>
      </w:pPr>
    </w:p>
    <w:p w14:paraId="09FB4DFA" w14:textId="77777777" w:rsidR="005754D0" w:rsidRPr="00945E91" w:rsidRDefault="005754D0" w:rsidP="005754D0">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Folgende Befunde definieren einen ZNS-Befall in den GMALL-Protokollen:</w:t>
      </w:r>
    </w:p>
    <w:p w14:paraId="08EB191C" w14:textId="77777777" w:rsidR="005754D0" w:rsidRPr="00945E91" w:rsidRDefault="005754D0" w:rsidP="00D11A8E">
      <w:pPr>
        <w:pStyle w:val="Listenabsatz"/>
        <w:numPr>
          <w:ilvl w:val="0"/>
          <w:numId w:val="9"/>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Liquor: Zellzahl &gt; 5/µl und Nachweis von Leukämiezellen (Morphologie, Immunologie) </w:t>
      </w:r>
      <w:r w:rsidRPr="00945E91">
        <w:rPr>
          <w:rFonts w:asciiTheme="minorHAnsi" w:hAnsiTheme="minorHAnsi" w:cstheme="minorHAnsi"/>
          <w:b/>
          <w:szCs w:val="22"/>
          <w:lang w:val="de-DE"/>
        </w:rPr>
        <w:t>oder</w:t>
      </w:r>
    </w:p>
    <w:p w14:paraId="3E2EFDDF" w14:textId="77777777" w:rsidR="005754D0" w:rsidRPr="00945E91" w:rsidRDefault="005754D0" w:rsidP="00D11A8E">
      <w:pPr>
        <w:pStyle w:val="Listenabsatz"/>
        <w:numPr>
          <w:ilvl w:val="0"/>
          <w:numId w:val="9"/>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Liquor: Eindeutiger Nachweis von leukämischen Blasten; dann kann auch bei einer Zellzahl &lt; 5/µl ein ZNS-Befall angenommen werden; dies gilt allerdings nicht bei blutiger Kontamination des Liquors. </w:t>
      </w:r>
    </w:p>
    <w:p w14:paraId="2BCE1E6B" w14:textId="77777777" w:rsidR="005754D0" w:rsidRPr="00945E91" w:rsidRDefault="005754D0" w:rsidP="00D11A8E">
      <w:pPr>
        <w:pStyle w:val="Listenabsatz"/>
        <w:numPr>
          <w:ilvl w:val="0"/>
          <w:numId w:val="9"/>
        </w:num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t>Ein ZNS-Befall wird auch angenommen bei Nachweis einer Raumforderung im MRT/CT im Gehirn, Rückenmark oder Meningen.</w:t>
      </w:r>
    </w:p>
    <w:p w14:paraId="1D71B083" w14:textId="77777777" w:rsidR="005754D0" w:rsidRPr="00945E91" w:rsidRDefault="005754D0" w:rsidP="005754D0">
      <w:pPr>
        <w:spacing w:line="240" w:lineRule="auto"/>
        <w:jc w:val="left"/>
        <w:rPr>
          <w:rFonts w:asciiTheme="minorHAnsi" w:hAnsiTheme="minorHAnsi" w:cstheme="minorHAnsi"/>
          <w:szCs w:val="22"/>
          <w:lang w:val="de-DE"/>
        </w:rPr>
      </w:pPr>
    </w:p>
    <w:p w14:paraId="2D8D4990" w14:textId="1777350C" w:rsidR="005754D0" w:rsidRPr="00945E91" w:rsidRDefault="005754D0" w:rsidP="005754D0">
      <w:pPr>
        <w:spacing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 xml:space="preserve">Bei unklaren Fällen (blutiger Liquor) siehe Vorgaben im </w:t>
      </w:r>
      <w:r w:rsidR="00245044">
        <w:rPr>
          <w:rFonts w:asciiTheme="minorHAnsi" w:hAnsiTheme="minorHAnsi" w:cstheme="minorHAnsi"/>
          <w:szCs w:val="22"/>
          <w:lang w:val="de-DE"/>
        </w:rPr>
        <w:t>„</w:t>
      </w:r>
      <w:r w:rsidR="0088119E" w:rsidRPr="00245044">
        <w:rPr>
          <w:rFonts w:asciiTheme="minorHAnsi" w:hAnsiTheme="minorHAnsi" w:cstheme="minorHAnsi"/>
          <w:i/>
          <w:szCs w:val="22"/>
          <w:lang w:val="de-DE"/>
        </w:rPr>
        <w:t xml:space="preserve">GMALL 2017 </w:t>
      </w:r>
      <w:r w:rsidRPr="00245044">
        <w:rPr>
          <w:rFonts w:asciiTheme="minorHAnsi" w:hAnsiTheme="minorHAnsi" w:cstheme="minorHAnsi"/>
          <w:i/>
          <w:szCs w:val="22"/>
          <w:lang w:val="de-DE"/>
        </w:rPr>
        <w:t>Konsensuspaper für Patienten</w:t>
      </w:r>
      <w:r w:rsidR="00245044">
        <w:rPr>
          <w:rFonts w:asciiTheme="minorHAnsi" w:hAnsiTheme="minorHAnsi" w:cstheme="minorHAnsi"/>
          <w:i/>
          <w:szCs w:val="22"/>
          <w:lang w:val="de-DE"/>
        </w:rPr>
        <w:t xml:space="preserve"> mit ALL/LBL bei Erwachsenen/Adoleszenten (18-55 Jahre)“</w:t>
      </w:r>
      <w:r w:rsidRPr="00945E91">
        <w:rPr>
          <w:rFonts w:asciiTheme="minorHAnsi" w:hAnsiTheme="minorHAnsi" w:cstheme="minorHAnsi"/>
          <w:szCs w:val="22"/>
          <w:lang w:val="de-DE"/>
        </w:rPr>
        <w:t xml:space="preserve"> (S. 56/57).</w:t>
      </w:r>
    </w:p>
    <w:p w14:paraId="204BE717" w14:textId="77777777" w:rsidR="005754D0" w:rsidRPr="00945E91" w:rsidRDefault="005754D0" w:rsidP="005754D0">
      <w:pPr>
        <w:spacing w:line="276" w:lineRule="auto"/>
        <w:jc w:val="left"/>
        <w:rPr>
          <w:rFonts w:asciiTheme="minorHAnsi" w:hAnsiTheme="minorHAnsi" w:cstheme="minorHAnsi"/>
          <w:szCs w:val="22"/>
          <w:lang w:val="de-DE"/>
        </w:rPr>
      </w:pPr>
    </w:p>
    <w:p w14:paraId="1AED25AA" w14:textId="77777777" w:rsidR="005754D0" w:rsidRPr="00945E91" w:rsidRDefault="005754D0" w:rsidP="005754D0">
      <w:pPr>
        <w:spacing w:line="276" w:lineRule="auto"/>
        <w:jc w:val="left"/>
        <w:rPr>
          <w:rFonts w:asciiTheme="minorHAnsi" w:hAnsiTheme="minorHAnsi" w:cstheme="minorHAnsi"/>
          <w:szCs w:val="22"/>
          <w:u w:val="single"/>
          <w:lang w:val="de-DE"/>
        </w:rPr>
      </w:pPr>
      <w:r w:rsidRPr="00945E91">
        <w:rPr>
          <w:rFonts w:asciiTheme="minorHAnsi" w:hAnsiTheme="minorHAnsi" w:cstheme="minorHAnsi"/>
          <w:szCs w:val="22"/>
          <w:u w:val="single"/>
          <w:lang w:val="de-DE"/>
        </w:rPr>
        <w:t>Intrathekale Therapie</w:t>
      </w:r>
    </w:p>
    <w:p w14:paraId="16CAA91A" w14:textId="275DCB86" w:rsidR="005754D0" w:rsidRPr="00945E91" w:rsidRDefault="005754D0" w:rsidP="005754D0">
      <w:pPr>
        <w:spacing w:line="276" w:lineRule="auto"/>
        <w:jc w:val="left"/>
        <w:rPr>
          <w:rFonts w:asciiTheme="minorHAnsi" w:hAnsiTheme="minorHAnsi" w:cstheme="minorHAnsi"/>
          <w:szCs w:val="22"/>
          <w:lang w:val="de-DE"/>
        </w:rPr>
      </w:pPr>
      <w:r w:rsidRPr="00945E91">
        <w:rPr>
          <w:rFonts w:asciiTheme="minorHAnsi" w:hAnsiTheme="minorHAnsi" w:cstheme="minorHAnsi"/>
          <w:sz w:val="20"/>
          <w:lang w:val="de-DE"/>
        </w:rPr>
        <w:t>In den GMALL-Protokollen zusätzlich zur Chemotherapie von Beginn an eine intrathekale Dreifach-Kombination</w:t>
      </w:r>
      <w:r w:rsidR="000D6C7F">
        <w:rPr>
          <w:rFonts w:asciiTheme="minorHAnsi" w:hAnsiTheme="minorHAnsi" w:cstheme="minorHAnsi"/>
          <w:sz w:val="20"/>
          <w:lang w:val="de-DE"/>
        </w:rPr>
        <w:t xml:space="preserve"> bei initialem ZNS Befall</w:t>
      </w:r>
      <w:r w:rsidRPr="00945E91">
        <w:rPr>
          <w:rFonts w:asciiTheme="minorHAnsi" w:hAnsiTheme="minorHAnsi" w:cstheme="minorHAnsi"/>
          <w:sz w:val="20"/>
          <w:lang w:val="de-DE"/>
        </w:rPr>
        <w:t xml:space="preserve"> (2x/Wo bis Liquor blastenfrei, anschließend noch 1 weitere Gabe); anschließend weitere Prophylaxe gemäß Protokoll; NW: protahierte Zytopenie.</w:t>
      </w:r>
    </w:p>
    <w:p w14:paraId="77C602B7" w14:textId="77777777" w:rsidR="005754D0" w:rsidRPr="00945E91" w:rsidRDefault="005754D0" w:rsidP="005754D0">
      <w:pPr>
        <w:spacing w:line="240" w:lineRule="auto"/>
        <w:jc w:val="left"/>
        <w:rPr>
          <w:rFonts w:asciiTheme="minorHAnsi" w:hAnsiTheme="minorHAnsi" w:cstheme="minorHAnsi"/>
          <w:szCs w:val="22"/>
          <w:lang w:val="de-DE"/>
        </w:rPr>
      </w:pPr>
    </w:p>
    <w:p w14:paraId="02631022" w14:textId="77777777" w:rsidR="005754D0" w:rsidRPr="00945E91" w:rsidRDefault="005754D0" w:rsidP="005754D0">
      <w:pPr>
        <w:spacing w:line="276" w:lineRule="auto"/>
        <w:jc w:val="left"/>
        <w:rPr>
          <w:rFonts w:asciiTheme="minorHAnsi" w:hAnsiTheme="minorHAnsi" w:cstheme="minorHAnsi"/>
          <w:szCs w:val="22"/>
          <w:u w:val="single"/>
          <w:lang w:val="de-DE"/>
        </w:rPr>
      </w:pPr>
      <w:r w:rsidRPr="00945E91">
        <w:rPr>
          <w:rFonts w:asciiTheme="minorHAnsi" w:hAnsiTheme="minorHAnsi" w:cstheme="minorHAnsi"/>
          <w:szCs w:val="22"/>
          <w:u w:val="single"/>
          <w:lang w:val="de-DE"/>
        </w:rPr>
        <w:t>ZNS-Bestrahlung</w:t>
      </w:r>
    </w:p>
    <w:p w14:paraId="5389EB6F" w14:textId="51BC5ECB" w:rsidR="003655E2" w:rsidRDefault="005754D0" w:rsidP="005754D0">
      <w:pPr>
        <w:pStyle w:val="Textkrper-Einzug2"/>
        <w:spacing w:after="0" w:line="276" w:lineRule="auto"/>
        <w:ind w:left="0"/>
        <w:jc w:val="both"/>
        <w:rPr>
          <w:rFonts w:asciiTheme="minorHAnsi" w:hAnsiTheme="minorHAnsi" w:cstheme="minorHAnsi"/>
          <w:szCs w:val="22"/>
          <w:lang w:val="de-DE"/>
        </w:rPr>
      </w:pPr>
      <w:r w:rsidRPr="00945E91">
        <w:rPr>
          <w:rFonts w:asciiTheme="minorHAnsi" w:hAnsiTheme="minorHAnsi" w:cstheme="minorHAnsi"/>
          <w:lang w:val="de-DE"/>
        </w:rPr>
        <w:t>Eine ZNS-Bestrahlung (24 Gy)</w:t>
      </w:r>
      <w:r w:rsidRPr="00945E91">
        <w:rPr>
          <w:rFonts w:asciiTheme="minorHAnsi" w:hAnsiTheme="minorHAnsi" w:cstheme="minorHAnsi"/>
          <w:sz w:val="18"/>
          <w:lang w:val="de-DE"/>
        </w:rPr>
        <w:t xml:space="preserve"> ist </w:t>
      </w:r>
      <w:r w:rsidRPr="00945E91">
        <w:rPr>
          <w:rFonts w:asciiTheme="minorHAnsi" w:hAnsiTheme="minorHAnsi" w:cstheme="minorHAnsi"/>
          <w:lang w:val="de-DE"/>
        </w:rPr>
        <w:t>in der Induktionsphase II bei allen Patienten (18-55 Jahre) mit Ph-negativen ALL vorgesehen. Die ZNS-Prophylaxe ist effektiv: ZNS-Rezidivrate &lt;2% (überwiegend bei T-ALL). Bei Ph+ ALL mit gesichertem ZNS-Befall bleibt die ZNS-Bestrahlung eine Einzelfallentscheidung</w:t>
      </w:r>
      <w:r w:rsidRPr="00945E91">
        <w:rPr>
          <w:rFonts w:asciiTheme="minorHAnsi" w:hAnsiTheme="minorHAnsi" w:cstheme="minorHAnsi"/>
          <w:szCs w:val="22"/>
          <w:lang w:val="de-DE"/>
        </w:rPr>
        <w:t>. Genauere Informationen finden sich im Kapitel 3 in den entsprechenden GMALL-Therapiealgorithmen.</w:t>
      </w:r>
    </w:p>
    <w:p w14:paraId="428D661E" w14:textId="0E0D27FC" w:rsidR="00463666" w:rsidRDefault="00463666" w:rsidP="005754D0">
      <w:pPr>
        <w:pStyle w:val="Textkrper-Einzug2"/>
        <w:spacing w:after="0" w:line="276" w:lineRule="auto"/>
        <w:ind w:left="0"/>
        <w:jc w:val="both"/>
        <w:rPr>
          <w:rFonts w:asciiTheme="minorHAnsi" w:hAnsiTheme="minorHAnsi" w:cstheme="minorHAnsi"/>
          <w:color w:val="000000" w:themeColor="text1"/>
          <w:szCs w:val="22"/>
          <w:lang w:val="de-DE"/>
        </w:rPr>
      </w:pPr>
    </w:p>
    <w:p w14:paraId="29C3A4F3" w14:textId="77777777" w:rsidR="00463666" w:rsidRPr="00945E91" w:rsidRDefault="00463666" w:rsidP="005754D0">
      <w:pPr>
        <w:pStyle w:val="Textkrper-Einzug2"/>
        <w:spacing w:after="0" w:line="276" w:lineRule="auto"/>
        <w:ind w:left="0"/>
        <w:jc w:val="both"/>
        <w:rPr>
          <w:rFonts w:asciiTheme="minorHAnsi" w:hAnsiTheme="minorHAnsi" w:cstheme="minorHAnsi"/>
          <w:color w:val="000000" w:themeColor="text1"/>
          <w:szCs w:val="22"/>
          <w:lang w:val="de-DE"/>
        </w:rPr>
      </w:pPr>
    </w:p>
    <w:p w14:paraId="5389EB70" w14:textId="2F9BD23B" w:rsidR="003655E2" w:rsidRPr="00945E91" w:rsidRDefault="003655E2" w:rsidP="000C0C21">
      <w:pPr>
        <w:pStyle w:val="Textkrper-Einzug2"/>
        <w:spacing w:after="0" w:line="276" w:lineRule="auto"/>
        <w:ind w:left="0"/>
        <w:rPr>
          <w:rFonts w:asciiTheme="minorHAnsi" w:hAnsiTheme="minorHAnsi" w:cstheme="minorHAnsi"/>
          <w:color w:val="000000" w:themeColor="text1"/>
          <w:szCs w:val="22"/>
          <w:lang w:val="de-DE"/>
        </w:rPr>
      </w:pPr>
    </w:p>
    <w:p w14:paraId="5389EBF9" w14:textId="0F28C322" w:rsidR="003655E2" w:rsidRPr="00945E91" w:rsidRDefault="003655E2" w:rsidP="00D11A8E">
      <w:pPr>
        <w:pStyle w:val="berschrift1"/>
        <w:numPr>
          <w:ilvl w:val="0"/>
          <w:numId w:val="3"/>
        </w:numPr>
        <w:ind w:hanging="720"/>
        <w:jc w:val="both"/>
        <w:rPr>
          <w:rFonts w:cstheme="minorHAnsi"/>
          <w:color w:val="000000" w:themeColor="text1"/>
          <w:lang w:val="de-DE"/>
        </w:rPr>
      </w:pPr>
      <w:bookmarkStart w:id="27" w:name="_Toc408380475"/>
      <w:bookmarkStart w:id="28" w:name="_Toc74412399"/>
      <w:bookmarkStart w:id="29" w:name="_Toc367183617"/>
      <w:bookmarkStart w:id="30" w:name="_Toc367183855"/>
      <w:r w:rsidRPr="00945E91">
        <w:rPr>
          <w:rFonts w:cstheme="minorHAnsi"/>
          <w:color w:val="000000" w:themeColor="text1"/>
          <w:lang w:val="de-DE"/>
        </w:rPr>
        <w:lastRenderedPageBreak/>
        <w:t>Behandlungsplan</w:t>
      </w:r>
      <w:bookmarkEnd w:id="27"/>
      <w:bookmarkEnd w:id="28"/>
      <w:r w:rsidRPr="00945E91">
        <w:rPr>
          <w:rFonts w:cstheme="minorHAnsi"/>
          <w:color w:val="000000" w:themeColor="text1"/>
          <w:lang w:val="de-DE"/>
        </w:rPr>
        <w:t xml:space="preserve"> </w:t>
      </w:r>
      <w:bookmarkEnd w:id="29"/>
      <w:bookmarkEnd w:id="30"/>
    </w:p>
    <w:p w14:paraId="6118909E" w14:textId="2D60DE89" w:rsidR="005754D0" w:rsidRPr="00945E91" w:rsidRDefault="005754D0" w:rsidP="005754D0">
      <w:pPr>
        <w:pStyle w:val="berschrift2"/>
        <w:rPr>
          <w:rFonts w:asciiTheme="minorHAnsi" w:hAnsiTheme="minorHAnsi" w:cstheme="minorHAnsi"/>
          <w:lang w:val="de-DE"/>
        </w:rPr>
      </w:pPr>
      <w:bookmarkStart w:id="31" w:name="_Toc70881121"/>
      <w:bookmarkStart w:id="32" w:name="_Toc74412400"/>
      <w:r w:rsidRPr="00945E91">
        <w:rPr>
          <w:rFonts w:asciiTheme="minorHAnsi" w:hAnsiTheme="minorHAnsi" w:cstheme="minorHAnsi"/>
          <w:lang w:val="de-DE"/>
        </w:rPr>
        <w:t>3.1</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Übersichtsplan bei Erstdiagnose</w:t>
      </w:r>
      <w:bookmarkEnd w:id="31"/>
      <w:bookmarkEnd w:id="32"/>
    </w:p>
    <w:p w14:paraId="0670F5BD"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368FFC33"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object w:dxaOrig="10777" w:dyaOrig="8413" w14:anchorId="752ED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366pt" o:ole="">
            <v:imagedata r:id="rId16" o:title=""/>
          </v:shape>
          <o:OLEObject Type="Embed" ProgID="Visio.Drawing.15" ShapeID="_x0000_i1025" DrawAspect="Content" ObjectID="_1685180240" r:id="rId17"/>
        </w:object>
      </w:r>
    </w:p>
    <w:p w14:paraId="4CCAEE45"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20239A52" w14:textId="77777777" w:rsidR="005754D0" w:rsidRPr="00945E91" w:rsidRDefault="005754D0" w:rsidP="005754D0">
      <w:pPr>
        <w:spacing w:line="240" w:lineRule="auto"/>
        <w:jc w:val="left"/>
        <w:rPr>
          <w:rFonts w:asciiTheme="minorHAnsi" w:hAnsiTheme="minorHAnsi" w:cstheme="minorHAnsi"/>
          <w:b/>
          <w:lang w:val="de-DE"/>
        </w:rPr>
      </w:pPr>
    </w:p>
    <w:p w14:paraId="14EE6367" w14:textId="304442AA" w:rsidR="005754D0" w:rsidRPr="00945E91" w:rsidRDefault="005754D0" w:rsidP="005754D0">
      <w:pPr>
        <w:pStyle w:val="berschrift2"/>
        <w:ind w:left="851" w:hanging="851"/>
        <w:rPr>
          <w:rFonts w:asciiTheme="minorHAnsi" w:hAnsiTheme="minorHAnsi" w:cstheme="minorHAnsi"/>
          <w:i w:val="0"/>
          <w:lang w:val="de-DE"/>
        </w:rPr>
      </w:pPr>
      <w:bookmarkStart w:id="33" w:name="_Toc70881122"/>
      <w:bookmarkStart w:id="34" w:name="_Toc74412401"/>
      <w:r w:rsidRPr="00945E91">
        <w:rPr>
          <w:rFonts w:asciiTheme="minorHAnsi" w:hAnsiTheme="minorHAnsi" w:cstheme="minorHAnsi"/>
          <w:lang w:val="de-DE"/>
        </w:rPr>
        <w:t>3.2</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Praxisrelevante</w:t>
      </w:r>
      <w:r w:rsidR="00D21C29" w:rsidRPr="00945E91">
        <w:rPr>
          <w:rFonts w:asciiTheme="minorHAnsi" w:hAnsiTheme="minorHAnsi" w:cstheme="minorHAnsi"/>
          <w:lang w:val="de-DE"/>
        </w:rPr>
        <w:t xml:space="preserve">s Basiswissen </w:t>
      </w:r>
      <w:r w:rsidRPr="00945E91">
        <w:rPr>
          <w:rFonts w:asciiTheme="minorHAnsi" w:hAnsiTheme="minorHAnsi" w:cstheme="minorHAnsi"/>
          <w:lang w:val="de-DE"/>
        </w:rPr>
        <w:t xml:space="preserve">für AIEOP- </w:t>
      </w:r>
      <w:r w:rsidR="00D21C29" w:rsidRPr="00945E91">
        <w:rPr>
          <w:rFonts w:asciiTheme="minorHAnsi" w:hAnsiTheme="minorHAnsi" w:cstheme="minorHAnsi"/>
          <w:lang w:val="de-DE"/>
        </w:rPr>
        <w:t>und</w:t>
      </w:r>
      <w:r w:rsidRPr="00945E91">
        <w:rPr>
          <w:rFonts w:asciiTheme="minorHAnsi" w:hAnsiTheme="minorHAnsi" w:cstheme="minorHAnsi"/>
          <w:lang w:val="de-DE"/>
        </w:rPr>
        <w:t xml:space="preserve"> GMALL-Protokolle</w:t>
      </w:r>
      <w:bookmarkEnd w:id="33"/>
      <w:bookmarkEnd w:id="34"/>
    </w:p>
    <w:p w14:paraId="18681C12" w14:textId="77777777" w:rsidR="005754D0" w:rsidRPr="00945E91" w:rsidRDefault="005754D0" w:rsidP="00D11A8E">
      <w:pPr>
        <w:pStyle w:val="Textkrper-Einzug2"/>
        <w:numPr>
          <w:ilvl w:val="0"/>
          <w:numId w:val="28"/>
        </w:numPr>
        <w:spacing w:before="120" w:after="0" w:line="276" w:lineRule="auto"/>
        <w:ind w:left="0" w:hanging="284"/>
        <w:jc w:val="left"/>
        <w:rPr>
          <w:rFonts w:asciiTheme="minorHAnsi" w:hAnsiTheme="minorHAnsi" w:cstheme="minorHAnsi"/>
          <w:lang w:val="de-DE"/>
        </w:rPr>
      </w:pPr>
      <w:r w:rsidRPr="00945E91">
        <w:rPr>
          <w:rFonts w:asciiTheme="minorHAnsi" w:hAnsiTheme="minorHAnsi" w:cstheme="minorHAnsi"/>
          <w:u w:val="single"/>
          <w:lang w:val="de-DE"/>
        </w:rPr>
        <w:t>Aufklärung</w:t>
      </w:r>
      <w:r w:rsidRPr="00945E91">
        <w:rPr>
          <w:rFonts w:asciiTheme="minorHAnsi" w:hAnsiTheme="minorHAnsi" w:cstheme="minorHAnsi"/>
          <w:lang w:val="de-DE"/>
        </w:rPr>
        <w:t xml:space="preserve"> über eine Therapiedauer von 2,5 Jahren bei Standardrisiko und Fertilitätsmaßnahmen!</w:t>
      </w:r>
    </w:p>
    <w:p w14:paraId="6D09941C" w14:textId="77777777" w:rsidR="005754D0" w:rsidRPr="00945E91" w:rsidRDefault="005754D0" w:rsidP="00D11A8E">
      <w:pPr>
        <w:pStyle w:val="Textkrper-Einzug2"/>
        <w:numPr>
          <w:ilvl w:val="0"/>
          <w:numId w:val="28"/>
        </w:numPr>
        <w:spacing w:before="120" w:after="0" w:line="276" w:lineRule="auto"/>
        <w:ind w:left="0" w:hanging="284"/>
        <w:jc w:val="left"/>
        <w:rPr>
          <w:rFonts w:asciiTheme="minorHAnsi" w:hAnsiTheme="minorHAnsi" w:cstheme="minorHAnsi"/>
          <w:sz w:val="20"/>
          <w:lang w:val="de-DE"/>
        </w:rPr>
      </w:pPr>
      <w:r w:rsidRPr="00945E91">
        <w:rPr>
          <w:rFonts w:asciiTheme="minorHAnsi" w:hAnsiTheme="minorHAnsi" w:cstheme="minorHAnsi"/>
          <w:u w:val="single"/>
          <w:lang w:val="de-DE"/>
        </w:rPr>
        <w:t>Thrombozyten-</w:t>
      </w:r>
      <w:r w:rsidRPr="00945E91">
        <w:rPr>
          <w:rFonts w:asciiTheme="minorHAnsi" w:hAnsiTheme="minorHAnsi" w:cstheme="minorHAnsi"/>
          <w:sz w:val="20"/>
          <w:u w:val="single"/>
          <w:lang w:val="de-DE"/>
        </w:rPr>
        <w:t xml:space="preserve"> und Erythrozytensubstitution</w:t>
      </w:r>
      <w:r w:rsidRPr="00945E91">
        <w:rPr>
          <w:rFonts w:asciiTheme="minorHAnsi" w:hAnsiTheme="minorHAnsi" w:cstheme="minorHAnsi"/>
          <w:sz w:val="20"/>
          <w:lang w:val="de-DE"/>
        </w:rPr>
        <w:t xml:space="preserve"> bei PLT &lt; 10 G/L bzw. Hb &lt; 8 g/dl </w:t>
      </w:r>
      <w:r w:rsidRPr="00945E91">
        <w:rPr>
          <w:rFonts w:asciiTheme="minorHAnsi" w:hAnsiTheme="minorHAnsi" w:cstheme="minorHAnsi"/>
          <w:sz w:val="20"/>
          <w:u w:val="single"/>
          <w:lang w:val="de-DE"/>
        </w:rPr>
        <w:t>und</w:t>
      </w:r>
      <w:r w:rsidRPr="00945E91">
        <w:rPr>
          <w:rFonts w:asciiTheme="minorHAnsi" w:hAnsiTheme="minorHAnsi" w:cstheme="minorHAnsi"/>
          <w:sz w:val="20"/>
          <w:lang w:val="de-DE"/>
        </w:rPr>
        <w:t xml:space="preserve"> Anämie-Symptomatik; höhere Zielwerte bei Komplikationen (Infekt, Blutung, DIC) </w:t>
      </w:r>
    </w:p>
    <w:p w14:paraId="2383F182" w14:textId="77777777" w:rsidR="005754D0" w:rsidRPr="00945E91" w:rsidRDefault="005754D0" w:rsidP="00D11A8E">
      <w:pPr>
        <w:pStyle w:val="Textkrper-Einzug2"/>
        <w:numPr>
          <w:ilvl w:val="0"/>
          <w:numId w:val="28"/>
        </w:numPr>
        <w:spacing w:before="120" w:after="0" w:line="276" w:lineRule="auto"/>
        <w:ind w:left="0" w:hanging="284"/>
        <w:jc w:val="left"/>
        <w:rPr>
          <w:rFonts w:asciiTheme="minorHAnsi" w:hAnsiTheme="minorHAnsi" w:cstheme="minorHAnsi"/>
          <w:lang w:val="de-DE"/>
        </w:rPr>
      </w:pPr>
      <w:r w:rsidRPr="00945E91">
        <w:rPr>
          <w:rFonts w:asciiTheme="minorHAnsi" w:hAnsiTheme="minorHAnsi" w:cstheme="minorHAnsi"/>
          <w:u w:val="single"/>
          <w:lang w:val="de-DE"/>
        </w:rPr>
        <w:t>Infektprophylaxen und Monitoring gemäß Leitlinie „Antimikrobielle Prophylaxe und Therapie“</w:t>
      </w:r>
    </w:p>
    <w:p w14:paraId="17D4BB1B" w14:textId="77777777" w:rsidR="005754D0" w:rsidRPr="00945E91" w:rsidRDefault="005754D0" w:rsidP="00D11A8E">
      <w:pPr>
        <w:pStyle w:val="Textkrper-Einzug2"/>
        <w:numPr>
          <w:ilvl w:val="0"/>
          <w:numId w:val="28"/>
        </w:numPr>
        <w:spacing w:before="120" w:after="0" w:line="276" w:lineRule="auto"/>
        <w:ind w:left="0" w:hanging="284"/>
        <w:jc w:val="left"/>
        <w:rPr>
          <w:rFonts w:asciiTheme="minorHAnsi" w:hAnsiTheme="minorHAnsi" w:cstheme="minorHAnsi"/>
          <w:sz w:val="20"/>
          <w:lang w:val="de-DE"/>
        </w:rPr>
      </w:pPr>
      <w:r w:rsidRPr="00945E91">
        <w:rPr>
          <w:rFonts w:asciiTheme="minorHAnsi" w:hAnsiTheme="minorHAnsi" w:cstheme="minorHAnsi"/>
          <w:b/>
          <w:u w:val="single"/>
          <w:lang w:val="de-DE"/>
        </w:rPr>
        <w:t>Wiederholung der CD20-Bestimmung bei CD20-negativer ALL (&lt;20%) nach Beendigung der Vorphase</w:t>
      </w:r>
      <w:r w:rsidRPr="00945E91">
        <w:rPr>
          <w:rFonts w:asciiTheme="minorHAnsi" w:hAnsiTheme="minorHAnsi" w:cstheme="minorHAnsi"/>
          <w:lang w:val="de-DE"/>
        </w:rPr>
        <w:t xml:space="preserve">, </w:t>
      </w:r>
      <w:r w:rsidRPr="00945E91">
        <w:rPr>
          <w:rFonts w:asciiTheme="minorHAnsi" w:hAnsiTheme="minorHAnsi" w:cstheme="minorHAnsi"/>
          <w:sz w:val="20"/>
          <w:lang w:val="de-DE"/>
        </w:rPr>
        <w:t>da es durch die Steroidtherapie ggf. zu einer Hochregulation der CD20-Expression kommen kann! Falls keine Blasten im PB, ist eine neuerliche KMP erforderlich.</w:t>
      </w:r>
    </w:p>
    <w:p w14:paraId="571ABB19" w14:textId="77777777" w:rsidR="005754D0" w:rsidRPr="00945E91" w:rsidRDefault="005754D0" w:rsidP="00D11A8E">
      <w:pPr>
        <w:pStyle w:val="Textkrper-Einzug2"/>
        <w:numPr>
          <w:ilvl w:val="0"/>
          <w:numId w:val="28"/>
        </w:numPr>
        <w:spacing w:before="120" w:after="0" w:line="276" w:lineRule="auto"/>
        <w:ind w:left="0" w:hanging="284"/>
        <w:jc w:val="left"/>
        <w:rPr>
          <w:rFonts w:asciiTheme="minorHAnsi" w:hAnsiTheme="minorHAnsi" w:cstheme="minorHAnsi"/>
          <w:sz w:val="20"/>
          <w:lang w:val="de-DE"/>
        </w:rPr>
      </w:pPr>
      <w:r w:rsidRPr="00945E91">
        <w:rPr>
          <w:rFonts w:asciiTheme="minorHAnsi" w:hAnsiTheme="minorHAnsi" w:cstheme="minorHAnsi"/>
          <w:b/>
          <w:u w:val="single"/>
          <w:lang w:val="de-DE"/>
        </w:rPr>
        <w:t>Knochenmarkpunktionen:</w:t>
      </w:r>
      <w:r w:rsidRPr="00945E91">
        <w:rPr>
          <w:rFonts w:asciiTheme="minorHAnsi" w:hAnsiTheme="minorHAnsi" w:cstheme="minorHAnsi"/>
          <w:sz w:val="20"/>
          <w:lang w:val="de-DE"/>
        </w:rPr>
        <w:t xml:space="preserve"> </w:t>
      </w:r>
    </w:p>
    <w:p w14:paraId="37888214"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AIEOP-Protokolle: siehe Kapitel 3.3.</w:t>
      </w:r>
    </w:p>
    <w:p w14:paraId="0AF3047F" w14:textId="77777777" w:rsidR="005754D0" w:rsidRPr="00945E91" w:rsidRDefault="005754D0" w:rsidP="00D11A8E">
      <w:pPr>
        <w:pStyle w:val="Textkrper-Einzug2"/>
        <w:numPr>
          <w:ilvl w:val="1"/>
          <w:numId w:val="11"/>
        </w:numPr>
        <w:spacing w:after="0" w:line="276" w:lineRule="auto"/>
        <w:ind w:left="851" w:hanging="284"/>
        <w:jc w:val="left"/>
        <w:rPr>
          <w:rFonts w:asciiTheme="minorHAnsi" w:hAnsiTheme="minorHAnsi" w:cstheme="minorHAnsi"/>
          <w:szCs w:val="22"/>
          <w:lang w:val="de-DE"/>
        </w:rPr>
      </w:pPr>
      <w:r w:rsidRPr="00945E91">
        <w:rPr>
          <w:rFonts w:asciiTheme="minorHAnsi" w:hAnsiTheme="minorHAnsi" w:cstheme="minorHAnsi"/>
          <w:szCs w:val="22"/>
          <w:lang w:val="de-DE"/>
        </w:rPr>
        <w:t xml:space="preserve">GMALL-Protokolle: bei Diagnose, vor Induktion II, vor und nach Konsolidierung I, vor Reinduktion und vor Beginn der Erhaltungstherapie, dann alle 3 Monate. Das Restaging extramedullärer RF/Lymphome sollte bei jeder KMP erfolgen. </w:t>
      </w:r>
    </w:p>
    <w:p w14:paraId="28003DB3" w14:textId="77777777" w:rsidR="005754D0" w:rsidRPr="00463666" w:rsidRDefault="005754D0" w:rsidP="00D11A8E">
      <w:pPr>
        <w:pStyle w:val="Textkrper-Einzug2"/>
        <w:numPr>
          <w:ilvl w:val="0"/>
          <w:numId w:val="28"/>
        </w:numPr>
        <w:spacing w:before="120" w:after="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lastRenderedPageBreak/>
        <w:t>Liquorabnahme an Tag 1:</w:t>
      </w:r>
      <w:r w:rsidRPr="00463666">
        <w:rPr>
          <w:rFonts w:asciiTheme="minorHAnsi" w:hAnsiTheme="minorHAnsi" w:cstheme="minorHAnsi"/>
          <w:szCs w:val="22"/>
          <w:lang w:val="de-DE"/>
        </w:rPr>
        <w:t xml:space="preserve"> Die initiale Liquorpunktion sollte, wenn möglich, während der Vorphase durchgeführt werden. Bei hoher Leukozytenzahl: Verschiebung der Liquorpunktion bis Abfall der Leukozytenzahl unter 20 G/l. Der Nachweis von Blasten im Blut stellt keine Kontraindikation für die Liquorpunktion dar! Ggf. Thrombozytentransfusion vor der Liquorpunktion zur Anhebung auf über 40-50 G/l.</w:t>
      </w:r>
    </w:p>
    <w:p w14:paraId="2C4BD365" w14:textId="77777777" w:rsidR="005754D0" w:rsidRPr="00463666" w:rsidRDefault="005754D0" w:rsidP="00D11A8E">
      <w:pPr>
        <w:pStyle w:val="Textkrper-Einzug2"/>
        <w:numPr>
          <w:ilvl w:val="0"/>
          <w:numId w:val="28"/>
        </w:numPr>
        <w:spacing w:before="12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t>Gesicherter initialer ZNS-Befall:</w:t>
      </w:r>
      <w:r w:rsidRPr="00463666">
        <w:rPr>
          <w:rFonts w:asciiTheme="minorHAnsi" w:hAnsiTheme="minorHAnsi" w:cstheme="minorHAnsi"/>
          <w:szCs w:val="22"/>
          <w:lang w:val="de-DE"/>
        </w:rPr>
        <w:t xml:space="preserve"> Protokollspezifisches Vorgehen, siehe Kapitel 2.8.1 und 2.8.2</w:t>
      </w:r>
    </w:p>
    <w:p w14:paraId="73F99B96" w14:textId="3D099C0C" w:rsidR="005754D0" w:rsidRPr="00463666" w:rsidRDefault="005754D0" w:rsidP="00D11A8E">
      <w:pPr>
        <w:pStyle w:val="Textkrper-Einzug2"/>
        <w:numPr>
          <w:ilvl w:val="0"/>
          <w:numId w:val="28"/>
        </w:numPr>
        <w:spacing w:before="12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t>KEIN Azol-Antimykotikum während Vincristin</w:t>
      </w:r>
      <w:r w:rsidR="0088119E" w:rsidRPr="00463666">
        <w:rPr>
          <w:rFonts w:asciiTheme="minorHAnsi" w:hAnsiTheme="minorHAnsi" w:cstheme="minorHAnsi"/>
          <w:b/>
          <w:szCs w:val="22"/>
          <w:u w:val="single"/>
          <w:lang w:val="de-DE"/>
        </w:rPr>
        <w:t xml:space="preserve"> (Ausnahme: Fluconazol)</w:t>
      </w:r>
      <w:r w:rsidRPr="00463666">
        <w:rPr>
          <w:rFonts w:asciiTheme="minorHAnsi" w:hAnsiTheme="minorHAnsi" w:cstheme="minorHAnsi"/>
          <w:szCs w:val="22"/>
          <w:lang w:val="de-DE"/>
        </w:rPr>
        <w:t xml:space="preserve"> Die gleichzeitige Anwendung von Azol-Antimykotika, </w:t>
      </w:r>
      <w:r w:rsidR="0088119E" w:rsidRPr="00463666">
        <w:rPr>
          <w:rFonts w:asciiTheme="minorHAnsi" w:hAnsiTheme="minorHAnsi" w:cstheme="minorHAnsi"/>
          <w:szCs w:val="22"/>
          <w:lang w:val="de-DE"/>
        </w:rPr>
        <w:t xml:space="preserve">insbesondere Voriconazol und </w:t>
      </w:r>
      <w:r w:rsidRPr="00463666">
        <w:rPr>
          <w:rFonts w:asciiTheme="minorHAnsi" w:hAnsiTheme="minorHAnsi" w:cstheme="minorHAnsi"/>
          <w:szCs w:val="22"/>
          <w:lang w:val="de-DE"/>
        </w:rPr>
        <w:t>Posaconazol, mit Vincristin wurde mit Neurotoxizität und anderen schwerwiegenden Nebenwirkungen wie Krampfanfällen, peripherer Neuropathie, Syndrom der inadäquaten ADH-Sekretion und paralytischem Ileus in Verbindung gebracht. Bei hohem Risiko für invasive Mykose (Pneumonie, lange Aplasie, Vorerkrankung der Lunge) liposomales Amphotericin bei der ersten Induktion erwägen. In der Phase 2 der Induktion bzw</w:t>
      </w:r>
      <w:r w:rsidR="00945E91" w:rsidRPr="00463666">
        <w:rPr>
          <w:rFonts w:asciiTheme="minorHAnsi" w:hAnsiTheme="minorHAnsi" w:cstheme="minorHAnsi"/>
          <w:szCs w:val="22"/>
          <w:lang w:val="de-DE"/>
        </w:rPr>
        <w:t>.</w:t>
      </w:r>
      <w:r w:rsidRPr="00463666">
        <w:rPr>
          <w:rFonts w:asciiTheme="minorHAnsi" w:hAnsiTheme="minorHAnsi" w:cstheme="minorHAnsi"/>
          <w:szCs w:val="22"/>
          <w:lang w:val="de-DE"/>
        </w:rPr>
        <w:t xml:space="preserve"> Block 1B wird ein Azol (Voriconazol/ Posaconazol) empfohlen wegen länger dauernder Neutropenie.</w:t>
      </w:r>
    </w:p>
    <w:p w14:paraId="49D2B7C9" w14:textId="77777777" w:rsidR="005754D0" w:rsidRPr="00463666" w:rsidRDefault="005754D0" w:rsidP="00D11A8E">
      <w:pPr>
        <w:pStyle w:val="Textkrper-Einzug2"/>
        <w:numPr>
          <w:ilvl w:val="0"/>
          <w:numId w:val="28"/>
        </w:numPr>
        <w:spacing w:before="120" w:after="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t>G-CSF:</w:t>
      </w:r>
      <w:r w:rsidRPr="00463666">
        <w:rPr>
          <w:rFonts w:asciiTheme="minorHAnsi" w:hAnsiTheme="minorHAnsi" w:cstheme="minorHAnsi"/>
          <w:szCs w:val="22"/>
          <w:lang w:val="de-DE"/>
        </w:rPr>
        <w:t xml:space="preserve"> bei Vorphase (wenn ANC &lt; 0,5 G/l), Induktion I und Reinduktion parallel zu der Chemotherapie; bei Konsolidierungsblöcken im Anschluss an die Chemotherapie; Pausieren bei zu erwartend stabilen Granulozyten &gt; 1,5 G/L </w:t>
      </w:r>
    </w:p>
    <w:p w14:paraId="33E1823F" w14:textId="6F730595" w:rsidR="005754D0" w:rsidRPr="00463666" w:rsidRDefault="005754D0" w:rsidP="00D11A8E">
      <w:pPr>
        <w:pStyle w:val="Textkrper-Einzug2"/>
        <w:numPr>
          <w:ilvl w:val="0"/>
          <w:numId w:val="28"/>
        </w:numPr>
        <w:spacing w:before="12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t>Thromboseprophylaxe:</w:t>
      </w:r>
      <w:r w:rsidRPr="00463666">
        <w:rPr>
          <w:rFonts w:asciiTheme="minorHAnsi" w:hAnsiTheme="minorHAnsi" w:cstheme="minorHAnsi"/>
          <w:szCs w:val="22"/>
          <w:lang w:val="de-DE"/>
        </w:rPr>
        <w:t xml:space="preserve"> Alle Patienten sollten physikalische Maßnahmen zur Thromboseprophylaxe erhalten, d.h.  ausreichende Hydratation und physikalische Therapie zur Vermeidung einer Immobilisation (Bett-Fahrrad)! Lovenox 40 mg bei Thrombozyten &gt; 30 G/L (</w:t>
      </w:r>
      <w:r w:rsidRPr="00463666">
        <w:rPr>
          <w:rFonts w:asciiTheme="minorHAnsi" w:hAnsiTheme="minorHAnsi" w:cstheme="minorHAnsi"/>
          <w:szCs w:val="22"/>
          <w:u w:val="single"/>
          <w:lang w:val="de-DE"/>
        </w:rPr>
        <w:t>nicht</w:t>
      </w:r>
      <w:r w:rsidRPr="00463666">
        <w:rPr>
          <w:rFonts w:asciiTheme="minorHAnsi" w:hAnsiTheme="minorHAnsi" w:cstheme="minorHAnsi"/>
          <w:szCs w:val="22"/>
          <w:lang w:val="de-DE"/>
        </w:rPr>
        <w:t xml:space="preserve"> substituiert). Während Asparaginasetherapie und Abnahme des Antithrombins auf &lt;70% halbe therapeutische Lovenox-Dosis (1 mg/kg sc/d) bei Thrombozyten &gt; 30 G/L (nicht substituiert). Abweichend von der GMALL-Empfehlung keine Antithrombinsubstitution (Effektivität nicht gesichert).</w:t>
      </w:r>
    </w:p>
    <w:p w14:paraId="6D4E77C3" w14:textId="77777777" w:rsidR="005754D0" w:rsidRPr="00463666" w:rsidRDefault="005754D0" w:rsidP="00D11A8E">
      <w:pPr>
        <w:pStyle w:val="Textkrper-Einzug2"/>
        <w:numPr>
          <w:ilvl w:val="0"/>
          <w:numId w:val="28"/>
        </w:numPr>
        <w:spacing w:after="0" w:line="276" w:lineRule="auto"/>
        <w:ind w:left="0" w:hanging="284"/>
        <w:jc w:val="left"/>
        <w:rPr>
          <w:rFonts w:asciiTheme="minorHAnsi" w:hAnsiTheme="minorHAnsi" w:cstheme="minorHAnsi"/>
          <w:szCs w:val="22"/>
          <w:lang w:val="de-DE"/>
        </w:rPr>
      </w:pPr>
      <w:r w:rsidRPr="00463666">
        <w:rPr>
          <w:rFonts w:asciiTheme="minorHAnsi" w:hAnsiTheme="minorHAnsi" w:cstheme="minorHAnsi"/>
          <w:b/>
          <w:szCs w:val="22"/>
          <w:u w:val="single"/>
          <w:lang w:val="de-DE"/>
        </w:rPr>
        <w:t>Tumorlysesyndrom (TLS):</w:t>
      </w:r>
      <w:r w:rsidRPr="00463666">
        <w:rPr>
          <w:rFonts w:asciiTheme="minorHAnsi" w:hAnsiTheme="minorHAnsi" w:cstheme="minorHAnsi"/>
          <w:szCs w:val="22"/>
          <w:lang w:val="de-DE"/>
        </w:rPr>
        <w:t xml:space="preserve"> Risikofaktoren: hohe Zellzahl, hohe LDH, rascher Zellzerfall unter Therapie, Hyperurikämie, präexistente Niereninsuffizienz, Hypovolämie; Klinik: Müdigkeit, Nausea, Erbrechen, Diarrhoe, Anurie, Herzrhythmusstörung, Muskelkrämpfe, epileptischer Anfall</w:t>
      </w:r>
    </w:p>
    <w:p w14:paraId="76555B9D" w14:textId="0DF6DCE5" w:rsidR="005754D0" w:rsidRPr="00463666" w:rsidRDefault="005754D0" w:rsidP="005754D0">
      <w:pPr>
        <w:pStyle w:val="Textkrper-Einzug2"/>
        <w:spacing w:after="0" w:line="276" w:lineRule="auto"/>
        <w:ind w:left="0"/>
        <w:jc w:val="left"/>
        <w:rPr>
          <w:rFonts w:asciiTheme="minorHAnsi" w:hAnsiTheme="minorHAnsi" w:cstheme="minorHAnsi"/>
          <w:szCs w:val="22"/>
          <w:lang w:val="de-DE"/>
        </w:rPr>
      </w:pPr>
      <w:r w:rsidRPr="00463666">
        <w:rPr>
          <w:rFonts w:asciiTheme="minorHAnsi" w:hAnsiTheme="minorHAnsi" w:cstheme="minorHAnsi"/>
          <w:i/>
          <w:szCs w:val="22"/>
          <w:lang w:val="de-DE"/>
        </w:rPr>
        <w:t>Def. des laborchemischen TLS:</w:t>
      </w:r>
      <w:r w:rsidRPr="00463666">
        <w:rPr>
          <w:rFonts w:asciiTheme="minorHAnsi" w:hAnsiTheme="minorHAnsi" w:cstheme="minorHAnsi"/>
          <w:szCs w:val="22"/>
          <w:lang w:val="de-DE"/>
        </w:rPr>
        <w:t xml:space="preserve"> &gt;25% Anstieg </w:t>
      </w:r>
      <w:r w:rsidR="00945E91" w:rsidRPr="00463666">
        <w:rPr>
          <w:rFonts w:asciiTheme="minorHAnsi" w:hAnsiTheme="minorHAnsi" w:cstheme="minorHAnsi"/>
          <w:szCs w:val="22"/>
          <w:lang w:val="de-DE"/>
        </w:rPr>
        <w:t>des Kaliums</w:t>
      </w:r>
      <w:r w:rsidRPr="00463666">
        <w:rPr>
          <w:rFonts w:asciiTheme="minorHAnsi" w:hAnsiTheme="minorHAnsi" w:cstheme="minorHAnsi"/>
          <w:szCs w:val="22"/>
          <w:lang w:val="de-DE"/>
        </w:rPr>
        <w:t>, Harnsäure und Phopsphat sowie Kalzium-Abfall &gt;25%</w:t>
      </w:r>
    </w:p>
    <w:p w14:paraId="43A885E7" w14:textId="591F0094" w:rsidR="005754D0" w:rsidRPr="00463666" w:rsidRDefault="005754D0" w:rsidP="005754D0">
      <w:pPr>
        <w:pStyle w:val="Textkrper-Einzug2"/>
        <w:spacing w:after="0" w:line="276" w:lineRule="auto"/>
        <w:ind w:left="0"/>
        <w:jc w:val="left"/>
        <w:rPr>
          <w:rFonts w:asciiTheme="minorHAnsi" w:hAnsiTheme="minorHAnsi" w:cstheme="minorHAnsi"/>
          <w:szCs w:val="22"/>
          <w:lang w:val="de-DE"/>
        </w:rPr>
      </w:pPr>
      <w:r w:rsidRPr="00463666">
        <w:rPr>
          <w:rFonts w:asciiTheme="minorHAnsi" w:hAnsiTheme="minorHAnsi" w:cstheme="minorHAnsi"/>
          <w:szCs w:val="22"/>
          <w:lang w:val="de-DE"/>
        </w:rPr>
        <w:t xml:space="preserve">Prophylaxe/Therapie: Verstärkte Hydrierung (2-4 l/d; Allopurinol 300 mg/d, </w:t>
      </w:r>
      <w:r w:rsidRPr="00463666">
        <w:rPr>
          <w:rFonts w:asciiTheme="minorHAnsi" w:hAnsiTheme="minorHAnsi" w:cstheme="minorHAnsi"/>
          <w:b/>
          <w:szCs w:val="22"/>
          <w:lang w:val="de-DE"/>
        </w:rPr>
        <w:t xml:space="preserve">Rasburicase (Fasturtec®) 0,2 mg/kg bei WBC ≥100 G/L und/oder LDH ≥2 x ULN. </w:t>
      </w:r>
      <w:r w:rsidRPr="00463666">
        <w:rPr>
          <w:rFonts w:asciiTheme="minorHAnsi" w:hAnsiTheme="minorHAnsi" w:cstheme="minorHAnsi"/>
          <w:szCs w:val="22"/>
          <w:lang w:val="de-DE"/>
        </w:rPr>
        <w:t>Einmaldosis, evtl. wiederholen (Harnsäurebestimmung auf Eis); Bei asymptomatischen Patienten wird wegen der Gefahr der Calcium-Phosphat-Ausfällung meist keine Ca-Substitution durchgeführt. Ansonsten sollte Calcium in der tiefstmöglichen Dosis unter EKG-Kontrolle gegeben werden.</w:t>
      </w:r>
    </w:p>
    <w:p w14:paraId="3325D01A" w14:textId="5070A6F9" w:rsidR="005754D0" w:rsidRPr="00463666" w:rsidRDefault="005754D0" w:rsidP="00D11A8E">
      <w:pPr>
        <w:pStyle w:val="Textkrper-Einzug2"/>
        <w:numPr>
          <w:ilvl w:val="0"/>
          <w:numId w:val="28"/>
        </w:numPr>
        <w:spacing w:before="120" w:line="276" w:lineRule="auto"/>
        <w:ind w:left="0" w:hanging="284"/>
        <w:jc w:val="left"/>
        <w:rPr>
          <w:rFonts w:asciiTheme="minorHAnsi" w:hAnsiTheme="minorHAnsi" w:cstheme="minorHAnsi"/>
          <w:szCs w:val="22"/>
          <w:lang w:val="de-DE"/>
        </w:rPr>
      </w:pPr>
      <w:r w:rsidRPr="00463666">
        <w:rPr>
          <w:rFonts w:asciiTheme="minorHAnsi" w:hAnsiTheme="minorHAnsi" w:cstheme="minorHAnsi"/>
          <w:szCs w:val="22"/>
          <w:u w:val="single"/>
          <w:lang w:val="de-DE"/>
        </w:rPr>
        <w:t>Disseminierte Intravasale Gerinnungsstörung (DIC):</w:t>
      </w:r>
      <w:r w:rsidRPr="00463666">
        <w:rPr>
          <w:rFonts w:asciiTheme="minorHAnsi" w:hAnsiTheme="minorHAnsi" w:cstheme="minorHAnsi"/>
          <w:szCs w:val="22"/>
          <w:lang w:val="de-DE"/>
        </w:rPr>
        <w:t xml:space="preserve"> In der Vorphase und Induktion, aber auch der Asparaginasetherapie kann es zu einer DIC kommen. Zweimal wöchentliche Gerinnungsparameterbestimmungen sind verpflichtend, bei Abfall </w:t>
      </w:r>
      <w:r w:rsidR="00A13BB5" w:rsidRPr="00463666">
        <w:rPr>
          <w:rFonts w:asciiTheme="minorHAnsi" w:hAnsiTheme="minorHAnsi" w:cstheme="minorHAnsi"/>
          <w:szCs w:val="22"/>
          <w:lang w:val="de-DE"/>
        </w:rPr>
        <w:t>des Fibrinogens</w:t>
      </w:r>
      <w:r w:rsidRPr="00463666">
        <w:rPr>
          <w:rFonts w:asciiTheme="minorHAnsi" w:hAnsiTheme="minorHAnsi" w:cstheme="minorHAnsi"/>
          <w:szCs w:val="22"/>
          <w:lang w:val="de-DE"/>
        </w:rPr>
        <w:t xml:space="preserve"> unter 120 mg/dl oder bei verstärkter Blutungsneigung tägliche Kontrolle. Primär Fibrinogensubstitution (initial 2 g Haemocompletan, Ziel-Spiegel für Fibrinogen: falls keine Blutung </w:t>
      </w:r>
      <w:r w:rsidRPr="00463666">
        <w:rPr>
          <w:rFonts w:asciiTheme="minorHAnsi" w:hAnsiTheme="minorHAnsi" w:cstheme="minorHAnsi"/>
          <w:szCs w:val="22"/>
          <w:lang w:val="de-DE"/>
        </w:rPr>
        <w:sym w:font="Wingdings" w:char="F0E0"/>
      </w:r>
      <w:r w:rsidRPr="00463666">
        <w:rPr>
          <w:rFonts w:asciiTheme="minorHAnsi" w:hAnsiTheme="minorHAnsi" w:cstheme="minorHAnsi"/>
          <w:szCs w:val="22"/>
          <w:lang w:val="de-DE"/>
        </w:rPr>
        <w:t xml:space="preserve"> Fibrinogen &gt; 80 mg/dl; bei Blutung/DIC </w:t>
      </w:r>
      <w:r w:rsidRPr="00463666">
        <w:rPr>
          <w:rFonts w:asciiTheme="minorHAnsi" w:hAnsiTheme="minorHAnsi" w:cstheme="minorHAnsi"/>
          <w:szCs w:val="22"/>
          <w:lang w:val="de-DE"/>
        </w:rPr>
        <w:sym w:font="Wingdings" w:char="F0E0"/>
      </w:r>
      <w:r w:rsidRPr="00463666">
        <w:rPr>
          <w:rFonts w:asciiTheme="minorHAnsi" w:hAnsiTheme="minorHAnsi" w:cstheme="minorHAnsi"/>
          <w:szCs w:val="22"/>
          <w:lang w:val="de-DE"/>
        </w:rPr>
        <w:t xml:space="preserve"> Fibrinogen &gt; 150 mg/dl)</w:t>
      </w:r>
    </w:p>
    <w:p w14:paraId="4CAD3F79" w14:textId="77777777" w:rsidR="005754D0" w:rsidRPr="00463666" w:rsidRDefault="005754D0" w:rsidP="00D11A8E">
      <w:pPr>
        <w:pStyle w:val="Textkrper-Einzug2"/>
        <w:numPr>
          <w:ilvl w:val="0"/>
          <w:numId w:val="28"/>
        </w:numPr>
        <w:spacing w:before="120" w:after="0" w:line="276" w:lineRule="auto"/>
        <w:ind w:left="0" w:hanging="284"/>
        <w:jc w:val="left"/>
        <w:rPr>
          <w:rFonts w:asciiTheme="minorHAnsi" w:hAnsiTheme="minorHAnsi" w:cstheme="minorHAnsi"/>
          <w:szCs w:val="22"/>
          <w:u w:val="single"/>
          <w:lang w:val="de-DE"/>
        </w:rPr>
      </w:pPr>
      <w:r w:rsidRPr="00463666">
        <w:rPr>
          <w:rFonts w:asciiTheme="minorHAnsi" w:hAnsiTheme="minorHAnsi" w:cstheme="minorHAnsi"/>
          <w:szCs w:val="22"/>
          <w:u w:val="single"/>
          <w:lang w:val="de-DE"/>
        </w:rPr>
        <w:t>Besonderheiten und Dosismodifikationen für Medikamente bei Toxizität sind unbedingt zu beachten</w:t>
      </w:r>
    </w:p>
    <w:p w14:paraId="2D68F07B" w14:textId="77777777" w:rsidR="005754D0" w:rsidRPr="00463666" w:rsidRDefault="005754D0" w:rsidP="005754D0">
      <w:pPr>
        <w:pStyle w:val="Textkrper-Einzug2"/>
        <w:spacing w:after="0" w:line="276" w:lineRule="auto"/>
        <w:ind w:left="0"/>
        <w:jc w:val="left"/>
        <w:rPr>
          <w:rFonts w:asciiTheme="minorHAnsi" w:hAnsiTheme="minorHAnsi" w:cstheme="minorHAnsi"/>
          <w:b/>
          <w:szCs w:val="22"/>
          <w:lang w:val="de-DE"/>
        </w:rPr>
      </w:pPr>
      <w:r w:rsidRPr="00463666">
        <w:rPr>
          <w:rFonts w:asciiTheme="minorHAnsi" w:hAnsiTheme="minorHAnsi" w:cstheme="minorHAnsi"/>
          <w:b/>
          <w:szCs w:val="22"/>
          <w:lang w:val="de-DE"/>
        </w:rPr>
        <w:t>siehe Kapitel 4 bzw. Konsensus für PEG-Asparaginase, MTX, Imatinib, 6-Mercaptopurin</w:t>
      </w:r>
    </w:p>
    <w:p w14:paraId="2DDE6B43" w14:textId="77777777" w:rsidR="005754D0" w:rsidRPr="00463666" w:rsidRDefault="005754D0" w:rsidP="005754D0">
      <w:pPr>
        <w:pStyle w:val="Textkrper-Einzug2"/>
        <w:spacing w:after="0" w:line="276" w:lineRule="auto"/>
        <w:ind w:left="0"/>
        <w:jc w:val="left"/>
        <w:rPr>
          <w:rFonts w:asciiTheme="minorHAnsi" w:hAnsiTheme="minorHAnsi" w:cstheme="minorHAnsi"/>
          <w:b/>
          <w:szCs w:val="22"/>
          <w:lang w:val="de-DE"/>
        </w:rPr>
      </w:pPr>
      <w:r w:rsidRPr="00463666">
        <w:rPr>
          <w:rFonts w:asciiTheme="minorHAnsi" w:hAnsiTheme="minorHAnsi" w:cstheme="minorHAnsi"/>
          <w:b/>
          <w:szCs w:val="22"/>
          <w:lang w:val="de-DE"/>
        </w:rPr>
        <w:t>Beachte maximale Dosierungen für Vindesin (5 mg absolut) und Peg-Asparaginase (3750 IE absolut)</w:t>
      </w:r>
    </w:p>
    <w:p w14:paraId="48C5B53E" w14:textId="77777777" w:rsidR="005754D0" w:rsidRPr="00945E91" w:rsidRDefault="005754D0" w:rsidP="005754D0">
      <w:pPr>
        <w:spacing w:line="240" w:lineRule="auto"/>
        <w:jc w:val="left"/>
        <w:rPr>
          <w:rFonts w:asciiTheme="minorHAnsi" w:hAnsiTheme="minorHAnsi" w:cstheme="minorHAnsi"/>
          <w:b/>
          <w:sz w:val="20"/>
          <w:lang w:val="de-DE"/>
        </w:rPr>
      </w:pPr>
      <w:r w:rsidRPr="00945E91">
        <w:rPr>
          <w:rFonts w:asciiTheme="minorHAnsi" w:hAnsiTheme="minorHAnsi" w:cstheme="minorHAnsi"/>
          <w:b/>
          <w:sz w:val="20"/>
          <w:lang w:val="de-DE"/>
        </w:rPr>
        <w:br w:type="page"/>
      </w:r>
    </w:p>
    <w:p w14:paraId="605CD253" w14:textId="39D26FC6" w:rsidR="005754D0" w:rsidRPr="00945E91" w:rsidRDefault="005754D0" w:rsidP="005754D0">
      <w:pPr>
        <w:pStyle w:val="berschrift2"/>
        <w:ind w:left="708" w:hanging="708"/>
        <w:rPr>
          <w:rFonts w:asciiTheme="minorHAnsi" w:hAnsiTheme="minorHAnsi" w:cstheme="minorHAnsi"/>
          <w:lang w:val="de-DE"/>
        </w:rPr>
      </w:pPr>
      <w:bookmarkStart w:id="35" w:name="_Toc70881123"/>
      <w:bookmarkStart w:id="36" w:name="_Toc74412402"/>
      <w:r w:rsidRPr="00945E91">
        <w:rPr>
          <w:rFonts w:asciiTheme="minorHAnsi" w:hAnsiTheme="minorHAnsi" w:cstheme="minorHAnsi"/>
          <w:lang w:val="de-DE"/>
        </w:rPr>
        <w:lastRenderedPageBreak/>
        <w:t>3.3.</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BCR-ABL-negative ALL bis zum 25. Lebensjahr (AIEOP)</w:t>
      </w:r>
      <w:bookmarkEnd w:id="35"/>
      <w:bookmarkEnd w:id="36"/>
    </w:p>
    <w:p w14:paraId="63FDB5C8" w14:textId="77777777" w:rsidR="005754D0" w:rsidRPr="00945E91" w:rsidRDefault="005754D0" w:rsidP="005754D0">
      <w:pPr>
        <w:spacing w:line="240" w:lineRule="auto"/>
        <w:jc w:val="left"/>
        <w:rPr>
          <w:rFonts w:asciiTheme="minorHAnsi" w:hAnsiTheme="minorHAnsi" w:cstheme="minorHAnsi"/>
          <w:b/>
          <w:sz w:val="20"/>
          <w:highlight w:val="yellow"/>
          <w:lang w:val="de-DE"/>
        </w:rPr>
      </w:pPr>
    </w:p>
    <w:p w14:paraId="1733AE9F" w14:textId="5B253F25" w:rsidR="005754D0" w:rsidRPr="00945E91" w:rsidRDefault="005754D0" w:rsidP="005754D0">
      <w:pPr>
        <w:pStyle w:val="berschrift3"/>
        <w:rPr>
          <w:rFonts w:asciiTheme="minorHAnsi" w:hAnsiTheme="minorHAnsi" w:cstheme="minorHAnsi"/>
          <w:lang w:val="de-DE"/>
        </w:rPr>
      </w:pPr>
      <w:bookmarkStart w:id="37" w:name="_Toc70881124"/>
      <w:bookmarkStart w:id="38" w:name="_Toc74412403"/>
      <w:r w:rsidRPr="00945E91">
        <w:rPr>
          <w:rFonts w:asciiTheme="minorHAnsi" w:hAnsiTheme="minorHAnsi" w:cstheme="minorHAnsi"/>
          <w:lang w:val="de-DE"/>
        </w:rPr>
        <w:t>3.3.1</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Übersichtsplan</w:t>
      </w:r>
      <w:bookmarkEnd w:id="37"/>
      <w:bookmarkEnd w:id="38"/>
    </w:p>
    <w:p w14:paraId="34BED1FE" w14:textId="6509A82C" w:rsidR="005754D0" w:rsidRPr="00463666" w:rsidRDefault="005754D0" w:rsidP="005754D0">
      <w:pPr>
        <w:spacing w:line="240" w:lineRule="auto"/>
        <w:jc w:val="left"/>
        <w:rPr>
          <w:rFonts w:asciiTheme="minorHAnsi" w:hAnsiTheme="minorHAnsi" w:cstheme="minorHAnsi"/>
          <w:szCs w:val="22"/>
          <w:lang w:val="de-DE"/>
        </w:rPr>
      </w:pPr>
      <w:r w:rsidRPr="00463666">
        <w:rPr>
          <w:rFonts w:asciiTheme="minorHAnsi" w:hAnsiTheme="minorHAnsi" w:cstheme="minorHAnsi"/>
          <w:szCs w:val="22"/>
          <w:lang w:val="de-DE"/>
        </w:rPr>
        <w:t xml:space="preserve">Die Risikoeinteilung erfolgt gemäß Tabelle in Kapitel 2.7.2 bzw. </w:t>
      </w:r>
      <w:r w:rsidR="00A13BB5" w:rsidRPr="00463666">
        <w:rPr>
          <w:rFonts w:asciiTheme="minorHAnsi" w:hAnsiTheme="minorHAnsi" w:cstheme="minorHAnsi"/>
          <w:szCs w:val="22"/>
          <w:lang w:val="de-DE"/>
        </w:rPr>
        <w:t>Flussdiagramme</w:t>
      </w:r>
      <w:r w:rsidRPr="00463666">
        <w:rPr>
          <w:rFonts w:asciiTheme="minorHAnsi" w:hAnsiTheme="minorHAnsi" w:cstheme="minorHAnsi"/>
          <w:szCs w:val="22"/>
          <w:lang w:val="de-DE"/>
        </w:rPr>
        <w:t xml:space="preserve"> in Kapitel 3.3.2.: die endgültige Festlegung des Patienten in „Standard Risk“, „Moderate Risk“ und „High Risk“ erfolgt spätestens zum „Time Point 2“. </w:t>
      </w:r>
    </w:p>
    <w:p w14:paraId="178ADB03" w14:textId="77777777" w:rsidR="005754D0" w:rsidRPr="00463666" w:rsidRDefault="005754D0" w:rsidP="005754D0">
      <w:pPr>
        <w:spacing w:line="240" w:lineRule="auto"/>
        <w:jc w:val="left"/>
        <w:rPr>
          <w:rFonts w:asciiTheme="minorHAnsi" w:hAnsiTheme="minorHAnsi" w:cstheme="minorHAnsi"/>
          <w:szCs w:val="22"/>
          <w:lang w:val="de-DE"/>
        </w:rPr>
      </w:pPr>
    </w:p>
    <w:p w14:paraId="4500BE7B" w14:textId="77777777" w:rsidR="005754D0" w:rsidRPr="00463666" w:rsidRDefault="005754D0" w:rsidP="005754D0">
      <w:pPr>
        <w:spacing w:line="240" w:lineRule="auto"/>
        <w:jc w:val="left"/>
        <w:rPr>
          <w:rFonts w:asciiTheme="minorHAnsi" w:hAnsiTheme="minorHAnsi" w:cstheme="minorHAnsi"/>
          <w:szCs w:val="22"/>
          <w:lang w:val="de-DE"/>
        </w:rPr>
      </w:pPr>
      <w:r w:rsidRPr="00463666">
        <w:rPr>
          <w:rFonts w:asciiTheme="minorHAnsi" w:hAnsiTheme="minorHAnsi" w:cstheme="minorHAnsi"/>
          <w:szCs w:val="22"/>
          <w:lang w:val="de-DE"/>
        </w:rPr>
        <w:t xml:space="preserve">Stationäre Überwachung der Patienten in Phasen der Neutropenie in den Therapieelementen Protokoll IA, IIA, nach den HR-Blöcken und nach DNX-FLA. </w:t>
      </w:r>
    </w:p>
    <w:p w14:paraId="48985DF5" w14:textId="77777777" w:rsidR="005754D0" w:rsidRPr="00463666" w:rsidRDefault="005754D0" w:rsidP="005754D0">
      <w:pPr>
        <w:spacing w:line="240" w:lineRule="auto"/>
        <w:jc w:val="left"/>
        <w:rPr>
          <w:rFonts w:asciiTheme="minorHAnsi" w:hAnsiTheme="minorHAnsi" w:cstheme="minorHAnsi"/>
          <w:szCs w:val="22"/>
          <w:lang w:val="de-DE"/>
        </w:rPr>
      </w:pPr>
    </w:p>
    <w:p w14:paraId="185961B7" w14:textId="77777777" w:rsidR="005754D0" w:rsidRPr="00463666" w:rsidRDefault="005754D0" w:rsidP="005754D0">
      <w:pPr>
        <w:spacing w:line="240" w:lineRule="auto"/>
        <w:jc w:val="left"/>
        <w:rPr>
          <w:rFonts w:asciiTheme="minorHAnsi" w:hAnsiTheme="minorHAnsi" w:cstheme="minorHAnsi"/>
          <w:b/>
          <w:szCs w:val="22"/>
          <w:lang w:val="de-DE"/>
        </w:rPr>
      </w:pPr>
      <w:r w:rsidRPr="00463666">
        <w:rPr>
          <w:rFonts w:asciiTheme="minorHAnsi" w:hAnsiTheme="minorHAnsi" w:cstheme="minorHAnsi"/>
          <w:b/>
          <w:szCs w:val="22"/>
          <w:lang w:val="de-DE"/>
        </w:rPr>
        <w:t>Alle Therapieblöcke sind in CATO abgebildet und werden daher in der Leitlinie nicht einzeln ausgeführt.</w:t>
      </w:r>
    </w:p>
    <w:p w14:paraId="38065790" w14:textId="77777777" w:rsidR="005754D0" w:rsidRPr="00945E91" w:rsidRDefault="005754D0" w:rsidP="005754D0">
      <w:pPr>
        <w:spacing w:line="240" w:lineRule="auto"/>
        <w:jc w:val="left"/>
        <w:rPr>
          <w:rFonts w:asciiTheme="minorHAnsi" w:hAnsiTheme="minorHAnsi" w:cstheme="minorHAnsi"/>
          <w:sz w:val="20"/>
          <w:lang w:val="de-DE"/>
        </w:rPr>
      </w:pPr>
    </w:p>
    <w:p w14:paraId="6659FDFC" w14:textId="77777777" w:rsidR="005754D0" w:rsidRPr="00945E91" w:rsidRDefault="005754D0" w:rsidP="005754D0">
      <w:pPr>
        <w:spacing w:line="240" w:lineRule="auto"/>
        <w:jc w:val="left"/>
        <w:rPr>
          <w:rFonts w:asciiTheme="minorHAnsi" w:hAnsiTheme="minorHAnsi" w:cstheme="minorHAnsi"/>
          <w:sz w:val="20"/>
          <w:highlight w:val="yellow"/>
          <w:lang w:val="de-DE"/>
        </w:rPr>
      </w:pPr>
      <w:r w:rsidRPr="00945E91">
        <w:rPr>
          <w:rFonts w:asciiTheme="minorHAnsi" w:hAnsiTheme="minorHAnsi" w:cstheme="minorHAnsi"/>
          <w:noProof/>
          <w:lang w:eastAsia="de-AT"/>
        </w:rPr>
        <w:drawing>
          <wp:inline distT="0" distB="0" distL="0" distR="0" wp14:anchorId="19A47A35" wp14:editId="55F108B6">
            <wp:extent cx="5957570" cy="3987800"/>
            <wp:effectExtent l="0" t="0" r="5080" b="0"/>
            <wp:docPr id="15" name="Grafik 3">
              <a:extLst xmlns:a="http://schemas.openxmlformats.org/drawingml/2006/main">
                <a:ext uri="{FF2B5EF4-FFF2-40B4-BE49-F238E27FC236}">
                  <a16:creationId xmlns:a16="http://schemas.microsoft.com/office/drawing/2014/main" id="{593D3D14-9B5D-4902-83BF-0BD1B8387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593D3D14-9B5D-4902-83BF-0BD1B8387FEF}"/>
                        </a:ext>
                      </a:extLst>
                    </pic:cNvPr>
                    <pic:cNvPicPr>
                      <a:picLocks noChangeAspect="1"/>
                    </pic:cNvPicPr>
                  </pic:nvPicPr>
                  <pic:blipFill>
                    <a:blip r:embed="rId18"/>
                    <a:stretch>
                      <a:fillRect/>
                    </a:stretch>
                  </pic:blipFill>
                  <pic:spPr>
                    <a:xfrm>
                      <a:off x="0" y="0"/>
                      <a:ext cx="5957570" cy="3987800"/>
                    </a:xfrm>
                    <a:prstGeom prst="rect">
                      <a:avLst/>
                    </a:prstGeom>
                  </pic:spPr>
                </pic:pic>
              </a:graphicData>
            </a:graphic>
          </wp:inline>
        </w:drawing>
      </w:r>
    </w:p>
    <w:p w14:paraId="2571A21C" w14:textId="77777777" w:rsidR="005754D0" w:rsidRPr="00945E91" w:rsidRDefault="005754D0" w:rsidP="005754D0">
      <w:pPr>
        <w:spacing w:line="240" w:lineRule="auto"/>
        <w:jc w:val="left"/>
        <w:rPr>
          <w:rFonts w:asciiTheme="minorHAnsi" w:hAnsiTheme="minorHAnsi" w:cstheme="minorHAnsi"/>
          <w:sz w:val="20"/>
          <w:highlight w:val="yellow"/>
          <w:lang w:val="de-DE"/>
        </w:rPr>
      </w:pPr>
    </w:p>
    <w:p w14:paraId="1364E5CA" w14:textId="77777777" w:rsidR="005754D0" w:rsidRPr="00945E91" w:rsidRDefault="005754D0" w:rsidP="005754D0">
      <w:pPr>
        <w:spacing w:line="240" w:lineRule="auto"/>
        <w:jc w:val="left"/>
        <w:rPr>
          <w:rFonts w:asciiTheme="minorHAnsi" w:hAnsiTheme="minorHAnsi" w:cstheme="minorHAnsi"/>
          <w:b/>
          <w:sz w:val="20"/>
          <w:lang w:val="de-DE"/>
        </w:rPr>
      </w:pPr>
      <w:r w:rsidRPr="00945E91">
        <w:rPr>
          <w:rFonts w:asciiTheme="minorHAnsi" w:hAnsiTheme="minorHAnsi" w:cstheme="minorHAnsi"/>
          <w:b/>
          <w:sz w:val="20"/>
          <w:lang w:val="de-DE"/>
        </w:rPr>
        <w:t>Legende</w:t>
      </w:r>
    </w:p>
    <w:tbl>
      <w:tblPr>
        <w:tblW w:w="10206" w:type="dxa"/>
        <w:tblInd w:w="250" w:type="dxa"/>
        <w:tblLook w:val="04A0" w:firstRow="1" w:lastRow="0" w:firstColumn="1" w:lastColumn="0" w:noHBand="0" w:noVBand="1"/>
      </w:tblPr>
      <w:tblGrid>
        <w:gridCol w:w="1418"/>
        <w:gridCol w:w="8788"/>
      </w:tblGrid>
      <w:tr w:rsidR="005754D0" w:rsidRPr="00A21498" w14:paraId="396C210D" w14:textId="77777777" w:rsidTr="005754D0">
        <w:tc>
          <w:tcPr>
            <w:tcW w:w="1418" w:type="dxa"/>
          </w:tcPr>
          <w:p w14:paraId="20D03327"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T/non HR</w:t>
            </w:r>
          </w:p>
        </w:tc>
        <w:tc>
          <w:tcPr>
            <w:tcW w:w="8788" w:type="dxa"/>
          </w:tcPr>
          <w:p w14:paraId="6E471E8E" w14:textId="77777777" w:rsidR="005754D0" w:rsidRPr="00A21498" w:rsidRDefault="005754D0" w:rsidP="005754D0">
            <w:p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T-ALL in absence of any HR criteria</w:t>
            </w:r>
          </w:p>
        </w:tc>
      </w:tr>
      <w:tr w:rsidR="005754D0" w:rsidRPr="00A21498" w14:paraId="6C2717F7" w14:textId="77777777" w:rsidTr="005754D0">
        <w:tc>
          <w:tcPr>
            <w:tcW w:w="1418" w:type="dxa"/>
          </w:tcPr>
          <w:p w14:paraId="043CC61E"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pB/Non-HR</w:t>
            </w:r>
          </w:p>
        </w:tc>
        <w:tc>
          <w:tcPr>
            <w:tcW w:w="8788" w:type="dxa"/>
          </w:tcPr>
          <w:p w14:paraId="2A8930EF" w14:textId="77777777" w:rsidR="005754D0" w:rsidRPr="00A21498" w:rsidRDefault="005754D0" w:rsidP="005754D0">
            <w:p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precursor B cell ALL (Vorläufer B-Zell ALL) in absence of any HR criteria</w:t>
            </w:r>
          </w:p>
        </w:tc>
      </w:tr>
      <w:tr w:rsidR="005754D0" w:rsidRPr="00A21498" w14:paraId="45B0B9C9" w14:textId="77777777" w:rsidTr="005754D0">
        <w:tc>
          <w:tcPr>
            <w:tcW w:w="1418" w:type="dxa"/>
          </w:tcPr>
          <w:p w14:paraId="32CF4216"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HR</w:t>
            </w:r>
          </w:p>
        </w:tc>
        <w:tc>
          <w:tcPr>
            <w:tcW w:w="8788" w:type="dxa"/>
          </w:tcPr>
          <w:p w14:paraId="54271A6F" w14:textId="77777777" w:rsidR="005754D0" w:rsidRPr="00945E91" w:rsidRDefault="005754D0" w:rsidP="005754D0">
            <w:pPr>
              <w:spacing w:line="240" w:lineRule="auto"/>
              <w:jc w:val="left"/>
              <w:rPr>
                <w:rFonts w:asciiTheme="minorHAnsi" w:hAnsiTheme="minorHAnsi" w:cstheme="minorHAnsi"/>
                <w:b/>
                <w:sz w:val="20"/>
                <w:lang w:val="de-DE"/>
              </w:rPr>
            </w:pPr>
            <w:r w:rsidRPr="00945E91">
              <w:rPr>
                <w:rFonts w:asciiTheme="minorHAnsi" w:hAnsiTheme="minorHAnsi" w:cstheme="minorHAnsi"/>
                <w:b/>
                <w:sz w:val="20"/>
                <w:lang w:val="de-DE"/>
              </w:rPr>
              <w:t>High Risk (HR) liegt vor, wenn eines oder mehrere der folgenden Kriterien zutreffen:</w:t>
            </w:r>
          </w:p>
          <w:p w14:paraId="7B2E095C" w14:textId="77777777" w:rsidR="005754D0" w:rsidRPr="00A21498" w:rsidRDefault="005754D0" w:rsidP="00D11A8E">
            <w:pPr>
              <w:pStyle w:val="Listenabsatz"/>
              <w:numPr>
                <w:ilvl w:val="0"/>
                <w:numId w:val="36"/>
              </w:num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Positivity for MLL/AF4 or t(4;11)</w:t>
            </w:r>
          </w:p>
          <w:p w14:paraId="302A03FC" w14:textId="77777777" w:rsidR="005754D0" w:rsidRPr="00945E91" w:rsidRDefault="005754D0" w:rsidP="00D11A8E">
            <w:pPr>
              <w:pStyle w:val="Listenabsatz"/>
              <w:numPr>
                <w:ilvl w:val="0"/>
                <w:numId w:val="36"/>
              </w:num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Hypodiploidy (&lt;45 chromosomes)</w:t>
            </w:r>
          </w:p>
          <w:p w14:paraId="56E7B43C" w14:textId="77777777" w:rsidR="005754D0" w:rsidRPr="00945E91" w:rsidRDefault="005754D0" w:rsidP="00D11A8E">
            <w:pPr>
              <w:pStyle w:val="Listenabsatz"/>
              <w:numPr>
                <w:ilvl w:val="0"/>
                <w:numId w:val="36"/>
              </w:num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Prednisone poor-response (in den ersten Tagen der Vorphase!)</w:t>
            </w:r>
          </w:p>
          <w:p w14:paraId="11FA4BE6" w14:textId="77777777" w:rsidR="005754D0" w:rsidRPr="00A21498" w:rsidRDefault="005754D0" w:rsidP="00D11A8E">
            <w:pPr>
              <w:pStyle w:val="Listenabsatz"/>
              <w:numPr>
                <w:ilvl w:val="0"/>
                <w:numId w:val="36"/>
              </w:num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MRD by FCM (flow cytometry) ≥10% on day 15</w:t>
            </w:r>
          </w:p>
          <w:p w14:paraId="4A3E71D3" w14:textId="77777777" w:rsidR="005754D0" w:rsidRPr="00945E91" w:rsidRDefault="005754D0" w:rsidP="00D11A8E">
            <w:pPr>
              <w:pStyle w:val="Listenabsatz"/>
              <w:numPr>
                <w:ilvl w:val="0"/>
                <w:numId w:val="36"/>
              </w:num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Non-remission on day 33</w:t>
            </w:r>
          </w:p>
          <w:p w14:paraId="58A17921" w14:textId="77777777" w:rsidR="005754D0" w:rsidRPr="00A21498" w:rsidRDefault="005754D0" w:rsidP="00D11A8E">
            <w:pPr>
              <w:pStyle w:val="Listenabsatz"/>
              <w:numPr>
                <w:ilvl w:val="0"/>
                <w:numId w:val="36"/>
              </w:num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High risk by PCR-MRD response</w:t>
            </w:r>
          </w:p>
        </w:tc>
      </w:tr>
      <w:tr w:rsidR="005754D0" w:rsidRPr="00945E91" w14:paraId="71FD2CAE" w14:textId="77777777" w:rsidTr="005754D0">
        <w:tc>
          <w:tcPr>
            <w:tcW w:w="1418" w:type="dxa"/>
          </w:tcPr>
          <w:p w14:paraId="27D422D9"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pB</w:t>
            </w:r>
          </w:p>
        </w:tc>
        <w:tc>
          <w:tcPr>
            <w:tcW w:w="8788" w:type="dxa"/>
          </w:tcPr>
          <w:p w14:paraId="1049959C"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precursor B cell ALL (Vorläufer B-Zell ALL)</w:t>
            </w:r>
          </w:p>
        </w:tc>
      </w:tr>
      <w:tr w:rsidR="005754D0" w:rsidRPr="00945E91" w14:paraId="2BCAD8F7" w14:textId="77777777" w:rsidTr="005754D0">
        <w:tc>
          <w:tcPr>
            <w:tcW w:w="1418" w:type="dxa"/>
          </w:tcPr>
          <w:p w14:paraId="18A7F318"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pCRT</w:t>
            </w:r>
          </w:p>
          <w:p w14:paraId="7E259823"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SCT</w:t>
            </w:r>
          </w:p>
        </w:tc>
        <w:tc>
          <w:tcPr>
            <w:tcW w:w="8788" w:type="dxa"/>
          </w:tcPr>
          <w:p w14:paraId="034A6E4E" w14:textId="77777777" w:rsidR="005754D0" w:rsidRPr="00A21498" w:rsidRDefault="005754D0" w:rsidP="005754D0">
            <w:pPr>
              <w:spacing w:line="240" w:lineRule="auto"/>
              <w:jc w:val="left"/>
              <w:rPr>
                <w:rFonts w:asciiTheme="minorHAnsi" w:hAnsiTheme="minorHAnsi" w:cstheme="minorHAnsi"/>
                <w:sz w:val="20"/>
                <w:lang w:val="de-DE"/>
              </w:rPr>
            </w:pPr>
            <w:r w:rsidRPr="00A21498">
              <w:rPr>
                <w:rFonts w:asciiTheme="minorHAnsi" w:hAnsiTheme="minorHAnsi" w:cstheme="minorHAnsi"/>
                <w:sz w:val="20"/>
                <w:lang w:val="de-DE"/>
              </w:rPr>
              <w:t>preventive cranial radiotherapy (präventive ZNS-Bestrahlung)</w:t>
            </w:r>
          </w:p>
          <w:p w14:paraId="597655EA"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t>Stem cell transplantation (siehe Kapitel 3.3.4.)</w:t>
            </w:r>
          </w:p>
        </w:tc>
      </w:tr>
    </w:tbl>
    <w:p w14:paraId="1FF235E1" w14:textId="77777777" w:rsidR="005754D0" w:rsidRPr="00945E91" w:rsidRDefault="005754D0" w:rsidP="005754D0">
      <w:pPr>
        <w:spacing w:line="240" w:lineRule="auto"/>
        <w:jc w:val="left"/>
        <w:rPr>
          <w:rFonts w:asciiTheme="minorHAnsi" w:hAnsiTheme="minorHAnsi" w:cstheme="minorHAnsi"/>
          <w:sz w:val="20"/>
          <w:lang w:val="de-DE"/>
        </w:rPr>
      </w:pPr>
    </w:p>
    <w:p w14:paraId="2A09AA6B"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br w:type="page"/>
      </w:r>
    </w:p>
    <w:p w14:paraId="4FDB8EC1" w14:textId="3DADD682" w:rsidR="005754D0" w:rsidRPr="00945E91" w:rsidRDefault="005754D0" w:rsidP="005754D0">
      <w:pPr>
        <w:pStyle w:val="berschrift3"/>
        <w:rPr>
          <w:rFonts w:asciiTheme="minorHAnsi" w:hAnsiTheme="minorHAnsi" w:cstheme="minorHAnsi"/>
          <w:lang w:val="de-DE"/>
        </w:rPr>
      </w:pPr>
      <w:bookmarkStart w:id="39" w:name="_Toc70881125"/>
      <w:bookmarkStart w:id="40" w:name="_Toc74412404"/>
      <w:r w:rsidRPr="00945E91">
        <w:rPr>
          <w:rFonts w:asciiTheme="minorHAnsi" w:hAnsiTheme="minorHAnsi" w:cstheme="minorHAnsi"/>
          <w:lang w:val="de-DE"/>
        </w:rPr>
        <w:lastRenderedPageBreak/>
        <w:t>3.3.2</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Behandlungsstratifizierung gemäß Risikogruppe</w:t>
      </w:r>
      <w:bookmarkEnd w:id="39"/>
      <w:bookmarkEnd w:id="40"/>
    </w:p>
    <w:p w14:paraId="350071AF" w14:textId="77777777" w:rsidR="005754D0" w:rsidRPr="00945E91" w:rsidRDefault="005754D0" w:rsidP="005754D0">
      <w:pPr>
        <w:spacing w:line="276" w:lineRule="auto"/>
        <w:jc w:val="both"/>
        <w:rPr>
          <w:rFonts w:asciiTheme="minorHAnsi" w:hAnsiTheme="minorHAnsi" w:cstheme="minorHAnsi"/>
          <w:lang w:val="de-DE"/>
        </w:rPr>
      </w:pPr>
      <w:r w:rsidRPr="00945E91">
        <w:rPr>
          <w:rFonts w:asciiTheme="minorHAnsi" w:hAnsiTheme="minorHAnsi" w:cstheme="minorHAnsi"/>
          <w:lang w:val="de-DE"/>
        </w:rPr>
        <w:t>Die Risikoeinteilung in High Risk (HR), Moderate Risk (MR) oder Standard Risk (SR) erfolgt anhand der molekularen Marker sowie anhand des Therapieansprechens an den Zeitpunkten „Time Point 1“ und „Time Point2“ (siehe auch Graphik Kapitel 3.3.1). Die exakten Definitionen der einzelnen Risikogruppen sind auch in 2 Tabellen in Kapitel 2.7.2 abgebildet.</w:t>
      </w:r>
    </w:p>
    <w:p w14:paraId="6D160BCE" w14:textId="77777777" w:rsidR="005754D0" w:rsidRPr="00945E91" w:rsidRDefault="005754D0" w:rsidP="005754D0">
      <w:pPr>
        <w:spacing w:line="276" w:lineRule="auto"/>
        <w:jc w:val="both"/>
        <w:rPr>
          <w:rFonts w:asciiTheme="minorHAnsi" w:hAnsiTheme="minorHAnsi" w:cstheme="minorHAnsi"/>
          <w:b/>
          <w:u w:val="single"/>
          <w:lang w:val="de-DE"/>
        </w:rPr>
      </w:pPr>
    </w:p>
    <w:p w14:paraId="01CFD7C0" w14:textId="2220BF82" w:rsidR="005754D0" w:rsidRPr="00945E91" w:rsidRDefault="00A13BB5" w:rsidP="005754D0">
      <w:pPr>
        <w:spacing w:line="276" w:lineRule="auto"/>
        <w:jc w:val="both"/>
        <w:rPr>
          <w:rFonts w:asciiTheme="minorHAnsi" w:hAnsiTheme="minorHAnsi" w:cstheme="minorHAnsi"/>
          <w:b/>
          <w:u w:val="single"/>
          <w:lang w:val="de-DE"/>
        </w:rPr>
      </w:pPr>
      <w:r w:rsidRPr="00945E91">
        <w:rPr>
          <w:rFonts w:asciiTheme="minorHAnsi" w:hAnsiTheme="minorHAnsi" w:cstheme="minorHAnsi"/>
          <w:b/>
          <w:u w:val="single"/>
          <w:lang w:val="de-DE"/>
        </w:rPr>
        <w:t>Flowchart</w:t>
      </w:r>
      <w:r w:rsidR="005754D0" w:rsidRPr="00945E91">
        <w:rPr>
          <w:rFonts w:asciiTheme="minorHAnsi" w:hAnsiTheme="minorHAnsi" w:cstheme="minorHAnsi"/>
          <w:b/>
          <w:u w:val="single"/>
          <w:lang w:val="de-DE"/>
        </w:rPr>
        <w:t xml:space="preserve"> zur Risikobestimmung für die Precursor B-ALL/LBL bzw. unknown immunophenotype </w:t>
      </w:r>
    </w:p>
    <w:p w14:paraId="1D94823F" w14:textId="77777777" w:rsidR="005754D0" w:rsidRPr="00945E91" w:rsidRDefault="005754D0" w:rsidP="005754D0">
      <w:pPr>
        <w:spacing w:line="276" w:lineRule="auto"/>
        <w:jc w:val="both"/>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1AE81692" wp14:editId="54B69A75">
            <wp:extent cx="2026920" cy="1630785"/>
            <wp:effectExtent l="0" t="0" r="0" b="7620"/>
            <wp:docPr id="28" name="Grafik 3">
              <a:extLst xmlns:a="http://schemas.openxmlformats.org/drawingml/2006/main">
                <a:ext uri="{FF2B5EF4-FFF2-40B4-BE49-F238E27FC236}">
                  <a16:creationId xmlns:a16="http://schemas.microsoft.com/office/drawing/2014/main" id="{9F413424-10FB-426F-B8E0-ED55711D6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9F413424-10FB-426F-B8E0-ED55711D63D6}"/>
                        </a:ext>
                      </a:extLst>
                    </pic:cNvPr>
                    <pic:cNvPicPr>
                      <a:picLocks noChangeAspect="1"/>
                    </pic:cNvPicPr>
                  </pic:nvPicPr>
                  <pic:blipFill rotWithShape="1">
                    <a:blip r:embed="rId19"/>
                    <a:srcRect r="4747"/>
                    <a:stretch/>
                  </pic:blipFill>
                  <pic:spPr>
                    <a:xfrm>
                      <a:off x="0" y="0"/>
                      <a:ext cx="2071090" cy="1666322"/>
                    </a:xfrm>
                    <a:prstGeom prst="rect">
                      <a:avLst/>
                    </a:prstGeom>
                  </pic:spPr>
                </pic:pic>
              </a:graphicData>
            </a:graphic>
          </wp:inline>
        </w:drawing>
      </w:r>
    </w:p>
    <w:p w14:paraId="655565C8" w14:textId="77777777" w:rsidR="005754D0" w:rsidRPr="00945E91" w:rsidRDefault="005754D0" w:rsidP="005754D0">
      <w:pPr>
        <w:spacing w:line="276" w:lineRule="auto"/>
        <w:jc w:val="both"/>
        <w:rPr>
          <w:rFonts w:asciiTheme="minorHAnsi" w:hAnsiTheme="minorHAnsi" w:cstheme="minorHAnsi"/>
          <w:b/>
          <w:sz w:val="10"/>
          <w:u w:val="single"/>
          <w:lang w:val="de-DE"/>
        </w:rPr>
      </w:pPr>
    </w:p>
    <w:p w14:paraId="182E91A9" w14:textId="77777777" w:rsidR="005754D0" w:rsidRPr="00945E91" w:rsidRDefault="005754D0" w:rsidP="005754D0">
      <w:pPr>
        <w:spacing w:line="276" w:lineRule="auto"/>
        <w:jc w:val="both"/>
        <w:rPr>
          <w:rFonts w:asciiTheme="minorHAnsi" w:hAnsiTheme="minorHAnsi" w:cstheme="minorHAnsi"/>
          <w:b/>
          <w:lang w:val="de-DE"/>
        </w:rPr>
      </w:pPr>
      <w:r w:rsidRPr="00945E91">
        <w:rPr>
          <w:rFonts w:asciiTheme="minorHAnsi" w:hAnsiTheme="minorHAnsi" w:cstheme="minorHAnsi"/>
          <w:b/>
          <w:lang w:val="de-DE"/>
        </w:rPr>
        <w:t xml:space="preserve">Risikogruppierung zum „Time Point 1“: </w:t>
      </w:r>
      <w:r w:rsidRPr="00945E91">
        <w:rPr>
          <w:rFonts w:asciiTheme="minorHAnsi" w:hAnsiTheme="minorHAnsi" w:cstheme="minorHAnsi"/>
          <w:b/>
          <w:szCs w:val="22"/>
          <w:lang w:val="de-DE"/>
        </w:rPr>
        <w:t xml:space="preserve">Early High Risk (early HR) ist definiert als </w:t>
      </w:r>
    </w:p>
    <w:p w14:paraId="4D96B85E" w14:textId="77777777" w:rsidR="005754D0" w:rsidRPr="00C9205D" w:rsidRDefault="005754D0" w:rsidP="00D11A8E">
      <w:pPr>
        <w:numPr>
          <w:ilvl w:val="0"/>
          <w:numId w:val="8"/>
        </w:numPr>
        <w:spacing w:line="240" w:lineRule="auto"/>
        <w:ind w:left="745" w:hanging="283"/>
        <w:jc w:val="left"/>
        <w:rPr>
          <w:rFonts w:asciiTheme="minorHAnsi" w:hAnsiTheme="minorHAnsi" w:cstheme="minorHAnsi"/>
          <w:sz w:val="20"/>
          <w:szCs w:val="22"/>
          <w:lang w:val="es-ES"/>
        </w:rPr>
      </w:pPr>
      <w:r w:rsidRPr="00C9205D">
        <w:rPr>
          <w:rFonts w:asciiTheme="minorHAnsi" w:hAnsiTheme="minorHAnsi" w:cstheme="minorHAnsi"/>
          <w:sz w:val="20"/>
          <w:szCs w:val="22"/>
          <w:lang w:val="es-ES"/>
        </w:rPr>
        <w:t xml:space="preserve">no complete remission on day 33 </w:t>
      </w:r>
      <w:r w:rsidRPr="00C9205D">
        <w:rPr>
          <w:rFonts w:asciiTheme="minorHAnsi" w:hAnsiTheme="minorHAnsi" w:cstheme="minorHAnsi"/>
          <w:b/>
          <w:sz w:val="20"/>
          <w:szCs w:val="22"/>
          <w:lang w:val="es-ES"/>
        </w:rPr>
        <w:t>or</w:t>
      </w:r>
      <w:r w:rsidRPr="00C9205D">
        <w:rPr>
          <w:rFonts w:asciiTheme="minorHAnsi" w:hAnsiTheme="minorHAnsi" w:cstheme="minorHAnsi"/>
          <w:sz w:val="20"/>
          <w:szCs w:val="22"/>
          <w:lang w:val="es-ES"/>
        </w:rPr>
        <w:t xml:space="preserve"> </w:t>
      </w:r>
    </w:p>
    <w:p w14:paraId="2A2BBBED" w14:textId="77777777" w:rsidR="005754D0" w:rsidRPr="00A21498" w:rsidRDefault="005754D0" w:rsidP="00D11A8E">
      <w:pPr>
        <w:numPr>
          <w:ilvl w:val="0"/>
          <w:numId w:val="8"/>
        </w:numPr>
        <w:spacing w:line="240" w:lineRule="auto"/>
        <w:ind w:left="745" w:hanging="283"/>
        <w:jc w:val="left"/>
        <w:rPr>
          <w:rFonts w:asciiTheme="minorHAnsi" w:hAnsiTheme="minorHAnsi" w:cstheme="minorHAnsi"/>
          <w:sz w:val="20"/>
          <w:szCs w:val="22"/>
          <w:lang w:val="de-DE"/>
        </w:rPr>
      </w:pPr>
      <w:r w:rsidRPr="00A21498">
        <w:rPr>
          <w:rFonts w:asciiTheme="minorHAnsi" w:hAnsiTheme="minorHAnsi" w:cstheme="minorHAnsi"/>
          <w:sz w:val="20"/>
          <w:szCs w:val="22"/>
          <w:lang w:val="de-DE"/>
        </w:rPr>
        <w:t xml:space="preserve">positivity for KMT2A-AFF1 (MLL-AF4) </w:t>
      </w:r>
      <w:r w:rsidRPr="00A21498">
        <w:rPr>
          <w:rFonts w:asciiTheme="minorHAnsi" w:hAnsiTheme="minorHAnsi" w:cstheme="minorHAnsi"/>
          <w:b/>
          <w:sz w:val="20"/>
          <w:szCs w:val="22"/>
          <w:lang w:val="de-DE"/>
        </w:rPr>
        <w:t>or</w:t>
      </w:r>
      <w:r w:rsidRPr="00A21498">
        <w:rPr>
          <w:rFonts w:asciiTheme="minorHAnsi" w:hAnsiTheme="minorHAnsi" w:cstheme="minorHAnsi"/>
          <w:sz w:val="20"/>
          <w:szCs w:val="22"/>
          <w:lang w:val="de-DE"/>
        </w:rPr>
        <w:t xml:space="preserve"> </w:t>
      </w:r>
    </w:p>
    <w:p w14:paraId="6AD53B67" w14:textId="77777777" w:rsidR="005754D0" w:rsidRPr="00C9205D" w:rsidRDefault="005754D0" w:rsidP="00D11A8E">
      <w:pPr>
        <w:numPr>
          <w:ilvl w:val="0"/>
          <w:numId w:val="8"/>
        </w:numPr>
        <w:spacing w:line="240" w:lineRule="auto"/>
        <w:ind w:left="745" w:hanging="283"/>
        <w:jc w:val="left"/>
        <w:rPr>
          <w:rFonts w:asciiTheme="minorHAnsi" w:hAnsiTheme="minorHAnsi" w:cstheme="minorHAnsi"/>
          <w:sz w:val="20"/>
          <w:szCs w:val="22"/>
          <w:lang w:val="es-ES"/>
        </w:rPr>
      </w:pPr>
      <w:r w:rsidRPr="00C9205D">
        <w:rPr>
          <w:rFonts w:asciiTheme="minorHAnsi" w:hAnsiTheme="minorHAnsi" w:cstheme="minorHAnsi"/>
          <w:sz w:val="20"/>
          <w:szCs w:val="22"/>
          <w:lang w:val="es-ES"/>
        </w:rPr>
        <w:t xml:space="preserve">positivity for TCF3-HLF1 (E2A-HLF) </w:t>
      </w:r>
      <w:r w:rsidRPr="00C9205D">
        <w:rPr>
          <w:rFonts w:asciiTheme="minorHAnsi" w:hAnsiTheme="minorHAnsi" w:cstheme="minorHAnsi"/>
          <w:b/>
          <w:sz w:val="20"/>
          <w:szCs w:val="22"/>
          <w:lang w:val="es-ES"/>
        </w:rPr>
        <w:t>or</w:t>
      </w:r>
      <w:r w:rsidRPr="00C9205D">
        <w:rPr>
          <w:rFonts w:asciiTheme="minorHAnsi" w:hAnsiTheme="minorHAnsi" w:cstheme="minorHAnsi"/>
          <w:sz w:val="20"/>
          <w:szCs w:val="22"/>
          <w:lang w:val="es-ES"/>
        </w:rPr>
        <w:t xml:space="preserve"> </w:t>
      </w:r>
    </w:p>
    <w:p w14:paraId="1154C320" w14:textId="77777777" w:rsidR="005754D0" w:rsidRPr="00945E91" w:rsidRDefault="005754D0" w:rsidP="00D11A8E">
      <w:pPr>
        <w:numPr>
          <w:ilvl w:val="0"/>
          <w:numId w:val="8"/>
        </w:numPr>
        <w:spacing w:line="240" w:lineRule="auto"/>
        <w:ind w:left="745" w:hanging="283"/>
        <w:jc w:val="left"/>
        <w:rPr>
          <w:rFonts w:asciiTheme="minorHAnsi" w:hAnsiTheme="minorHAnsi" w:cstheme="minorHAnsi"/>
          <w:sz w:val="20"/>
          <w:szCs w:val="22"/>
          <w:lang w:val="de-DE"/>
        </w:rPr>
      </w:pPr>
      <w:r w:rsidRPr="00945E91">
        <w:rPr>
          <w:rFonts w:asciiTheme="minorHAnsi" w:hAnsiTheme="minorHAnsi" w:cstheme="minorHAnsi"/>
          <w:sz w:val="20"/>
          <w:szCs w:val="22"/>
          <w:lang w:val="de-DE"/>
        </w:rPr>
        <w:t xml:space="preserve">hypodiploidy &lt;45 chromosomes </w:t>
      </w:r>
      <w:r w:rsidRPr="00945E91">
        <w:rPr>
          <w:rFonts w:asciiTheme="minorHAnsi" w:hAnsiTheme="minorHAnsi" w:cstheme="minorHAnsi"/>
          <w:b/>
          <w:sz w:val="20"/>
          <w:szCs w:val="22"/>
          <w:lang w:val="de-DE"/>
        </w:rPr>
        <w:t>or</w:t>
      </w:r>
      <w:r w:rsidRPr="00945E91">
        <w:rPr>
          <w:rFonts w:asciiTheme="minorHAnsi" w:hAnsiTheme="minorHAnsi" w:cstheme="minorHAnsi"/>
          <w:sz w:val="20"/>
          <w:szCs w:val="22"/>
          <w:lang w:val="de-DE"/>
        </w:rPr>
        <w:t xml:space="preserve"> </w:t>
      </w:r>
    </w:p>
    <w:p w14:paraId="7BCE5AE5" w14:textId="77777777" w:rsidR="005754D0" w:rsidRPr="00A21498" w:rsidRDefault="005754D0" w:rsidP="00D11A8E">
      <w:pPr>
        <w:numPr>
          <w:ilvl w:val="0"/>
          <w:numId w:val="8"/>
        </w:numPr>
        <w:spacing w:line="240" w:lineRule="auto"/>
        <w:ind w:left="745" w:hanging="283"/>
        <w:jc w:val="left"/>
        <w:rPr>
          <w:rFonts w:asciiTheme="minorHAnsi" w:hAnsiTheme="minorHAnsi" w:cstheme="minorHAnsi"/>
          <w:sz w:val="20"/>
          <w:szCs w:val="22"/>
          <w:lang w:val="de-DE"/>
        </w:rPr>
      </w:pPr>
      <w:r w:rsidRPr="00A21498">
        <w:rPr>
          <w:rFonts w:asciiTheme="minorHAnsi" w:hAnsiTheme="minorHAnsi" w:cstheme="minorHAnsi"/>
          <w:sz w:val="20"/>
          <w:szCs w:val="22"/>
          <w:lang w:val="de-DE"/>
        </w:rPr>
        <w:t xml:space="preserve">FCM-MRD in BM on day 15 ≥ 10% and not ETV6-RUNX1 (TEL-AML1) positive </w:t>
      </w:r>
      <w:r w:rsidRPr="00A21498">
        <w:rPr>
          <w:rFonts w:asciiTheme="minorHAnsi" w:hAnsiTheme="minorHAnsi" w:cstheme="minorHAnsi"/>
          <w:b/>
          <w:sz w:val="20"/>
          <w:szCs w:val="22"/>
          <w:lang w:val="de-DE"/>
        </w:rPr>
        <w:t>or</w:t>
      </w:r>
      <w:r w:rsidRPr="00A21498">
        <w:rPr>
          <w:rFonts w:asciiTheme="minorHAnsi" w:hAnsiTheme="minorHAnsi" w:cstheme="minorHAnsi"/>
          <w:sz w:val="20"/>
          <w:szCs w:val="22"/>
          <w:lang w:val="de-DE"/>
        </w:rPr>
        <w:t xml:space="preserve"> </w:t>
      </w:r>
    </w:p>
    <w:p w14:paraId="3681ECD7" w14:textId="77777777" w:rsidR="005754D0" w:rsidRPr="00A21498" w:rsidRDefault="005754D0" w:rsidP="00D11A8E">
      <w:pPr>
        <w:numPr>
          <w:ilvl w:val="0"/>
          <w:numId w:val="8"/>
        </w:numPr>
        <w:spacing w:line="240" w:lineRule="auto"/>
        <w:ind w:left="745" w:hanging="283"/>
        <w:jc w:val="left"/>
        <w:rPr>
          <w:rFonts w:asciiTheme="minorHAnsi" w:hAnsiTheme="minorHAnsi" w:cstheme="minorHAnsi"/>
          <w:sz w:val="20"/>
          <w:szCs w:val="22"/>
          <w:lang w:val="de-DE"/>
        </w:rPr>
      </w:pPr>
      <w:r w:rsidRPr="00A21498">
        <w:rPr>
          <w:rFonts w:asciiTheme="minorHAnsi" w:hAnsiTheme="minorHAnsi" w:cstheme="minorHAnsi"/>
          <w:sz w:val="20"/>
          <w:szCs w:val="22"/>
          <w:lang w:val="de-DE"/>
        </w:rPr>
        <w:t xml:space="preserve">IKZF1plus and PCR-MRD at TP1 positive </w:t>
      </w:r>
      <w:r w:rsidRPr="00A21498">
        <w:rPr>
          <w:rFonts w:asciiTheme="minorHAnsi" w:hAnsiTheme="minorHAnsi" w:cstheme="minorHAnsi"/>
          <w:b/>
          <w:sz w:val="20"/>
          <w:szCs w:val="22"/>
          <w:lang w:val="de-DE"/>
        </w:rPr>
        <w:t>or</w:t>
      </w:r>
      <w:r w:rsidRPr="00A21498">
        <w:rPr>
          <w:rFonts w:asciiTheme="minorHAnsi" w:hAnsiTheme="minorHAnsi" w:cstheme="minorHAnsi"/>
          <w:sz w:val="20"/>
          <w:szCs w:val="22"/>
          <w:lang w:val="de-DE"/>
        </w:rPr>
        <w:t xml:space="preserve"> inconclusive </w:t>
      </w:r>
      <w:r w:rsidRPr="00A21498">
        <w:rPr>
          <w:rFonts w:asciiTheme="minorHAnsi" w:hAnsiTheme="minorHAnsi" w:cstheme="minorHAnsi"/>
          <w:b/>
          <w:sz w:val="20"/>
          <w:szCs w:val="22"/>
          <w:lang w:val="de-DE"/>
        </w:rPr>
        <w:t>and</w:t>
      </w:r>
      <w:r w:rsidRPr="00A21498">
        <w:rPr>
          <w:rFonts w:asciiTheme="minorHAnsi" w:hAnsiTheme="minorHAnsi" w:cstheme="minorHAnsi"/>
          <w:sz w:val="20"/>
          <w:szCs w:val="22"/>
          <w:lang w:val="de-DE"/>
        </w:rPr>
        <w:t xml:space="preserve"> not positive for ETV6-RUNX1, TCF3-PBX1 </w:t>
      </w:r>
      <w:r w:rsidRPr="00A21498">
        <w:rPr>
          <w:rFonts w:asciiTheme="minorHAnsi" w:hAnsiTheme="minorHAnsi" w:cstheme="minorHAnsi"/>
          <w:b/>
          <w:sz w:val="20"/>
          <w:szCs w:val="22"/>
          <w:lang w:val="de-DE"/>
        </w:rPr>
        <w:t>or</w:t>
      </w:r>
      <w:r w:rsidRPr="00A21498">
        <w:rPr>
          <w:rFonts w:asciiTheme="minorHAnsi" w:hAnsiTheme="minorHAnsi" w:cstheme="minorHAnsi"/>
          <w:sz w:val="20"/>
          <w:szCs w:val="22"/>
          <w:lang w:val="de-DE"/>
        </w:rPr>
        <w:t xml:space="preserve"> KMT2A rearrangement other than KMT2A-AFF1 </w:t>
      </w:r>
      <w:r w:rsidRPr="00A21498">
        <w:rPr>
          <w:rFonts w:asciiTheme="minorHAnsi" w:hAnsiTheme="minorHAnsi" w:cstheme="minorHAnsi"/>
          <w:b/>
          <w:sz w:val="20"/>
          <w:szCs w:val="22"/>
          <w:lang w:val="de-DE"/>
        </w:rPr>
        <w:t>or</w:t>
      </w:r>
      <w:r w:rsidRPr="00A21498">
        <w:rPr>
          <w:rFonts w:asciiTheme="minorHAnsi" w:hAnsiTheme="minorHAnsi" w:cstheme="minorHAnsi"/>
          <w:sz w:val="20"/>
          <w:szCs w:val="22"/>
          <w:lang w:val="de-DE"/>
        </w:rPr>
        <w:t xml:space="preserve"> </w:t>
      </w:r>
    </w:p>
    <w:p w14:paraId="3167D271" w14:textId="77777777" w:rsidR="005754D0" w:rsidRPr="00A21498" w:rsidRDefault="005754D0" w:rsidP="00D11A8E">
      <w:pPr>
        <w:numPr>
          <w:ilvl w:val="0"/>
          <w:numId w:val="8"/>
        </w:numPr>
        <w:spacing w:line="240" w:lineRule="auto"/>
        <w:ind w:left="745" w:hanging="283"/>
        <w:jc w:val="left"/>
        <w:rPr>
          <w:rFonts w:asciiTheme="minorHAnsi" w:hAnsiTheme="minorHAnsi" w:cstheme="minorHAnsi"/>
          <w:sz w:val="20"/>
          <w:szCs w:val="22"/>
          <w:lang w:val="de-DE"/>
        </w:rPr>
      </w:pPr>
      <w:r w:rsidRPr="00A21498">
        <w:rPr>
          <w:rFonts w:asciiTheme="minorHAnsi" w:hAnsiTheme="minorHAnsi" w:cstheme="minorHAnsi"/>
          <w:sz w:val="20"/>
          <w:szCs w:val="22"/>
          <w:lang w:val="de-DE"/>
        </w:rPr>
        <w:t>PCR-MRD at „Time Point 1“ ≥ 5x10-4</w:t>
      </w:r>
    </w:p>
    <w:p w14:paraId="770106D3" w14:textId="77777777" w:rsidR="005754D0" w:rsidRPr="00945E91" w:rsidRDefault="005754D0" w:rsidP="005754D0">
      <w:pPr>
        <w:spacing w:line="276" w:lineRule="auto"/>
        <w:jc w:val="both"/>
        <w:rPr>
          <w:rFonts w:asciiTheme="minorHAnsi" w:hAnsiTheme="minorHAnsi" w:cstheme="minorHAnsi"/>
          <w:sz w:val="20"/>
          <w:lang w:val="de-DE"/>
        </w:rPr>
      </w:pPr>
      <w:r w:rsidRPr="00945E91">
        <w:rPr>
          <w:rFonts w:asciiTheme="minorHAnsi" w:hAnsiTheme="minorHAnsi" w:cstheme="minorHAnsi"/>
          <w:sz w:val="20"/>
          <w:lang w:val="de-DE"/>
        </w:rPr>
        <w:t>Alle anderen prec B-ALL/LBL oder unknown phenotype Leukämien werden als „early non-High Risk“ bezeichnet.</w:t>
      </w:r>
    </w:p>
    <w:p w14:paraId="7D6FBB51" w14:textId="77777777" w:rsidR="005754D0" w:rsidRPr="00945E91" w:rsidRDefault="005754D0" w:rsidP="005754D0">
      <w:pPr>
        <w:spacing w:line="276" w:lineRule="auto"/>
        <w:jc w:val="both"/>
        <w:rPr>
          <w:rFonts w:asciiTheme="minorHAnsi" w:hAnsiTheme="minorHAnsi" w:cstheme="minorHAnsi"/>
          <w:sz w:val="20"/>
          <w:lang w:val="de-DE"/>
        </w:rPr>
      </w:pPr>
    </w:p>
    <w:p w14:paraId="42721D91" w14:textId="5D5F979F" w:rsidR="005754D0" w:rsidRPr="00945E91" w:rsidRDefault="005754D0" w:rsidP="005754D0">
      <w:pPr>
        <w:spacing w:line="276" w:lineRule="auto"/>
        <w:jc w:val="both"/>
        <w:rPr>
          <w:rFonts w:asciiTheme="minorHAnsi" w:hAnsiTheme="minorHAnsi" w:cstheme="minorHAnsi"/>
          <w:b/>
          <w:lang w:val="de-DE"/>
        </w:rPr>
      </w:pPr>
      <w:r w:rsidRPr="00945E91">
        <w:rPr>
          <w:rFonts w:asciiTheme="minorHAnsi" w:hAnsiTheme="minorHAnsi" w:cstheme="minorHAnsi"/>
          <w:b/>
          <w:lang w:val="de-DE"/>
        </w:rPr>
        <w:t>Risikogruppierung zum „Time Point 2“ (Finale Risikogruppierung)</w:t>
      </w:r>
    </w:p>
    <w:p w14:paraId="2EE5295B"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7C5055EA" wp14:editId="6CCB3DF4">
            <wp:extent cx="3850640" cy="3534707"/>
            <wp:effectExtent l="19050" t="19050" r="16510" b="27940"/>
            <wp:docPr id="20" name="Grafik 6">
              <a:extLst xmlns:a="http://schemas.openxmlformats.org/drawingml/2006/main">
                <a:ext uri="{FF2B5EF4-FFF2-40B4-BE49-F238E27FC236}">
                  <a16:creationId xmlns:a16="http://schemas.microsoft.com/office/drawing/2014/main" id="{0F7F58E1-C656-4039-A1FE-A845F8C7E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0F7F58E1-C656-4039-A1FE-A845F8C7E320}"/>
                        </a:ext>
                      </a:extLst>
                    </pic:cNvPr>
                    <pic:cNvPicPr>
                      <a:picLocks noChangeAspect="1"/>
                    </pic:cNvPicPr>
                  </pic:nvPicPr>
                  <pic:blipFill rotWithShape="1">
                    <a:blip r:embed="rId20"/>
                    <a:srcRect l="-1525" r="-1767"/>
                    <a:stretch/>
                  </pic:blipFill>
                  <pic:spPr bwMode="auto">
                    <a:xfrm>
                      <a:off x="0" y="0"/>
                      <a:ext cx="3901714" cy="358159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7774883C" w14:textId="75768490" w:rsidR="005754D0" w:rsidRPr="00945E91" w:rsidRDefault="00A13BB5" w:rsidP="005754D0">
      <w:pPr>
        <w:spacing w:line="276" w:lineRule="auto"/>
        <w:jc w:val="both"/>
        <w:rPr>
          <w:rFonts w:asciiTheme="minorHAnsi" w:hAnsiTheme="minorHAnsi" w:cstheme="minorHAnsi"/>
          <w:b/>
          <w:u w:val="single"/>
          <w:lang w:val="de-DE"/>
        </w:rPr>
      </w:pPr>
      <w:r w:rsidRPr="00945E91">
        <w:rPr>
          <w:rFonts w:asciiTheme="minorHAnsi" w:hAnsiTheme="minorHAnsi" w:cstheme="minorHAnsi"/>
          <w:b/>
          <w:u w:val="single"/>
          <w:lang w:val="de-DE"/>
        </w:rPr>
        <w:lastRenderedPageBreak/>
        <w:t>Flowcharts</w:t>
      </w:r>
      <w:r w:rsidR="005754D0" w:rsidRPr="00945E91">
        <w:rPr>
          <w:rFonts w:asciiTheme="minorHAnsi" w:hAnsiTheme="minorHAnsi" w:cstheme="minorHAnsi"/>
          <w:b/>
          <w:u w:val="single"/>
          <w:lang w:val="de-DE"/>
        </w:rPr>
        <w:t xml:space="preserve"> zur Risikobestimmung für die Precursor T-ALL/LBL</w:t>
      </w:r>
    </w:p>
    <w:p w14:paraId="4C9B6F37" w14:textId="77777777" w:rsidR="005754D0" w:rsidRPr="00945E91" w:rsidRDefault="005754D0" w:rsidP="005754D0">
      <w:pPr>
        <w:spacing w:line="276" w:lineRule="auto"/>
        <w:jc w:val="both"/>
        <w:rPr>
          <w:rFonts w:asciiTheme="minorHAnsi" w:hAnsiTheme="minorHAnsi" w:cstheme="minorHAnsi"/>
          <w:b/>
          <w:sz w:val="10"/>
          <w:u w:val="single"/>
          <w:lang w:val="de-DE"/>
        </w:rPr>
      </w:pPr>
    </w:p>
    <w:tbl>
      <w:tblPr>
        <w:tblW w:w="0" w:type="auto"/>
        <w:tblLook w:val="04A0" w:firstRow="1" w:lastRow="0" w:firstColumn="1" w:lastColumn="0" w:noHBand="0" w:noVBand="1"/>
      </w:tblPr>
      <w:tblGrid>
        <w:gridCol w:w="3681"/>
        <w:gridCol w:w="5691"/>
      </w:tblGrid>
      <w:tr w:rsidR="005754D0" w:rsidRPr="00945E91" w14:paraId="6D79F3AF" w14:textId="77777777" w:rsidTr="005754D0">
        <w:tc>
          <w:tcPr>
            <w:tcW w:w="3681" w:type="dxa"/>
          </w:tcPr>
          <w:p w14:paraId="02066FEB" w14:textId="77777777" w:rsidR="005754D0" w:rsidRPr="00945E91" w:rsidRDefault="005754D0" w:rsidP="005754D0">
            <w:pPr>
              <w:spacing w:line="276" w:lineRule="auto"/>
              <w:jc w:val="both"/>
              <w:rPr>
                <w:rFonts w:asciiTheme="minorHAnsi" w:hAnsiTheme="minorHAnsi" w:cstheme="minorHAnsi"/>
                <w:b/>
                <w:u w:val="single"/>
                <w:lang w:val="de-DE"/>
              </w:rPr>
            </w:pPr>
            <w:r w:rsidRPr="00945E91">
              <w:rPr>
                <w:rFonts w:asciiTheme="minorHAnsi" w:hAnsiTheme="minorHAnsi" w:cstheme="minorHAnsi"/>
                <w:noProof/>
                <w:lang w:eastAsia="de-AT"/>
              </w:rPr>
              <w:drawing>
                <wp:inline distT="0" distB="0" distL="0" distR="0" wp14:anchorId="709A6DBE" wp14:editId="7BE1EA5A">
                  <wp:extent cx="1749872" cy="1793240"/>
                  <wp:effectExtent l="0" t="0" r="3175" b="0"/>
                  <wp:docPr id="29" name="Grafik 4">
                    <a:extLst xmlns:a="http://schemas.openxmlformats.org/drawingml/2006/main">
                      <a:ext uri="{FF2B5EF4-FFF2-40B4-BE49-F238E27FC236}">
                        <a16:creationId xmlns:a16="http://schemas.microsoft.com/office/drawing/2014/main" id="{63507C70-C918-40BE-882B-12467BBE6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63507C70-C918-40BE-882B-12467BBE67B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7049" cy="1800595"/>
                          </a:xfrm>
                          <a:prstGeom prst="rect">
                            <a:avLst/>
                          </a:prstGeom>
                        </pic:spPr>
                      </pic:pic>
                    </a:graphicData>
                  </a:graphic>
                </wp:inline>
              </w:drawing>
            </w:r>
          </w:p>
        </w:tc>
        <w:tc>
          <w:tcPr>
            <w:tcW w:w="5691" w:type="dxa"/>
          </w:tcPr>
          <w:p w14:paraId="4C00432B" w14:textId="77777777" w:rsidR="005754D0" w:rsidRPr="00945E91" w:rsidRDefault="005754D0" w:rsidP="005754D0">
            <w:pPr>
              <w:spacing w:line="240" w:lineRule="auto"/>
              <w:jc w:val="left"/>
              <w:rPr>
                <w:rFonts w:asciiTheme="minorHAnsi" w:hAnsiTheme="minorHAnsi" w:cstheme="minorHAnsi"/>
                <w:b/>
                <w:sz w:val="18"/>
                <w:lang w:val="de-DE"/>
              </w:rPr>
            </w:pPr>
          </w:p>
          <w:p w14:paraId="411D9653" w14:textId="77777777" w:rsidR="005754D0" w:rsidRPr="00945E91" w:rsidRDefault="005754D0" w:rsidP="005754D0">
            <w:pPr>
              <w:spacing w:line="240" w:lineRule="auto"/>
              <w:jc w:val="left"/>
              <w:rPr>
                <w:rFonts w:asciiTheme="minorHAnsi" w:hAnsiTheme="minorHAnsi" w:cstheme="minorHAnsi"/>
                <w:b/>
                <w:sz w:val="18"/>
                <w:lang w:val="de-DE"/>
              </w:rPr>
            </w:pPr>
          </w:p>
          <w:p w14:paraId="271CC67F" w14:textId="77777777" w:rsidR="005754D0" w:rsidRPr="00945E91" w:rsidRDefault="005754D0" w:rsidP="005754D0">
            <w:pPr>
              <w:spacing w:line="240" w:lineRule="auto"/>
              <w:jc w:val="left"/>
              <w:rPr>
                <w:rFonts w:asciiTheme="minorHAnsi" w:hAnsiTheme="minorHAnsi" w:cstheme="minorHAnsi"/>
                <w:b/>
                <w:sz w:val="18"/>
                <w:lang w:val="de-DE"/>
              </w:rPr>
            </w:pPr>
          </w:p>
          <w:p w14:paraId="15F7AF89" w14:textId="5EC87422" w:rsidR="005754D0" w:rsidRPr="00945E91" w:rsidRDefault="005754D0" w:rsidP="005754D0">
            <w:pPr>
              <w:spacing w:line="240" w:lineRule="auto"/>
              <w:jc w:val="left"/>
              <w:rPr>
                <w:rFonts w:asciiTheme="minorHAnsi" w:hAnsiTheme="minorHAnsi" w:cstheme="minorHAnsi"/>
                <w:sz w:val="18"/>
                <w:lang w:val="de-DE"/>
              </w:rPr>
            </w:pPr>
            <w:r w:rsidRPr="00945E91">
              <w:rPr>
                <w:rFonts w:asciiTheme="minorHAnsi" w:hAnsiTheme="minorHAnsi" w:cstheme="minorHAnsi"/>
                <w:b/>
                <w:sz w:val="18"/>
                <w:lang w:val="de-DE"/>
              </w:rPr>
              <w:t xml:space="preserve">PGR </w:t>
            </w:r>
            <w:r w:rsidRPr="00945E91">
              <w:rPr>
                <w:rFonts w:asciiTheme="minorHAnsi" w:hAnsiTheme="minorHAnsi" w:cstheme="minorHAnsi"/>
                <w:sz w:val="18"/>
                <w:lang w:val="de-DE"/>
              </w:rPr>
              <w:t>Prednislon</w:t>
            </w:r>
            <w:r w:rsidR="00A13BB5">
              <w:rPr>
                <w:rFonts w:asciiTheme="minorHAnsi" w:hAnsiTheme="minorHAnsi" w:cstheme="minorHAnsi"/>
                <w:sz w:val="18"/>
                <w:lang w:val="de-DE"/>
              </w:rPr>
              <w:t>e</w:t>
            </w:r>
            <w:r w:rsidRPr="00945E91">
              <w:rPr>
                <w:rFonts w:asciiTheme="minorHAnsi" w:hAnsiTheme="minorHAnsi" w:cstheme="minorHAnsi"/>
                <w:sz w:val="18"/>
                <w:lang w:val="de-DE"/>
              </w:rPr>
              <w:t xml:space="preserve"> good responder</w:t>
            </w:r>
          </w:p>
          <w:p w14:paraId="5A15D37D" w14:textId="77777777" w:rsidR="005754D0" w:rsidRPr="00945E91" w:rsidRDefault="005754D0" w:rsidP="005754D0">
            <w:pPr>
              <w:spacing w:line="240" w:lineRule="auto"/>
              <w:jc w:val="left"/>
              <w:rPr>
                <w:rFonts w:asciiTheme="minorHAnsi" w:hAnsiTheme="minorHAnsi" w:cstheme="minorHAnsi"/>
                <w:sz w:val="18"/>
                <w:lang w:val="de-DE"/>
              </w:rPr>
            </w:pPr>
            <w:r w:rsidRPr="00945E91">
              <w:rPr>
                <w:rFonts w:asciiTheme="minorHAnsi" w:hAnsiTheme="minorHAnsi" w:cstheme="minorHAnsi"/>
                <w:b/>
                <w:sz w:val="18"/>
                <w:lang w:val="de-DE"/>
              </w:rPr>
              <w:t xml:space="preserve">PPR </w:t>
            </w:r>
            <w:r w:rsidRPr="00945E91">
              <w:rPr>
                <w:rFonts w:asciiTheme="minorHAnsi" w:hAnsiTheme="minorHAnsi" w:cstheme="minorHAnsi"/>
                <w:sz w:val="18"/>
                <w:lang w:val="de-DE"/>
              </w:rPr>
              <w:t>Prednislone poor responder (PPR ist definiert als eine absolute Blastenzahl im peripheren Blut ≥1 G/l am Ende der zytoreduktiven Phase mit 7 Tagen Prednislon und it-MTX).</w:t>
            </w:r>
          </w:p>
          <w:p w14:paraId="125F4F82" w14:textId="77777777" w:rsidR="005754D0" w:rsidRPr="00945E91" w:rsidRDefault="005754D0" w:rsidP="005754D0">
            <w:pPr>
              <w:spacing w:line="276" w:lineRule="auto"/>
              <w:jc w:val="both"/>
              <w:rPr>
                <w:rFonts w:asciiTheme="minorHAnsi" w:hAnsiTheme="minorHAnsi" w:cstheme="minorHAnsi"/>
                <w:b/>
                <w:u w:val="single"/>
                <w:lang w:val="de-DE"/>
              </w:rPr>
            </w:pPr>
          </w:p>
        </w:tc>
      </w:tr>
    </w:tbl>
    <w:p w14:paraId="7A866905" w14:textId="77777777" w:rsidR="005754D0" w:rsidRPr="00945E91" w:rsidRDefault="005754D0" w:rsidP="005754D0">
      <w:pPr>
        <w:spacing w:line="240" w:lineRule="auto"/>
        <w:jc w:val="left"/>
        <w:rPr>
          <w:rFonts w:asciiTheme="minorHAnsi" w:hAnsiTheme="minorHAnsi" w:cstheme="minorHAnsi"/>
          <w:lang w:val="de-DE"/>
        </w:rPr>
      </w:pPr>
    </w:p>
    <w:p w14:paraId="1177ED1D" w14:textId="77777777" w:rsidR="005754D0" w:rsidRPr="00945E91" w:rsidRDefault="005754D0" w:rsidP="005754D0">
      <w:pPr>
        <w:spacing w:line="240" w:lineRule="auto"/>
        <w:jc w:val="left"/>
        <w:rPr>
          <w:rFonts w:asciiTheme="minorHAnsi" w:hAnsiTheme="minorHAnsi" w:cstheme="minorHAnsi"/>
          <w:u w:val="single"/>
          <w:lang w:val="de-DE"/>
        </w:rPr>
      </w:pPr>
      <w:r w:rsidRPr="00945E91">
        <w:rPr>
          <w:rFonts w:asciiTheme="minorHAnsi" w:hAnsiTheme="minorHAnsi" w:cstheme="minorHAnsi"/>
          <w:u w:val="single"/>
          <w:lang w:val="de-DE"/>
        </w:rPr>
        <w:t>Risikostratifizierung zum „Time Point 1“</w:t>
      </w:r>
    </w:p>
    <w:p w14:paraId="40D03499"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6050A754" wp14:editId="53325062">
            <wp:extent cx="3496616" cy="3246120"/>
            <wp:effectExtent l="19050" t="19050" r="27940" b="1143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7725" cy="3284284"/>
                    </a:xfrm>
                    <a:prstGeom prst="rect">
                      <a:avLst/>
                    </a:prstGeom>
                    <a:noFill/>
                    <a:ln>
                      <a:solidFill>
                        <a:schemeClr val="accent1"/>
                      </a:solidFill>
                    </a:ln>
                  </pic:spPr>
                </pic:pic>
              </a:graphicData>
            </a:graphic>
          </wp:inline>
        </w:drawing>
      </w:r>
    </w:p>
    <w:p w14:paraId="0E7E9ADE" w14:textId="77777777" w:rsidR="005754D0" w:rsidRPr="00945E91" w:rsidRDefault="005754D0" w:rsidP="005754D0">
      <w:pPr>
        <w:spacing w:line="240" w:lineRule="auto"/>
        <w:jc w:val="left"/>
        <w:rPr>
          <w:rFonts w:asciiTheme="minorHAnsi" w:hAnsiTheme="minorHAnsi" w:cstheme="minorHAnsi"/>
          <w:lang w:val="de-DE"/>
        </w:rPr>
      </w:pPr>
    </w:p>
    <w:p w14:paraId="2A07DC7D" w14:textId="77777777" w:rsidR="005754D0" w:rsidRPr="00945E91" w:rsidRDefault="005754D0" w:rsidP="005754D0">
      <w:pPr>
        <w:spacing w:line="240" w:lineRule="auto"/>
        <w:jc w:val="left"/>
        <w:rPr>
          <w:rFonts w:asciiTheme="minorHAnsi" w:hAnsiTheme="minorHAnsi" w:cstheme="minorHAnsi"/>
          <w:u w:val="single"/>
          <w:lang w:val="de-DE"/>
        </w:rPr>
      </w:pPr>
      <w:r w:rsidRPr="00945E91">
        <w:rPr>
          <w:rFonts w:asciiTheme="minorHAnsi" w:hAnsiTheme="minorHAnsi" w:cstheme="minorHAnsi"/>
          <w:u w:val="single"/>
          <w:lang w:val="de-DE"/>
        </w:rPr>
        <w:t>Finale Risikostratifizierung zum „Time Point 2“</w:t>
      </w:r>
    </w:p>
    <w:p w14:paraId="0AA276D6"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01CF131C" wp14:editId="6060DBE0">
            <wp:extent cx="2352040" cy="2669095"/>
            <wp:effectExtent l="19050" t="19050" r="10160" b="171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8754" cy="2744802"/>
                    </a:xfrm>
                    <a:prstGeom prst="rect">
                      <a:avLst/>
                    </a:prstGeom>
                    <a:noFill/>
                    <a:ln>
                      <a:solidFill>
                        <a:schemeClr val="accent1"/>
                      </a:solidFill>
                    </a:ln>
                  </pic:spPr>
                </pic:pic>
              </a:graphicData>
            </a:graphic>
          </wp:inline>
        </w:drawing>
      </w:r>
      <w:r w:rsidRPr="00945E91">
        <w:rPr>
          <w:rFonts w:asciiTheme="minorHAnsi" w:hAnsiTheme="minorHAnsi" w:cstheme="minorHAnsi"/>
          <w:lang w:val="de-DE"/>
        </w:rPr>
        <w:br w:type="page"/>
      </w:r>
    </w:p>
    <w:p w14:paraId="775CC952" w14:textId="3708B379" w:rsidR="005754D0" w:rsidRPr="00945E91" w:rsidRDefault="005754D0" w:rsidP="005754D0">
      <w:pPr>
        <w:pStyle w:val="berschrift3"/>
        <w:rPr>
          <w:rFonts w:asciiTheme="minorHAnsi" w:hAnsiTheme="minorHAnsi" w:cstheme="minorHAnsi"/>
          <w:lang w:val="de-DE"/>
        </w:rPr>
      </w:pPr>
      <w:bookmarkStart w:id="41" w:name="_Toc70881126"/>
      <w:bookmarkStart w:id="42" w:name="_Toc74412405"/>
      <w:r w:rsidRPr="00945E91">
        <w:rPr>
          <w:rFonts w:asciiTheme="minorHAnsi" w:hAnsiTheme="minorHAnsi" w:cstheme="minorHAnsi"/>
          <w:lang w:val="de-DE"/>
        </w:rPr>
        <w:lastRenderedPageBreak/>
        <w:t>3.3.3</w:t>
      </w:r>
      <w:r w:rsidR="00D21C29" w:rsidRPr="00945E91">
        <w:rPr>
          <w:rFonts w:asciiTheme="minorHAnsi" w:hAnsiTheme="minorHAnsi" w:cstheme="minorHAnsi"/>
          <w:lang w:val="de-DE"/>
        </w:rPr>
        <w:t xml:space="preserve"> </w:t>
      </w:r>
      <w:r w:rsidRPr="00945E91">
        <w:rPr>
          <w:rFonts w:asciiTheme="minorHAnsi" w:hAnsiTheme="minorHAnsi" w:cstheme="minorHAnsi"/>
          <w:lang w:val="de-DE"/>
        </w:rPr>
        <w:t>Laboruntersuchungen gemäß AIEOP</w:t>
      </w:r>
      <w:bookmarkEnd w:id="41"/>
      <w:bookmarkEnd w:id="42"/>
      <w:r w:rsidRPr="00945E91">
        <w:rPr>
          <w:rFonts w:asciiTheme="minorHAnsi" w:hAnsiTheme="minorHAnsi" w:cstheme="minorHAnsi"/>
          <w:lang w:val="de-DE"/>
        </w:rPr>
        <w:t xml:space="preserve"> </w:t>
      </w:r>
    </w:p>
    <w:p w14:paraId="3DA435AB" w14:textId="77777777" w:rsidR="005754D0" w:rsidRPr="00945E91" w:rsidRDefault="005754D0" w:rsidP="005754D0">
      <w:pPr>
        <w:spacing w:line="240" w:lineRule="auto"/>
        <w:jc w:val="left"/>
        <w:rPr>
          <w:rFonts w:asciiTheme="minorHAnsi" w:hAnsiTheme="minorHAnsi" w:cstheme="minorHAnsi"/>
          <w:sz w:val="20"/>
          <w:lang w:val="de-DE"/>
        </w:rPr>
      </w:pPr>
    </w:p>
    <w:p w14:paraId="5FABA3BB"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noProof/>
          <w:sz w:val="20"/>
          <w:lang w:eastAsia="de-AT"/>
        </w:rPr>
        <w:drawing>
          <wp:inline distT="0" distB="0" distL="0" distR="0" wp14:anchorId="6993A89E" wp14:editId="60B8AABB">
            <wp:extent cx="5957570" cy="4393565"/>
            <wp:effectExtent l="0" t="0" r="5080" b="6985"/>
            <wp:docPr id="16" name="Grafik 1">
              <a:extLst xmlns:a="http://schemas.openxmlformats.org/drawingml/2006/main">
                <a:ext uri="{FF2B5EF4-FFF2-40B4-BE49-F238E27FC236}">
                  <a16:creationId xmlns:a16="http://schemas.microsoft.com/office/drawing/2014/main" id="{7CE8A5C7-BEB8-4F3C-8FA9-592932295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7CE8A5C7-BEB8-4F3C-8FA9-5929322955EB}"/>
                        </a:ext>
                      </a:extLst>
                    </pic:cNvPr>
                    <pic:cNvPicPr>
                      <a:picLocks noChangeAspect="1"/>
                    </pic:cNvPicPr>
                  </pic:nvPicPr>
                  <pic:blipFill>
                    <a:blip r:embed="rId24"/>
                    <a:stretch>
                      <a:fillRect/>
                    </a:stretch>
                  </pic:blipFill>
                  <pic:spPr>
                    <a:xfrm>
                      <a:off x="0" y="0"/>
                      <a:ext cx="5957570" cy="4393565"/>
                    </a:xfrm>
                    <a:prstGeom prst="rect">
                      <a:avLst/>
                    </a:prstGeom>
                  </pic:spPr>
                </pic:pic>
              </a:graphicData>
            </a:graphic>
          </wp:inline>
        </w:drawing>
      </w:r>
    </w:p>
    <w:p w14:paraId="56B52921" w14:textId="77777777" w:rsidR="005754D0" w:rsidRPr="00945E91" w:rsidRDefault="005754D0" w:rsidP="005754D0">
      <w:pPr>
        <w:spacing w:line="240" w:lineRule="auto"/>
        <w:jc w:val="left"/>
        <w:rPr>
          <w:rFonts w:asciiTheme="minorHAnsi" w:hAnsiTheme="minorHAnsi" w:cstheme="minorHAnsi"/>
          <w:sz w:val="20"/>
          <w:lang w:val="de-DE"/>
        </w:rPr>
      </w:pPr>
    </w:p>
    <w:p w14:paraId="7EF7BBEA" w14:textId="77777777" w:rsidR="005754D0" w:rsidRPr="00945E91" w:rsidRDefault="005754D0" w:rsidP="005754D0">
      <w:pPr>
        <w:spacing w:line="240" w:lineRule="auto"/>
        <w:jc w:val="left"/>
        <w:rPr>
          <w:rFonts w:asciiTheme="minorHAnsi" w:hAnsiTheme="minorHAnsi" w:cstheme="minorHAnsi"/>
          <w:sz w:val="20"/>
          <w:lang w:val="de-DE"/>
        </w:rPr>
      </w:pPr>
    </w:p>
    <w:p w14:paraId="00F0F38D" w14:textId="77777777" w:rsidR="005754D0" w:rsidRPr="00945E91" w:rsidRDefault="005754D0" w:rsidP="005754D0">
      <w:pPr>
        <w:spacing w:line="240" w:lineRule="auto"/>
        <w:jc w:val="left"/>
        <w:rPr>
          <w:rFonts w:asciiTheme="minorHAnsi" w:hAnsiTheme="minorHAnsi" w:cstheme="minorHAnsi"/>
          <w:sz w:val="20"/>
          <w:lang w:val="de-DE"/>
        </w:rPr>
      </w:pPr>
      <w:r w:rsidRPr="00945E91">
        <w:rPr>
          <w:rFonts w:asciiTheme="minorHAnsi" w:hAnsiTheme="minorHAnsi" w:cstheme="minorHAnsi"/>
          <w:sz w:val="20"/>
          <w:lang w:val="de-DE"/>
        </w:rPr>
        <w:br w:type="page"/>
      </w:r>
    </w:p>
    <w:p w14:paraId="36BC1F4C" w14:textId="458BE480" w:rsidR="005754D0" w:rsidRPr="00945E91" w:rsidRDefault="005754D0" w:rsidP="005754D0">
      <w:pPr>
        <w:pStyle w:val="berschrift3"/>
        <w:rPr>
          <w:rFonts w:asciiTheme="minorHAnsi" w:hAnsiTheme="minorHAnsi" w:cstheme="minorHAnsi"/>
          <w:lang w:val="de-DE"/>
        </w:rPr>
      </w:pPr>
      <w:bookmarkStart w:id="43" w:name="_Toc70881127"/>
      <w:bookmarkStart w:id="44" w:name="_Toc74412406"/>
      <w:r w:rsidRPr="00945E91">
        <w:rPr>
          <w:rFonts w:asciiTheme="minorHAnsi" w:hAnsiTheme="minorHAnsi" w:cstheme="minorHAnsi"/>
          <w:lang w:val="de-DE"/>
        </w:rPr>
        <w:lastRenderedPageBreak/>
        <w:t>3.3.4</w:t>
      </w:r>
      <w:r w:rsidR="00D41337" w:rsidRPr="00945E91">
        <w:rPr>
          <w:rFonts w:asciiTheme="minorHAnsi" w:hAnsiTheme="minorHAnsi" w:cstheme="minorHAnsi"/>
          <w:lang w:val="de-DE"/>
        </w:rPr>
        <w:t xml:space="preserve"> </w:t>
      </w:r>
      <w:r w:rsidRPr="00945E91">
        <w:rPr>
          <w:rFonts w:asciiTheme="minorHAnsi" w:hAnsiTheme="minorHAnsi" w:cstheme="minorHAnsi"/>
          <w:lang w:val="de-DE"/>
        </w:rPr>
        <w:t xml:space="preserve">Beginn, Unterbrechung </w:t>
      </w:r>
      <w:r w:rsidR="00D41337" w:rsidRPr="00945E91">
        <w:rPr>
          <w:rFonts w:asciiTheme="minorHAnsi" w:hAnsiTheme="minorHAnsi" w:cstheme="minorHAnsi"/>
          <w:lang w:val="de-DE"/>
        </w:rPr>
        <w:t>&amp;</w:t>
      </w:r>
      <w:r w:rsidRPr="00945E91">
        <w:rPr>
          <w:rFonts w:asciiTheme="minorHAnsi" w:hAnsiTheme="minorHAnsi" w:cstheme="minorHAnsi"/>
          <w:lang w:val="de-DE"/>
        </w:rPr>
        <w:t xml:space="preserve"> Wiederbeginn </w:t>
      </w:r>
      <w:r w:rsidR="00D41337" w:rsidRPr="00945E91">
        <w:rPr>
          <w:rFonts w:asciiTheme="minorHAnsi" w:hAnsiTheme="minorHAnsi" w:cstheme="minorHAnsi"/>
          <w:lang w:val="de-DE"/>
        </w:rPr>
        <w:t>von</w:t>
      </w:r>
      <w:r w:rsidRPr="00945E91">
        <w:rPr>
          <w:rFonts w:asciiTheme="minorHAnsi" w:hAnsiTheme="minorHAnsi" w:cstheme="minorHAnsi"/>
          <w:lang w:val="de-DE"/>
        </w:rPr>
        <w:t xml:space="preserve"> Therapieblöcke</w:t>
      </w:r>
      <w:bookmarkEnd w:id="43"/>
      <w:r w:rsidR="00D41337" w:rsidRPr="00945E91">
        <w:rPr>
          <w:rFonts w:asciiTheme="minorHAnsi" w:hAnsiTheme="minorHAnsi" w:cstheme="minorHAnsi"/>
          <w:lang w:val="de-DE"/>
        </w:rPr>
        <w:t>n</w:t>
      </w:r>
      <w:bookmarkEnd w:id="44"/>
    </w:p>
    <w:p w14:paraId="6A096D7E" w14:textId="77777777" w:rsidR="005754D0" w:rsidRPr="00945E91" w:rsidRDefault="005754D0" w:rsidP="005754D0">
      <w:pPr>
        <w:jc w:val="left"/>
        <w:rPr>
          <w:rFonts w:asciiTheme="minorHAnsi" w:hAnsiTheme="minorHAnsi" w:cstheme="minorHAnsi"/>
          <w:lang w:val="de-DE"/>
        </w:rPr>
      </w:pPr>
    </w:p>
    <w:tbl>
      <w:tblPr>
        <w:tblStyle w:val="TableNormal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8224"/>
      </w:tblGrid>
      <w:tr w:rsidR="005754D0" w:rsidRPr="00945E91" w14:paraId="360D740B" w14:textId="77777777" w:rsidTr="005754D0">
        <w:trPr>
          <w:trHeight w:val="149"/>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A59A3"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Induktion IA (inklusive Cortisonvorphase)</w:t>
            </w:r>
          </w:p>
        </w:tc>
      </w:tr>
      <w:tr w:rsidR="005754D0" w:rsidRPr="00945E91" w14:paraId="5CBDD507" w14:textId="77777777" w:rsidTr="005754D0">
        <w:trPr>
          <w:trHeight w:val="436"/>
        </w:trPr>
        <w:tc>
          <w:tcPr>
            <w:tcW w:w="1841" w:type="dxa"/>
            <w:tcBorders>
              <w:top w:val="single" w:sz="4" w:space="0" w:color="auto"/>
              <w:left w:val="single" w:sz="4" w:space="0" w:color="auto"/>
              <w:bottom w:val="single" w:sz="4" w:space="0" w:color="auto"/>
              <w:right w:val="single" w:sz="4" w:space="0" w:color="auto"/>
            </w:tcBorders>
          </w:tcPr>
          <w:p w14:paraId="3D299BD1" w14:textId="77777777" w:rsidR="005754D0" w:rsidRPr="00945E91" w:rsidRDefault="005754D0" w:rsidP="005754D0">
            <w:pPr>
              <w:pStyle w:val="TableParagraph"/>
              <w:ind w:left="107"/>
              <w:rPr>
                <w:rFonts w:asciiTheme="minorHAnsi" w:hAnsiTheme="minorHAnsi" w:cstheme="minorHAnsi"/>
                <w:sz w:val="20"/>
                <w:szCs w:val="20"/>
              </w:rPr>
            </w:pPr>
            <w:r w:rsidRPr="00945E91">
              <w:rPr>
                <w:rFonts w:asciiTheme="minorHAnsi" w:hAnsiTheme="minorHAnsi" w:cstheme="minorHAnsi"/>
                <w:sz w:val="20"/>
                <w:szCs w:val="20"/>
              </w:rPr>
              <w:t>Grundprinzipien</w:t>
            </w:r>
          </w:p>
        </w:tc>
        <w:tc>
          <w:tcPr>
            <w:tcW w:w="8224" w:type="dxa"/>
            <w:tcBorders>
              <w:top w:val="single" w:sz="4" w:space="0" w:color="auto"/>
              <w:left w:val="single" w:sz="4" w:space="0" w:color="auto"/>
              <w:bottom w:val="single" w:sz="4" w:space="0" w:color="auto"/>
              <w:right w:val="single" w:sz="4" w:space="0" w:color="auto"/>
            </w:tcBorders>
          </w:tcPr>
          <w:p w14:paraId="004B8842"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Alle Protokolle in der Induktion IA dauern 33 Tage.</w:t>
            </w:r>
          </w:p>
          <w:p w14:paraId="6CB6EB98" w14:textId="77777777" w:rsidR="005754D0" w:rsidRPr="00945E91" w:rsidRDefault="005754D0" w:rsidP="00D11A8E">
            <w:pPr>
              <w:pStyle w:val="TableParagraph"/>
              <w:numPr>
                <w:ilvl w:val="0"/>
                <w:numId w:val="35"/>
              </w:numPr>
              <w:tabs>
                <w:tab w:val="left" w:pos="425"/>
              </w:tabs>
              <w:rPr>
                <w:rFonts w:asciiTheme="minorHAnsi" w:hAnsiTheme="minorHAnsi" w:cstheme="minorHAnsi"/>
                <w:sz w:val="20"/>
                <w:szCs w:val="20"/>
              </w:rPr>
            </w:pPr>
            <w:r w:rsidRPr="00945E91">
              <w:rPr>
                <w:rFonts w:asciiTheme="minorHAnsi" w:hAnsiTheme="minorHAnsi" w:cstheme="minorHAnsi"/>
                <w:b/>
                <w:sz w:val="20"/>
                <w:szCs w:val="20"/>
              </w:rPr>
              <w:t>IA</w:t>
            </w:r>
            <w:r w:rsidRPr="00945E91">
              <w:rPr>
                <w:rFonts w:asciiTheme="minorHAnsi" w:hAnsiTheme="minorHAnsi" w:cstheme="minorHAnsi"/>
                <w:b/>
                <w:sz w:val="20"/>
                <w:szCs w:val="20"/>
                <w:vertAlign w:val="subscript"/>
              </w:rPr>
              <w:t>D</w:t>
            </w:r>
            <w:r w:rsidRPr="00945E91">
              <w:rPr>
                <w:rFonts w:asciiTheme="minorHAnsi" w:hAnsiTheme="minorHAnsi" w:cstheme="minorHAnsi"/>
                <w:b/>
                <w:sz w:val="20"/>
                <w:szCs w:val="20"/>
              </w:rPr>
              <w:t xml:space="preserve"> (IA-DEXA)</w:t>
            </w:r>
            <w:r w:rsidRPr="00945E91">
              <w:rPr>
                <w:rFonts w:asciiTheme="minorHAnsi" w:hAnsiTheme="minorHAnsi" w:cstheme="minorHAnsi"/>
                <w:sz w:val="20"/>
                <w:szCs w:val="20"/>
              </w:rPr>
              <w:t xml:space="preserve"> für alle T-ALL ohne Hochrisiko-Kriterien</w:t>
            </w:r>
          </w:p>
          <w:p w14:paraId="40791916" w14:textId="77777777" w:rsidR="005754D0" w:rsidRPr="00945E91" w:rsidRDefault="005754D0" w:rsidP="00D11A8E">
            <w:pPr>
              <w:pStyle w:val="TableParagraph"/>
              <w:numPr>
                <w:ilvl w:val="0"/>
                <w:numId w:val="35"/>
              </w:numPr>
              <w:tabs>
                <w:tab w:val="left" w:pos="425"/>
              </w:tabs>
              <w:rPr>
                <w:rFonts w:asciiTheme="minorHAnsi" w:hAnsiTheme="minorHAnsi" w:cstheme="minorHAnsi"/>
                <w:sz w:val="20"/>
                <w:szCs w:val="20"/>
              </w:rPr>
            </w:pPr>
            <w:r w:rsidRPr="00945E91">
              <w:rPr>
                <w:rFonts w:asciiTheme="minorHAnsi" w:hAnsiTheme="minorHAnsi" w:cstheme="minorHAnsi"/>
                <w:b/>
                <w:sz w:val="20"/>
                <w:szCs w:val="20"/>
              </w:rPr>
              <w:t>IA</w:t>
            </w:r>
            <w:r w:rsidRPr="00945E91">
              <w:rPr>
                <w:rFonts w:asciiTheme="minorHAnsi" w:hAnsiTheme="minorHAnsi" w:cstheme="minorHAnsi"/>
                <w:sz w:val="20"/>
                <w:szCs w:val="20"/>
              </w:rPr>
              <w:t xml:space="preserve"> für alle precursor B-ALL/LBL (or unknown immunophenotype). </w:t>
            </w:r>
          </w:p>
          <w:p w14:paraId="00C43464" w14:textId="77777777" w:rsidR="005754D0" w:rsidRPr="00945E91" w:rsidRDefault="005754D0" w:rsidP="00D11A8E">
            <w:pPr>
              <w:pStyle w:val="TableParagraph"/>
              <w:numPr>
                <w:ilvl w:val="0"/>
                <w:numId w:val="35"/>
              </w:numPr>
              <w:tabs>
                <w:tab w:val="left" w:pos="425"/>
              </w:tabs>
              <w:rPr>
                <w:rFonts w:asciiTheme="minorHAnsi" w:hAnsiTheme="minorHAnsi" w:cstheme="minorHAnsi"/>
                <w:sz w:val="20"/>
                <w:szCs w:val="20"/>
              </w:rPr>
            </w:pPr>
            <w:r w:rsidRPr="00945E91">
              <w:rPr>
                <w:rFonts w:asciiTheme="minorHAnsi" w:hAnsiTheme="minorHAnsi" w:cstheme="minorHAnsi"/>
                <w:b/>
                <w:sz w:val="20"/>
                <w:szCs w:val="20"/>
              </w:rPr>
              <w:t>IA</w:t>
            </w:r>
            <w:r w:rsidRPr="00945E91">
              <w:rPr>
                <w:rFonts w:asciiTheme="minorHAnsi" w:hAnsiTheme="minorHAnsi" w:cstheme="minorHAnsi"/>
                <w:b/>
                <w:sz w:val="20"/>
                <w:szCs w:val="20"/>
                <w:vertAlign w:val="subscript"/>
              </w:rPr>
              <w:t>CPM</w:t>
            </w:r>
            <w:r w:rsidRPr="00945E91">
              <w:rPr>
                <w:rFonts w:asciiTheme="minorHAnsi" w:hAnsiTheme="minorHAnsi" w:cstheme="minorHAnsi"/>
                <w:sz w:val="20"/>
                <w:szCs w:val="20"/>
              </w:rPr>
              <w:t xml:space="preserve"> für alle High Risk T-ALL oder „Prednisone Poor Responder“ (siehe unten)</w:t>
            </w:r>
          </w:p>
          <w:p w14:paraId="021A9A2D" w14:textId="77777777" w:rsidR="005754D0" w:rsidRPr="00945E91" w:rsidRDefault="005754D0" w:rsidP="005754D0">
            <w:pPr>
              <w:pStyle w:val="TableParagraph"/>
              <w:tabs>
                <w:tab w:val="left" w:pos="425"/>
              </w:tabs>
              <w:rPr>
                <w:rFonts w:asciiTheme="minorHAnsi" w:hAnsiTheme="minorHAnsi" w:cstheme="minorHAnsi"/>
                <w:sz w:val="20"/>
                <w:szCs w:val="20"/>
              </w:rPr>
            </w:pPr>
          </w:p>
          <w:p w14:paraId="51996C84" w14:textId="4B1C24E0"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Diese Phase IA hat ein besonders hohes Komplikationsrisiko inklusive schwerwiegender Infektionen. Daher engmaschige klinische Observanz!  </w:t>
            </w:r>
          </w:p>
          <w:p w14:paraId="05E4E3D3"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b/>
                <w:sz w:val="20"/>
                <w:szCs w:val="20"/>
              </w:rPr>
              <w:t>Möglichst zeitgerechte Durchführung ohne</w:t>
            </w:r>
            <w:r w:rsidRPr="00945E91">
              <w:rPr>
                <w:rFonts w:asciiTheme="minorHAnsi" w:hAnsiTheme="minorHAnsi" w:cstheme="minorHAnsi"/>
                <w:b/>
                <w:spacing w:val="-4"/>
                <w:sz w:val="20"/>
                <w:szCs w:val="20"/>
              </w:rPr>
              <w:t xml:space="preserve"> </w:t>
            </w:r>
            <w:r w:rsidRPr="00945E91">
              <w:rPr>
                <w:rFonts w:asciiTheme="minorHAnsi" w:hAnsiTheme="minorHAnsi" w:cstheme="minorHAnsi"/>
                <w:b/>
                <w:sz w:val="20"/>
                <w:szCs w:val="20"/>
              </w:rPr>
              <w:t>Unterbrechung</w:t>
            </w:r>
            <w:r w:rsidRPr="00945E91">
              <w:rPr>
                <w:rFonts w:asciiTheme="minorHAnsi" w:hAnsiTheme="minorHAnsi" w:cstheme="minorHAnsi"/>
                <w:sz w:val="20"/>
                <w:szCs w:val="20"/>
              </w:rPr>
              <w:t>; Eine schwere Neutropenie ohne Infektion ist kein Grund, die Therapie zu modifizieren.</w:t>
            </w:r>
            <w:r w:rsidRPr="00945E91">
              <w:rPr>
                <w:rFonts w:asciiTheme="minorHAnsi" w:hAnsiTheme="minorHAnsi" w:cstheme="minorHAnsi"/>
                <w:b/>
                <w:sz w:val="20"/>
                <w:szCs w:val="20"/>
              </w:rPr>
              <w:t xml:space="preserve">  </w:t>
            </w:r>
            <w:r w:rsidRPr="00945E91">
              <w:rPr>
                <w:rFonts w:asciiTheme="minorHAnsi" w:hAnsiTheme="minorHAnsi" w:cstheme="minorHAnsi"/>
                <w:sz w:val="20"/>
                <w:szCs w:val="20"/>
              </w:rPr>
              <w:t>Ausnahmen: z.B. schwere Organtoxizität,</w:t>
            </w:r>
            <w:r w:rsidRPr="00945E91">
              <w:rPr>
                <w:rFonts w:asciiTheme="minorHAnsi" w:hAnsiTheme="minorHAnsi" w:cstheme="minorHAnsi"/>
                <w:spacing w:val="-5"/>
                <w:sz w:val="20"/>
                <w:szCs w:val="20"/>
              </w:rPr>
              <w:t xml:space="preserve"> </w:t>
            </w:r>
            <w:r w:rsidRPr="00945E91">
              <w:rPr>
                <w:rFonts w:asciiTheme="minorHAnsi" w:hAnsiTheme="minorHAnsi" w:cstheme="minorHAnsi"/>
                <w:sz w:val="20"/>
                <w:szCs w:val="20"/>
              </w:rPr>
              <w:t>Infektionen</w:t>
            </w:r>
          </w:p>
          <w:p w14:paraId="3904D50B"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Falls WBC ≥ 100 G/L und/oder ausgeprägte Hepatomegalie und/oder ausgeprägter Mediastinaltumor </w:t>
            </w:r>
            <w:r w:rsidRPr="00945E91">
              <w:rPr>
                <w:rFonts w:asciiTheme="minorHAnsi" w:hAnsiTheme="minorHAnsi" w:cstheme="minorHAnsi"/>
                <w:b/>
                <w:sz w:val="20"/>
                <w:szCs w:val="20"/>
              </w:rPr>
              <w:t>Start mit dosisreduziertem Cortison</w:t>
            </w:r>
            <w:r w:rsidRPr="00945E91">
              <w:rPr>
                <w:rFonts w:asciiTheme="minorHAnsi" w:hAnsiTheme="minorHAnsi" w:cstheme="minorHAnsi"/>
                <w:sz w:val="20"/>
                <w:szCs w:val="20"/>
              </w:rPr>
              <w:t xml:space="preserve"> (1/3 der vorgesehen Dosis). Rasche Steigerung der Cortisondosis in Abhängigkeit von Klinik und Laborwerten (volle Dosis ab Tag 3).</w:t>
            </w:r>
          </w:p>
          <w:p w14:paraId="096DD41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Hyperleukozytose-Management siehe Protokoll 2017   </w:t>
            </w:r>
          </w:p>
          <w:p w14:paraId="556E9966" w14:textId="7B41B607" w:rsidR="005754D0" w:rsidRPr="00945E91" w:rsidRDefault="00A13BB5"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Bei exzessivem Anstieg</w:t>
            </w:r>
            <w:r w:rsidR="005754D0" w:rsidRPr="00945E91">
              <w:rPr>
                <w:rFonts w:asciiTheme="minorHAnsi" w:hAnsiTheme="minorHAnsi" w:cstheme="minorHAnsi"/>
                <w:sz w:val="20"/>
                <w:szCs w:val="20"/>
              </w:rPr>
              <w:t xml:space="preserve"> der Blasten im PB während der Cortisonphase sollte zusätzlich </w:t>
            </w:r>
            <w:r w:rsidR="005754D0" w:rsidRPr="00945E91">
              <w:rPr>
                <w:rFonts w:asciiTheme="minorHAnsi" w:hAnsiTheme="minorHAnsi" w:cstheme="minorHAnsi"/>
                <w:b/>
                <w:sz w:val="20"/>
                <w:szCs w:val="20"/>
              </w:rPr>
              <w:t>Cyclophosphamid</w:t>
            </w:r>
            <w:r w:rsidR="005754D0" w:rsidRPr="00945E91">
              <w:rPr>
                <w:rFonts w:asciiTheme="minorHAnsi" w:hAnsiTheme="minorHAnsi" w:cstheme="minorHAnsi"/>
                <w:sz w:val="20"/>
                <w:szCs w:val="20"/>
              </w:rPr>
              <w:t xml:space="preserve"> gegeben (Wechsel auf Protokoll IA</w:t>
            </w:r>
            <w:r w:rsidR="005754D0" w:rsidRPr="00945E91">
              <w:rPr>
                <w:rFonts w:asciiTheme="minorHAnsi" w:hAnsiTheme="minorHAnsi" w:cstheme="minorHAnsi"/>
                <w:sz w:val="20"/>
                <w:szCs w:val="20"/>
                <w:vertAlign w:val="subscript"/>
              </w:rPr>
              <w:t>CPM</w:t>
            </w:r>
            <w:r w:rsidR="005754D0" w:rsidRPr="00945E91">
              <w:rPr>
                <w:rFonts w:asciiTheme="minorHAnsi" w:hAnsiTheme="minorHAnsi" w:cstheme="minorHAnsi"/>
                <w:sz w:val="20"/>
                <w:szCs w:val="20"/>
              </w:rPr>
              <w:t>) oder der Beginn der Chemo von Tag 8 vorgezogen werden. Diese Fälle werden als „</w:t>
            </w:r>
            <w:r w:rsidR="005754D0" w:rsidRPr="00945E91">
              <w:rPr>
                <w:rFonts w:asciiTheme="minorHAnsi" w:hAnsiTheme="minorHAnsi" w:cstheme="minorHAnsi"/>
                <w:b/>
                <w:sz w:val="20"/>
                <w:szCs w:val="20"/>
              </w:rPr>
              <w:t>Prednisone Poor Responder</w:t>
            </w:r>
            <w:r w:rsidR="005754D0" w:rsidRPr="00945E91">
              <w:rPr>
                <w:rFonts w:asciiTheme="minorHAnsi" w:hAnsiTheme="minorHAnsi" w:cstheme="minorHAnsi"/>
                <w:sz w:val="20"/>
                <w:szCs w:val="20"/>
              </w:rPr>
              <w:t xml:space="preserve">“ und damit als High Risk (HR) klassifiziert: </w:t>
            </w:r>
            <w:r w:rsidR="005754D0" w:rsidRPr="00945E91">
              <w:rPr>
                <w:rFonts w:asciiTheme="minorHAnsi" w:hAnsiTheme="minorHAnsi" w:cstheme="minorHAnsi"/>
                <w:b/>
                <w:sz w:val="20"/>
                <w:szCs w:val="20"/>
              </w:rPr>
              <w:t>alle</w:t>
            </w:r>
            <w:r w:rsidR="005754D0" w:rsidRPr="00945E91">
              <w:rPr>
                <w:rFonts w:asciiTheme="minorHAnsi" w:hAnsiTheme="minorHAnsi" w:cstheme="minorHAnsi"/>
                <w:sz w:val="20"/>
                <w:szCs w:val="20"/>
              </w:rPr>
              <w:t xml:space="preserve"> </w:t>
            </w:r>
            <w:r w:rsidR="005754D0" w:rsidRPr="00945E91">
              <w:rPr>
                <w:rFonts w:asciiTheme="minorHAnsi" w:hAnsiTheme="minorHAnsi" w:cstheme="minorHAnsi"/>
                <w:b/>
                <w:sz w:val="20"/>
                <w:szCs w:val="20"/>
              </w:rPr>
              <w:t>weitere Therapie gemäß HR!</w:t>
            </w:r>
          </w:p>
          <w:p w14:paraId="0EFFC17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b/>
                <w:sz w:val="20"/>
                <w:szCs w:val="20"/>
              </w:rPr>
              <w:t>Prednisone Poor Response (PPR): absolute Blastenzahl im peripheren Blut ≥ 1 G/l</w:t>
            </w:r>
            <w:r w:rsidRPr="00945E91">
              <w:rPr>
                <w:rFonts w:asciiTheme="minorHAnsi" w:hAnsiTheme="minorHAnsi" w:cstheme="minorHAnsi"/>
                <w:sz w:val="20"/>
                <w:szCs w:val="20"/>
              </w:rPr>
              <w:t xml:space="preserve">: </w:t>
            </w:r>
            <w:r w:rsidRPr="00945E91">
              <w:rPr>
                <w:rFonts w:asciiTheme="minorHAnsi" w:hAnsiTheme="minorHAnsi" w:cstheme="minorHAnsi"/>
                <w:b/>
                <w:sz w:val="20"/>
                <w:szCs w:val="20"/>
              </w:rPr>
              <w:t>Das Ansprechen auf Prednison ist für die Risikostratifizierung der T-ALL relevant. Bei Patienten mit pB-ALL oder mit unbekanntem Immunphänotyp erfolgt die Risikostratifizierung ausschließlich mittels MRD.</w:t>
            </w:r>
          </w:p>
          <w:p w14:paraId="04AE8D50"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Ein moderater Anstieg der WBC in der Vorphase ohne Verschlechterung der klinischen Symptomatik erfordert keine Dosisanpassung oder Änderung der vorgesehenen Therapie.</w:t>
            </w:r>
          </w:p>
          <w:p w14:paraId="376FF2A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MRD-Messung (KMP) an Tag 15 und 33: falls die MRD mittels FACS ≥10% an Tag 15 oder keine CR an Tag 33 besteht, Wechsel in den HR-Therapiearm </w:t>
            </w:r>
          </w:p>
        </w:tc>
      </w:tr>
      <w:tr w:rsidR="005754D0" w:rsidRPr="00945E91" w14:paraId="60ECD408" w14:textId="77777777" w:rsidTr="005754D0">
        <w:trPr>
          <w:trHeight w:val="172"/>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242E2"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Induktion IB (Tag 36-64)</w:t>
            </w:r>
          </w:p>
        </w:tc>
      </w:tr>
      <w:tr w:rsidR="005754D0" w:rsidRPr="00945E91" w14:paraId="1A46B47F" w14:textId="77777777" w:rsidTr="005754D0">
        <w:trPr>
          <w:trHeight w:val="1037"/>
        </w:trPr>
        <w:tc>
          <w:tcPr>
            <w:tcW w:w="1841" w:type="dxa"/>
            <w:tcBorders>
              <w:top w:val="single" w:sz="4" w:space="0" w:color="auto"/>
              <w:left w:val="single" w:sz="4" w:space="0" w:color="auto"/>
              <w:bottom w:val="single" w:sz="4" w:space="0" w:color="auto"/>
              <w:right w:val="single" w:sz="4" w:space="0" w:color="auto"/>
            </w:tcBorders>
          </w:tcPr>
          <w:p w14:paraId="788F2187" w14:textId="77777777" w:rsidR="005754D0" w:rsidRPr="00945E91" w:rsidRDefault="005754D0" w:rsidP="005754D0">
            <w:pPr>
              <w:pStyle w:val="TableParagraph"/>
              <w:ind w:left="107"/>
              <w:rPr>
                <w:rFonts w:asciiTheme="minorHAnsi" w:hAnsiTheme="minorHAnsi" w:cstheme="minorHAnsi"/>
                <w:sz w:val="20"/>
                <w:szCs w:val="20"/>
              </w:rPr>
            </w:pPr>
            <w:r w:rsidRPr="00945E91">
              <w:rPr>
                <w:rFonts w:asciiTheme="minorHAnsi" w:hAnsiTheme="minorHAnsi" w:cstheme="minorHAnsi"/>
                <w:sz w:val="20"/>
                <w:szCs w:val="20"/>
              </w:rPr>
              <w:t>Grundprinzipien</w:t>
            </w:r>
          </w:p>
        </w:tc>
        <w:tc>
          <w:tcPr>
            <w:tcW w:w="8224" w:type="dxa"/>
            <w:tcBorders>
              <w:top w:val="single" w:sz="4" w:space="0" w:color="auto"/>
              <w:left w:val="single" w:sz="4" w:space="0" w:color="auto"/>
              <w:bottom w:val="single" w:sz="4" w:space="0" w:color="auto"/>
              <w:right w:val="single" w:sz="4" w:space="0" w:color="auto"/>
            </w:tcBorders>
          </w:tcPr>
          <w:p w14:paraId="2606241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Möglichst zeitgerechter Beginn der Induktionsphase II</w:t>
            </w:r>
          </w:p>
          <w:p w14:paraId="54A35D7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Wenn möglich, sollte ein begonnener Cytarabinblock nicht unterbrochen werden. Wenn doch, sollte auch 6-MP unterbrochen werden. Ausgelassene 6-MP-Dosen sollten nachgeholt werden, bis die geplante kumulative Dosis von 1680 mg/m2 (28 x 60 mg/m2) erreicht ist.</w:t>
            </w:r>
          </w:p>
        </w:tc>
      </w:tr>
      <w:tr w:rsidR="005754D0" w:rsidRPr="00945E91" w14:paraId="57AE5D4C" w14:textId="77777777" w:rsidTr="005754D0">
        <w:trPr>
          <w:trHeight w:val="646"/>
        </w:trPr>
        <w:tc>
          <w:tcPr>
            <w:tcW w:w="1841" w:type="dxa"/>
            <w:tcBorders>
              <w:top w:val="single" w:sz="4" w:space="0" w:color="auto"/>
              <w:left w:val="single" w:sz="4" w:space="0" w:color="auto"/>
              <w:bottom w:val="single" w:sz="4" w:space="0" w:color="auto"/>
              <w:right w:val="single" w:sz="4" w:space="0" w:color="auto"/>
            </w:tcBorders>
          </w:tcPr>
          <w:p w14:paraId="25871A12"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Beginn bzw. Wiederbeginn nach Unterbrechung</w:t>
            </w:r>
          </w:p>
        </w:tc>
        <w:tc>
          <w:tcPr>
            <w:tcW w:w="8224" w:type="dxa"/>
            <w:tcBorders>
              <w:top w:val="single" w:sz="4" w:space="0" w:color="auto"/>
              <w:left w:val="single" w:sz="4" w:space="0" w:color="auto"/>
              <w:bottom w:val="single" w:sz="4" w:space="0" w:color="auto"/>
              <w:right w:val="single" w:sz="4" w:space="0" w:color="auto"/>
            </w:tcBorders>
          </w:tcPr>
          <w:p w14:paraId="4AFFE547" w14:textId="77777777" w:rsidR="005754D0" w:rsidRPr="00945E91" w:rsidRDefault="005754D0" w:rsidP="005754D0">
            <w:pPr>
              <w:pStyle w:val="TableParagraph"/>
              <w:tabs>
                <w:tab w:val="left" w:pos="425"/>
              </w:tabs>
              <w:rPr>
                <w:rFonts w:asciiTheme="minorHAnsi" w:hAnsiTheme="minorHAnsi" w:cstheme="minorHAnsi"/>
                <w:sz w:val="20"/>
                <w:szCs w:val="20"/>
                <w:u w:val="single"/>
              </w:rPr>
            </w:pPr>
            <w:r w:rsidRPr="00945E91">
              <w:rPr>
                <w:rFonts w:asciiTheme="minorHAnsi" w:hAnsiTheme="minorHAnsi" w:cstheme="minorHAnsi"/>
                <w:sz w:val="20"/>
                <w:szCs w:val="20"/>
                <w:u w:val="single"/>
              </w:rPr>
              <w:t>Voraussetzungen für Beginn von IB</w:t>
            </w:r>
          </w:p>
          <w:p w14:paraId="560BAC3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Keine schwere Organtoxizität und ausreichender AZ</w:t>
            </w:r>
          </w:p>
          <w:p w14:paraId="18DB52A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0,5 G/l (ansteigend), WBC &gt;2 G/l und Thrombozyten &gt; 50 G/l (ansteigend)</w:t>
            </w:r>
          </w:p>
          <w:p w14:paraId="30FF0792" w14:textId="77777777" w:rsidR="005754D0" w:rsidRPr="00945E91" w:rsidRDefault="005754D0" w:rsidP="005754D0">
            <w:pPr>
              <w:pStyle w:val="TableParagraph"/>
              <w:tabs>
                <w:tab w:val="left" w:pos="425"/>
              </w:tabs>
              <w:ind w:right="97"/>
              <w:rPr>
                <w:rFonts w:asciiTheme="minorHAnsi" w:hAnsiTheme="minorHAnsi" w:cstheme="minorHAnsi"/>
                <w:sz w:val="20"/>
                <w:szCs w:val="20"/>
                <w:u w:val="single"/>
              </w:rPr>
            </w:pPr>
            <w:r w:rsidRPr="00945E91">
              <w:rPr>
                <w:rFonts w:asciiTheme="minorHAnsi" w:hAnsiTheme="minorHAnsi" w:cstheme="minorHAnsi"/>
                <w:sz w:val="20"/>
                <w:szCs w:val="20"/>
                <w:u w:val="single"/>
              </w:rPr>
              <w:t>Voraussetzungen für Beginn eines Cytarabinblocks</w:t>
            </w:r>
          </w:p>
          <w:p w14:paraId="42D22E4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WBC ≥ 0,5 G/l</w:t>
            </w:r>
          </w:p>
          <w:p w14:paraId="1446232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Thrombozyten ≥ 30 G/l </w:t>
            </w:r>
          </w:p>
          <w:p w14:paraId="61BF3BF9" w14:textId="77777777" w:rsidR="005754D0" w:rsidRPr="00945E91" w:rsidRDefault="005754D0" w:rsidP="005754D0">
            <w:pPr>
              <w:pStyle w:val="TableParagraph"/>
              <w:tabs>
                <w:tab w:val="left" w:pos="425"/>
              </w:tabs>
              <w:ind w:right="97"/>
              <w:rPr>
                <w:rFonts w:asciiTheme="minorHAnsi" w:hAnsiTheme="minorHAnsi" w:cstheme="minorHAnsi"/>
                <w:sz w:val="20"/>
                <w:szCs w:val="20"/>
                <w:u w:val="single"/>
              </w:rPr>
            </w:pPr>
            <w:r w:rsidRPr="00945E91">
              <w:rPr>
                <w:rFonts w:asciiTheme="minorHAnsi" w:hAnsiTheme="minorHAnsi" w:cstheme="minorHAnsi"/>
                <w:sz w:val="20"/>
                <w:szCs w:val="20"/>
                <w:u w:val="single"/>
              </w:rPr>
              <w:t xml:space="preserve">Voraussetzungen für Start der 2. Gabe von Cyclophosphamid an Tag 64 </w:t>
            </w:r>
          </w:p>
          <w:p w14:paraId="006CB12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 1,0 G/l </w:t>
            </w:r>
          </w:p>
          <w:p w14:paraId="64D3E12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ANC ≥ 0,3 G/l</w:t>
            </w:r>
          </w:p>
          <w:p w14:paraId="2F718EC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 30 G/l</w:t>
            </w:r>
          </w:p>
          <w:p w14:paraId="327F4608" w14:textId="2A99E17D"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GFR bzw. Cre</w:t>
            </w:r>
            <w:r w:rsidR="00A13BB5">
              <w:rPr>
                <w:rFonts w:asciiTheme="minorHAnsi" w:hAnsiTheme="minorHAnsi" w:cstheme="minorHAnsi"/>
                <w:sz w:val="20"/>
                <w:szCs w:val="20"/>
              </w:rPr>
              <w:t>a-</w:t>
            </w:r>
            <w:r w:rsidRPr="00945E91">
              <w:rPr>
                <w:rFonts w:asciiTheme="minorHAnsi" w:hAnsiTheme="minorHAnsi" w:cstheme="minorHAnsi"/>
                <w:sz w:val="20"/>
                <w:szCs w:val="20"/>
              </w:rPr>
              <w:t>Clearance im Normalbereich</w:t>
            </w:r>
          </w:p>
        </w:tc>
      </w:tr>
      <w:tr w:rsidR="005754D0" w:rsidRPr="00945E91" w14:paraId="03DA60D0"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3"/>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E15E2"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Protokoll M</w:t>
            </w:r>
          </w:p>
        </w:tc>
      </w:tr>
      <w:tr w:rsidR="005754D0" w:rsidRPr="00945E91" w14:paraId="79C4BB18" w14:textId="77777777" w:rsidTr="005754D0">
        <w:trPr>
          <w:trHeight w:val="282"/>
        </w:trPr>
        <w:tc>
          <w:tcPr>
            <w:tcW w:w="1841" w:type="dxa"/>
            <w:tcBorders>
              <w:top w:val="single" w:sz="4" w:space="0" w:color="auto"/>
              <w:left w:val="single" w:sz="4" w:space="0" w:color="auto"/>
              <w:bottom w:val="single" w:sz="4" w:space="0" w:color="auto"/>
              <w:right w:val="single" w:sz="4" w:space="0" w:color="auto"/>
            </w:tcBorders>
          </w:tcPr>
          <w:p w14:paraId="6BC0B9A4"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5B9EBD9D" w14:textId="4322B523"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Protocol M beginnt 2 Wochen nach Ende von </w:t>
            </w:r>
            <w:r w:rsidR="00A13BB5" w:rsidRPr="00945E91">
              <w:rPr>
                <w:rFonts w:asciiTheme="minorHAnsi" w:hAnsiTheme="minorHAnsi" w:cstheme="minorHAnsi"/>
                <w:b/>
                <w:sz w:val="20"/>
                <w:szCs w:val="20"/>
              </w:rPr>
              <w:t>Protokoll</w:t>
            </w:r>
            <w:r w:rsidRPr="00945E91">
              <w:rPr>
                <w:rFonts w:asciiTheme="minorHAnsi" w:hAnsiTheme="minorHAnsi" w:cstheme="minorHAnsi"/>
                <w:b/>
                <w:sz w:val="20"/>
                <w:szCs w:val="20"/>
              </w:rPr>
              <w:t xml:space="preserve"> IB. </w:t>
            </w:r>
          </w:p>
          <w:p w14:paraId="73DD25B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05FDF7F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7B1D8D3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≥1,5 G/l (ansteigend) und ANC ≥0,5 G/l (ansteigend) </w:t>
            </w:r>
          </w:p>
          <w:p w14:paraId="37BFB825"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510847C5"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45B632B9"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sz w:val="20"/>
                <w:szCs w:val="20"/>
              </w:rPr>
              <w:t>Direktes Bilirubin &lt;3 x oberer Grenzwert des Normalbereiches</w:t>
            </w:r>
            <w:r w:rsidRPr="00945E91" w:rsidDel="00E4694D">
              <w:rPr>
                <w:rFonts w:asciiTheme="minorHAnsi" w:hAnsiTheme="minorHAnsi" w:cstheme="minorHAnsi"/>
                <w:sz w:val="20"/>
                <w:szCs w:val="20"/>
              </w:rPr>
              <w:t xml:space="preserve"> </w:t>
            </w:r>
          </w:p>
        </w:tc>
      </w:tr>
      <w:tr w:rsidR="005754D0" w:rsidRPr="00945E91" w14:paraId="3950C26E" w14:textId="77777777" w:rsidTr="005754D0">
        <w:trPr>
          <w:trHeight w:val="282"/>
        </w:trPr>
        <w:tc>
          <w:tcPr>
            <w:tcW w:w="1841" w:type="dxa"/>
            <w:tcBorders>
              <w:top w:val="single" w:sz="4" w:space="0" w:color="auto"/>
              <w:left w:val="single" w:sz="4" w:space="0" w:color="auto"/>
              <w:bottom w:val="single" w:sz="4" w:space="0" w:color="auto"/>
              <w:right w:val="single" w:sz="4" w:space="0" w:color="auto"/>
            </w:tcBorders>
          </w:tcPr>
          <w:p w14:paraId="0B4A8A66"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 xml:space="preserve">Voraussetzungen für den Start eines </w:t>
            </w:r>
            <w:r w:rsidRPr="00945E91">
              <w:rPr>
                <w:rFonts w:asciiTheme="minorHAnsi" w:hAnsiTheme="minorHAnsi" w:cstheme="minorHAnsi"/>
                <w:sz w:val="20"/>
                <w:szCs w:val="20"/>
              </w:rPr>
              <w:lastRenderedPageBreak/>
              <w:t>MTX-Blocks innerhalb von Protokoll M</w:t>
            </w:r>
          </w:p>
        </w:tc>
        <w:tc>
          <w:tcPr>
            <w:tcW w:w="8224" w:type="dxa"/>
            <w:tcBorders>
              <w:top w:val="single" w:sz="4" w:space="0" w:color="auto"/>
              <w:left w:val="single" w:sz="4" w:space="0" w:color="auto"/>
              <w:bottom w:val="single" w:sz="4" w:space="0" w:color="auto"/>
              <w:right w:val="single" w:sz="4" w:space="0" w:color="auto"/>
            </w:tcBorders>
          </w:tcPr>
          <w:p w14:paraId="45AC162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lastRenderedPageBreak/>
              <w:t>Ausreichender AZ, keine schwere Organtoxizität, keine schwere Infektion, Durchfall oder Mukositis</w:t>
            </w:r>
          </w:p>
          <w:p w14:paraId="75DA278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lastRenderedPageBreak/>
              <w:t>Kreatinin und Kreatininclearance nicht signifikant verändert</w:t>
            </w:r>
          </w:p>
          <w:p w14:paraId="4D2C99E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Regenerierende Hämatopoiese</w:t>
            </w:r>
          </w:p>
          <w:p w14:paraId="4318FD9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 Wenn die Transaminasen zwischen 10-20-fach erhöht sind, nochmalige Kontrolle an den 2 nachfolgenden Tagen, ob diese fallen.</w:t>
            </w:r>
          </w:p>
          <w:p w14:paraId="30C69A4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p w14:paraId="4E193D4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Vermeide Cotrimoxazol, NSAR, Penicillin und Sonnenexposition während HD-MTX, solange der Spiegel &gt; 0,25 µmol/l beträgt.</w:t>
            </w:r>
          </w:p>
        </w:tc>
      </w:tr>
      <w:tr w:rsidR="005754D0" w:rsidRPr="00945E91" w14:paraId="2E0D47FE" w14:textId="77777777" w:rsidTr="005754D0">
        <w:trPr>
          <w:trHeight w:val="282"/>
        </w:trPr>
        <w:tc>
          <w:tcPr>
            <w:tcW w:w="1841" w:type="dxa"/>
            <w:tcBorders>
              <w:top w:val="single" w:sz="4" w:space="0" w:color="auto"/>
              <w:left w:val="single" w:sz="4" w:space="0" w:color="auto"/>
              <w:bottom w:val="single" w:sz="4" w:space="0" w:color="auto"/>
              <w:right w:val="single" w:sz="4" w:space="0" w:color="auto"/>
            </w:tcBorders>
          </w:tcPr>
          <w:p w14:paraId="6A3FD68B"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lastRenderedPageBreak/>
              <w:t>Kontrollen im Zyklus</w:t>
            </w:r>
          </w:p>
        </w:tc>
        <w:tc>
          <w:tcPr>
            <w:tcW w:w="8224" w:type="dxa"/>
            <w:tcBorders>
              <w:top w:val="single" w:sz="4" w:space="0" w:color="auto"/>
              <w:left w:val="single" w:sz="4" w:space="0" w:color="auto"/>
              <w:bottom w:val="single" w:sz="4" w:space="0" w:color="auto"/>
              <w:right w:val="single" w:sz="4" w:space="0" w:color="auto"/>
            </w:tcBorders>
          </w:tcPr>
          <w:p w14:paraId="2E167182" w14:textId="42C83B88" w:rsidR="005754D0" w:rsidRPr="00945E91" w:rsidRDefault="00A13BB5" w:rsidP="00D11A8E">
            <w:pPr>
              <w:pStyle w:val="TableParagraph"/>
              <w:numPr>
                <w:ilvl w:val="0"/>
                <w:numId w:val="29"/>
              </w:numPr>
              <w:tabs>
                <w:tab w:val="left" w:pos="425"/>
              </w:tabs>
              <w:rPr>
                <w:rFonts w:asciiTheme="minorHAnsi" w:hAnsiTheme="minorHAnsi" w:cstheme="minorHAnsi"/>
                <w:sz w:val="20"/>
                <w:szCs w:val="20"/>
              </w:rPr>
            </w:pPr>
            <w:r>
              <w:rPr>
                <w:rFonts w:asciiTheme="minorHAnsi" w:hAnsiTheme="minorHAnsi" w:cstheme="minorHAnsi"/>
                <w:sz w:val="20"/>
                <w:szCs w:val="20"/>
              </w:rPr>
              <w:t>Calciumfolinat-</w:t>
            </w:r>
            <w:r w:rsidR="005754D0" w:rsidRPr="00945E91">
              <w:rPr>
                <w:rFonts w:asciiTheme="minorHAnsi" w:hAnsiTheme="minorHAnsi" w:cstheme="minorHAnsi"/>
                <w:sz w:val="20"/>
                <w:szCs w:val="20"/>
              </w:rPr>
              <w:t xml:space="preserve">Rescue gemäß GMALL-Protokoll (siehe </w:t>
            </w:r>
            <w:hyperlink r:id="rId25" w:history="1">
              <w:r w:rsidR="005754D0" w:rsidRPr="00945E91">
                <w:rPr>
                  <w:rStyle w:val="Hyperlink"/>
                  <w:rFonts w:asciiTheme="minorHAnsi" w:hAnsiTheme="minorHAnsi" w:cstheme="minorHAnsi"/>
                  <w:sz w:val="20"/>
                  <w:szCs w:val="20"/>
                </w:rPr>
                <w:t>www.tumorzentrum.at</w:t>
              </w:r>
            </w:hyperlink>
            <w:r w:rsidR="005754D0" w:rsidRPr="00945E91">
              <w:rPr>
                <w:rFonts w:asciiTheme="minorHAnsi" w:hAnsiTheme="minorHAnsi" w:cstheme="minorHAnsi"/>
                <w:sz w:val="20"/>
                <w:szCs w:val="20"/>
              </w:rPr>
              <w:t>)</w:t>
            </w:r>
          </w:p>
        </w:tc>
      </w:tr>
      <w:tr w:rsidR="005754D0" w:rsidRPr="00945E91" w14:paraId="77B42745"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8FA4DA"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Protokoll IIA</w:t>
            </w:r>
          </w:p>
        </w:tc>
      </w:tr>
      <w:tr w:rsidR="005754D0" w:rsidRPr="00945E91" w14:paraId="1F76BBEE"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8"/>
        </w:trPr>
        <w:tc>
          <w:tcPr>
            <w:tcW w:w="1841" w:type="dxa"/>
            <w:tcBorders>
              <w:top w:val="single" w:sz="4" w:space="0" w:color="auto"/>
              <w:left w:val="single" w:sz="4" w:space="0" w:color="auto"/>
              <w:bottom w:val="single" w:sz="4" w:space="0" w:color="auto"/>
              <w:right w:val="single" w:sz="4" w:space="0" w:color="auto"/>
            </w:tcBorders>
          </w:tcPr>
          <w:p w14:paraId="5553675E"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7BB1712A"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Protocol IIA (Reintensivierung) beginnt 2 Wochen nach Ende von Protokoll M. </w:t>
            </w:r>
          </w:p>
          <w:p w14:paraId="614F474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396F364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7A83264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≥2,5 G/l (ansteigend) und ANC ≥1,0 G/l (ansteigend) </w:t>
            </w:r>
          </w:p>
          <w:p w14:paraId="14613B4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100 G/l (ansteigend)</w:t>
            </w:r>
          </w:p>
          <w:p w14:paraId="712AFA0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Herzecho: normale LVEF (&gt;50%)</w:t>
            </w:r>
          </w:p>
          <w:p w14:paraId="18C6374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Im Falle einer signifikanten Polyneuropathie Auslassen von Vincristin </w:t>
            </w:r>
          </w:p>
          <w:p w14:paraId="0743981B" w14:textId="77777777" w:rsidR="005754D0" w:rsidRPr="00945E91" w:rsidRDefault="005754D0" w:rsidP="005754D0">
            <w:pPr>
              <w:pStyle w:val="TableParagraph"/>
              <w:tabs>
                <w:tab w:val="left" w:pos="425"/>
              </w:tabs>
              <w:rPr>
                <w:rFonts w:asciiTheme="minorHAnsi" w:hAnsiTheme="minorHAnsi" w:cstheme="minorHAnsi"/>
                <w:sz w:val="20"/>
                <w:szCs w:val="20"/>
              </w:rPr>
            </w:pPr>
          </w:p>
          <w:p w14:paraId="472EFA35" w14:textId="77777777"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Falls die WBC/ANC noch nicht ausreichend erholt sind, Verschieben von Doxorubicin bzw. Vincristin, bis sich das BB erholt hat.</w:t>
            </w:r>
          </w:p>
          <w:p w14:paraId="70419825" w14:textId="16A0AAD9"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b/>
                <w:color w:val="FF0000"/>
                <w:sz w:val="20"/>
                <w:szCs w:val="20"/>
              </w:rPr>
              <w:t>Eine Bestrahlung des ZNS ist für bestimmte Subgru</w:t>
            </w:r>
            <w:r w:rsidR="00A13BB5">
              <w:rPr>
                <w:rFonts w:asciiTheme="minorHAnsi" w:hAnsiTheme="minorHAnsi" w:cstheme="minorHAnsi"/>
                <w:b/>
                <w:color w:val="FF0000"/>
                <w:sz w:val="20"/>
                <w:szCs w:val="20"/>
              </w:rPr>
              <w:t>p</w:t>
            </w:r>
            <w:r w:rsidRPr="00945E91">
              <w:rPr>
                <w:rFonts w:asciiTheme="minorHAnsi" w:hAnsiTheme="minorHAnsi" w:cstheme="minorHAnsi"/>
                <w:b/>
                <w:color w:val="FF0000"/>
                <w:sz w:val="20"/>
                <w:szCs w:val="20"/>
              </w:rPr>
              <w:t>pen während der Maintenance-Phase vorgesehen (siehe Kapitel 2.8.1; Planung mit Beginn des 1. Zyklus IIA!)</w:t>
            </w:r>
          </w:p>
        </w:tc>
      </w:tr>
      <w:tr w:rsidR="005754D0" w:rsidRPr="00945E91" w14:paraId="0B4B5FB1"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44FEF"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Protokoll IIB</w:t>
            </w:r>
          </w:p>
        </w:tc>
      </w:tr>
      <w:tr w:rsidR="005754D0" w:rsidRPr="00945E91" w14:paraId="66C64041"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65A2B0F0"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2D6AC466"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Protocol IIB (Reintensivierung) beginnt 1 Woche nach Ende von Protokoll IIA. </w:t>
            </w:r>
          </w:p>
          <w:p w14:paraId="73FD5564"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58C1E37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213F920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≥2 G/l (ansteigend) und ANC ≥0,5 G/l (ansteigend) </w:t>
            </w:r>
          </w:p>
          <w:p w14:paraId="1ED151C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5F3A630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Voraussetzung für den Beginn eines Cytarabinblocks: WBC ≥0,5 G/l und Thrombozyten &gt; 30 G/l</w:t>
            </w:r>
          </w:p>
          <w:p w14:paraId="5DF6F94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Wenn möglich, sollte ein begonnener Cytarabinblock nicht unterbrochen werden. Wenn doch, sollte auch 6-MP unterbrochen werden. Ausgelassene 6-MP-Dosen sollten nachgeholt werden, bis die geplante kumulative Dosis von 840 mg/m2 (14 x 60 mg/m2) erreicht ist.</w:t>
            </w:r>
          </w:p>
        </w:tc>
      </w:tr>
      <w:tr w:rsidR="005754D0" w:rsidRPr="00945E91" w14:paraId="21342ECC"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BFC8A"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Block HR-1‘ (für HR-patients)</w:t>
            </w:r>
          </w:p>
        </w:tc>
      </w:tr>
      <w:tr w:rsidR="005754D0" w:rsidRPr="00945E91" w14:paraId="3D3ADF88"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69F41AD4"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54B6253C" w14:textId="2CA14874"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Block HR-1‘ beginnt 2 Wochen nach Ende von </w:t>
            </w:r>
            <w:r w:rsidR="00A13BB5" w:rsidRPr="00945E91">
              <w:rPr>
                <w:rFonts w:asciiTheme="minorHAnsi" w:hAnsiTheme="minorHAnsi" w:cstheme="minorHAnsi"/>
                <w:b/>
                <w:sz w:val="20"/>
                <w:szCs w:val="20"/>
              </w:rPr>
              <w:t>Protokoll</w:t>
            </w:r>
            <w:r w:rsidRPr="00945E91">
              <w:rPr>
                <w:rFonts w:asciiTheme="minorHAnsi" w:hAnsiTheme="minorHAnsi" w:cstheme="minorHAnsi"/>
                <w:b/>
                <w:sz w:val="20"/>
                <w:szCs w:val="20"/>
              </w:rPr>
              <w:t xml:space="preserve"> IB</w:t>
            </w:r>
          </w:p>
          <w:p w14:paraId="6ABF500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 keine Mukositis</w:t>
            </w:r>
          </w:p>
          <w:p w14:paraId="486EFA15"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647CDF0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≥0,5 G/l (ansteigend) </w:t>
            </w:r>
          </w:p>
          <w:p w14:paraId="258502D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7ACB7A4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6B1FC7A4"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tc>
      </w:tr>
      <w:tr w:rsidR="005754D0" w:rsidRPr="00945E91" w14:paraId="4D8222AF"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9E2F1D"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Block HR-2‘ (für HR-patients)</w:t>
            </w:r>
          </w:p>
        </w:tc>
      </w:tr>
      <w:tr w:rsidR="005754D0" w:rsidRPr="00945E91" w14:paraId="3A0DE55E"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1479616D"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0F9B61E0"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Block HR-2‘ startet möglichst bald nach Zyklus HR-1‘, mindestens 2 Tage Pause von G-CSF und folgenden Kriterien</w:t>
            </w:r>
          </w:p>
          <w:p w14:paraId="5706889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 keine Mukositis</w:t>
            </w:r>
          </w:p>
          <w:p w14:paraId="30B30E3B"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6035AD3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≥0,5 G/l (ansteigend) </w:t>
            </w:r>
          </w:p>
          <w:p w14:paraId="0642471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37AEBEE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45DDC96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p w14:paraId="6884646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Herzecho: normale LVEF (&gt;50%)</w:t>
            </w:r>
          </w:p>
        </w:tc>
      </w:tr>
      <w:tr w:rsidR="005754D0" w:rsidRPr="00945E91" w14:paraId="26890EE9"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52855"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Block HR-3‘ (für HR-patients)</w:t>
            </w:r>
          </w:p>
        </w:tc>
      </w:tr>
      <w:tr w:rsidR="005754D0" w:rsidRPr="00945E91" w14:paraId="744186A9"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730DC5CD"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726A3C69"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Block HR-3‘ startet möglichst bald nach Zyklus HR-2‘, mindestens 2 Tage Pause von G-CSF und folgenden Kriterien</w:t>
            </w:r>
          </w:p>
          <w:p w14:paraId="709C7A8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 keine Mukositis</w:t>
            </w:r>
          </w:p>
          <w:p w14:paraId="3E16A7E0"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063313D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≥0,5 G/l (ansteigend) </w:t>
            </w:r>
          </w:p>
          <w:p w14:paraId="708C11C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lastRenderedPageBreak/>
              <w:t>Thrombozyten &gt; 50 G/l (ansteigend)</w:t>
            </w:r>
          </w:p>
          <w:p w14:paraId="48935C8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58529C4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tc>
      </w:tr>
      <w:tr w:rsidR="005754D0" w:rsidRPr="00945E91" w14:paraId="48242EF4"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7F6CF"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lastRenderedPageBreak/>
              <w:t>Protokoll III (Protokoll IIIA und Protokoll IIIB) (für HR-patients)</w:t>
            </w:r>
          </w:p>
        </w:tc>
      </w:tr>
      <w:tr w:rsidR="005754D0" w:rsidRPr="00945E91" w14:paraId="61C12277"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2F2A129F"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7C191847" w14:textId="77777777" w:rsidR="005754D0" w:rsidRPr="00945E91" w:rsidRDefault="005754D0" w:rsidP="005754D0">
            <w:pPr>
              <w:pStyle w:val="TableParagraph"/>
              <w:tabs>
                <w:tab w:val="left" w:pos="425"/>
              </w:tabs>
              <w:rPr>
                <w:rFonts w:asciiTheme="minorHAnsi" w:hAnsiTheme="minorHAnsi" w:cstheme="minorHAnsi"/>
                <w:b/>
                <w:color w:val="FF0000"/>
                <w:sz w:val="20"/>
                <w:szCs w:val="20"/>
              </w:rPr>
            </w:pPr>
            <w:r w:rsidRPr="00945E91">
              <w:rPr>
                <w:rFonts w:asciiTheme="minorHAnsi" w:hAnsiTheme="minorHAnsi" w:cstheme="minorHAnsi"/>
                <w:b/>
                <w:color w:val="FF0000"/>
                <w:sz w:val="20"/>
                <w:szCs w:val="20"/>
              </w:rPr>
              <w:t xml:space="preserve">Das Protokoll III (28 Tage) besteht aus dem Protokoll IIIA (14 Tage) und Protokoll IIIB (14 Tage) </w:t>
            </w:r>
          </w:p>
          <w:p w14:paraId="69C556AC" w14:textId="4C892C6D"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Der erste Zyklus des </w:t>
            </w:r>
            <w:r w:rsidR="00A13BB5" w:rsidRPr="00945E91">
              <w:rPr>
                <w:rFonts w:asciiTheme="minorHAnsi" w:hAnsiTheme="minorHAnsi" w:cstheme="minorHAnsi"/>
                <w:b/>
                <w:sz w:val="20"/>
                <w:szCs w:val="20"/>
              </w:rPr>
              <w:t>Protokolls</w:t>
            </w:r>
            <w:r w:rsidRPr="00945E91">
              <w:rPr>
                <w:rFonts w:asciiTheme="minorHAnsi" w:hAnsiTheme="minorHAnsi" w:cstheme="minorHAnsi"/>
                <w:b/>
                <w:sz w:val="20"/>
                <w:szCs w:val="20"/>
              </w:rPr>
              <w:t xml:space="preserve"> IIIA beginnt 2 Wochen nach Ende des Block HR-3‘. Die beiden weiteren Zyklen des Protokolls IIIA beginnen jeweils eine Woche nach der 4-wöchigen Interims-Erhaltungsphase („Interim maintenance phase“). Jeweils an einen Zyklus IIIA schließt sich ein Zyklus IIIB an. </w:t>
            </w:r>
            <w:r w:rsidRPr="00945E91">
              <w:rPr>
                <w:rFonts w:asciiTheme="minorHAnsi" w:hAnsiTheme="minorHAnsi" w:cstheme="minorHAnsi"/>
                <w:b/>
                <w:color w:val="FF0000"/>
                <w:sz w:val="20"/>
                <w:szCs w:val="20"/>
              </w:rPr>
              <w:t>Eine Bestrahlung des ZNS während der 1. Interims-Maintenance-Phase ist nur für bestimmte Subgru</w:t>
            </w:r>
            <w:r w:rsidR="00A13BB5">
              <w:rPr>
                <w:rFonts w:asciiTheme="minorHAnsi" w:hAnsiTheme="minorHAnsi" w:cstheme="minorHAnsi"/>
                <w:b/>
                <w:color w:val="FF0000"/>
                <w:sz w:val="20"/>
                <w:szCs w:val="20"/>
              </w:rPr>
              <w:t>p</w:t>
            </w:r>
            <w:r w:rsidRPr="00945E91">
              <w:rPr>
                <w:rFonts w:asciiTheme="minorHAnsi" w:hAnsiTheme="minorHAnsi" w:cstheme="minorHAnsi"/>
                <w:b/>
                <w:color w:val="FF0000"/>
                <w:sz w:val="20"/>
                <w:szCs w:val="20"/>
              </w:rPr>
              <w:t xml:space="preserve">pen vorgesehen (siehe Kapitel 2.8.1; Planung mit Beginn des 1. Zyklus IIIA!) </w:t>
            </w:r>
          </w:p>
          <w:p w14:paraId="529B007D" w14:textId="77777777" w:rsidR="005754D0" w:rsidRPr="00945E91" w:rsidRDefault="005754D0" w:rsidP="005754D0">
            <w:pPr>
              <w:pStyle w:val="TableParagraph"/>
              <w:tabs>
                <w:tab w:val="left" w:pos="425"/>
              </w:tabs>
              <w:rPr>
                <w:rFonts w:asciiTheme="minorHAnsi" w:hAnsiTheme="minorHAnsi" w:cstheme="minorHAnsi"/>
                <w:b/>
                <w:sz w:val="20"/>
                <w:szCs w:val="20"/>
              </w:rPr>
            </w:pPr>
          </w:p>
          <w:p w14:paraId="1F6EACDB"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Protokoll IIIA </w:t>
            </w:r>
          </w:p>
          <w:p w14:paraId="73EA012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733C47A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6A96D5B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≥1,0 G/l (ansteigend) </w:t>
            </w:r>
          </w:p>
          <w:p w14:paraId="3791E94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100 G/l (ansteigend)</w:t>
            </w:r>
          </w:p>
          <w:p w14:paraId="73AE54A7"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b/>
                <w:sz w:val="20"/>
                <w:szCs w:val="20"/>
              </w:rPr>
              <w:t>Herzecho: normale LVEF (&gt;50%) vor dem 2. Zyklus des Protokolls III</w:t>
            </w:r>
            <w:r w:rsidRPr="00945E91">
              <w:rPr>
                <w:rFonts w:asciiTheme="minorHAnsi" w:hAnsiTheme="minorHAnsi" w:cstheme="minorHAnsi"/>
                <w:sz w:val="20"/>
                <w:szCs w:val="20"/>
              </w:rPr>
              <w:t xml:space="preserve"> </w:t>
            </w:r>
          </w:p>
          <w:p w14:paraId="01F2760B"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sz w:val="20"/>
                <w:szCs w:val="20"/>
              </w:rPr>
              <w:t xml:space="preserve">Im Falle einer signifikanten Polyneuropathie Auslassen von Vincristin </w:t>
            </w:r>
          </w:p>
          <w:p w14:paraId="4DA742B6"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sz w:val="20"/>
                <w:szCs w:val="20"/>
              </w:rPr>
              <w:t>Falls die WBC/ANC noch nicht ausreichend erholt sind, Verschieben Doxorubicin bzw. Vincristin im Zyklus 2 bzw. 3, bis sich das BB erholt hat.</w:t>
            </w:r>
          </w:p>
          <w:p w14:paraId="24B71B3C" w14:textId="77777777" w:rsidR="005754D0" w:rsidRPr="00945E91" w:rsidRDefault="005754D0" w:rsidP="005754D0">
            <w:pPr>
              <w:pStyle w:val="TableParagraph"/>
              <w:tabs>
                <w:tab w:val="left" w:pos="425"/>
              </w:tabs>
              <w:rPr>
                <w:rFonts w:asciiTheme="minorHAnsi" w:hAnsiTheme="minorHAnsi" w:cstheme="minorHAnsi"/>
                <w:sz w:val="20"/>
                <w:szCs w:val="20"/>
              </w:rPr>
            </w:pPr>
          </w:p>
          <w:p w14:paraId="1F9C927C"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Protokoll IIIB</w:t>
            </w:r>
          </w:p>
          <w:p w14:paraId="54AC4FA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7179754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5B948E3D"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≥2,0 G/l (ansteigend) </w:t>
            </w:r>
          </w:p>
          <w:p w14:paraId="6D21A09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≥0,5 G/l (ansteigend) </w:t>
            </w:r>
          </w:p>
          <w:p w14:paraId="3E1A7FF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≥50 G/l (ansteigend)</w:t>
            </w:r>
          </w:p>
          <w:p w14:paraId="19AB3EA8" w14:textId="77777777" w:rsidR="005754D0" w:rsidRPr="00945E91" w:rsidRDefault="005754D0" w:rsidP="005754D0">
            <w:pPr>
              <w:pStyle w:val="TableParagraph"/>
              <w:tabs>
                <w:tab w:val="left" w:pos="425"/>
              </w:tabs>
              <w:ind w:left="425"/>
              <w:rPr>
                <w:rFonts w:asciiTheme="minorHAnsi" w:hAnsiTheme="minorHAnsi" w:cstheme="minorHAnsi"/>
                <w:sz w:val="20"/>
                <w:szCs w:val="20"/>
              </w:rPr>
            </w:pPr>
          </w:p>
          <w:p w14:paraId="598F8168" w14:textId="77777777" w:rsidR="005754D0" w:rsidRPr="00945E91" w:rsidRDefault="005754D0" w:rsidP="005754D0">
            <w:pPr>
              <w:pStyle w:val="TableParagraph"/>
              <w:tabs>
                <w:tab w:val="left" w:pos="425"/>
              </w:tabs>
              <w:ind w:left="141"/>
              <w:rPr>
                <w:rFonts w:asciiTheme="minorHAnsi" w:hAnsiTheme="minorHAnsi" w:cstheme="minorHAnsi"/>
                <w:sz w:val="20"/>
                <w:szCs w:val="20"/>
                <w:u w:val="single"/>
              </w:rPr>
            </w:pPr>
            <w:r w:rsidRPr="00945E91">
              <w:rPr>
                <w:rFonts w:asciiTheme="minorHAnsi" w:hAnsiTheme="minorHAnsi" w:cstheme="minorHAnsi"/>
                <w:sz w:val="20"/>
                <w:szCs w:val="20"/>
                <w:u w:val="single"/>
              </w:rPr>
              <w:t>Vor jedem Cytarabinblock im Zyklus IIIB</w:t>
            </w:r>
          </w:p>
          <w:p w14:paraId="71644C7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ANC ≥0,5 G/l</w:t>
            </w:r>
          </w:p>
          <w:p w14:paraId="2FD681B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&gt;30 G/l</w:t>
            </w:r>
          </w:p>
          <w:p w14:paraId="533A44EE" w14:textId="77777777" w:rsidR="005754D0" w:rsidRPr="00945E91" w:rsidRDefault="005754D0" w:rsidP="005754D0">
            <w:pPr>
              <w:pStyle w:val="TableParagraph"/>
              <w:tabs>
                <w:tab w:val="left" w:pos="425"/>
              </w:tabs>
              <w:ind w:left="141"/>
              <w:rPr>
                <w:rFonts w:asciiTheme="minorHAnsi" w:hAnsiTheme="minorHAnsi" w:cstheme="minorHAnsi"/>
                <w:sz w:val="20"/>
                <w:szCs w:val="20"/>
              </w:rPr>
            </w:pPr>
          </w:p>
          <w:p w14:paraId="7D73524C" w14:textId="77777777" w:rsidR="005754D0" w:rsidRPr="00945E91" w:rsidRDefault="005754D0" w:rsidP="005754D0">
            <w:pPr>
              <w:pStyle w:val="TableParagraph"/>
              <w:tabs>
                <w:tab w:val="left" w:pos="425"/>
              </w:tabs>
              <w:ind w:left="141"/>
              <w:rPr>
                <w:rFonts w:asciiTheme="minorHAnsi" w:hAnsiTheme="minorHAnsi" w:cstheme="minorHAnsi"/>
                <w:sz w:val="20"/>
                <w:szCs w:val="20"/>
              </w:rPr>
            </w:pPr>
            <w:r w:rsidRPr="00945E91">
              <w:rPr>
                <w:rFonts w:asciiTheme="minorHAnsi" w:hAnsiTheme="minorHAnsi" w:cstheme="minorHAnsi"/>
                <w:sz w:val="20"/>
                <w:szCs w:val="20"/>
              </w:rPr>
              <w:t>Wenn möglich, sollte ein begonnener Cytarabinblock nicht unterbrochen werden. Wenn doch, sollte auch 6-MP unterbrochen werden. Ausgelassene 6-MP-Dosen sollten nachgeholt werden, bis die geplante kumulative Dosis von 840 mg/m2 (14 x 60 mg/m2) erreicht ist.</w:t>
            </w:r>
          </w:p>
          <w:p w14:paraId="4C2926C5" w14:textId="77777777" w:rsidR="005754D0" w:rsidRPr="00945E91" w:rsidRDefault="005754D0" w:rsidP="005754D0">
            <w:pPr>
              <w:pStyle w:val="TableParagraph"/>
              <w:tabs>
                <w:tab w:val="left" w:pos="425"/>
              </w:tabs>
              <w:ind w:left="141"/>
              <w:rPr>
                <w:rFonts w:asciiTheme="minorHAnsi" w:hAnsiTheme="minorHAnsi" w:cstheme="minorHAnsi"/>
                <w:sz w:val="20"/>
                <w:szCs w:val="20"/>
              </w:rPr>
            </w:pPr>
          </w:p>
        </w:tc>
      </w:tr>
      <w:tr w:rsidR="005754D0" w:rsidRPr="00945E91" w14:paraId="3976977E"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41356"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Interims-Maintenance (für HR-patients)</w:t>
            </w:r>
          </w:p>
        </w:tc>
      </w:tr>
      <w:tr w:rsidR="005754D0" w:rsidRPr="00945E91" w14:paraId="093349F8"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159EA108"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019464BC" w14:textId="076CB600"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Die Interims -Maintenance-Phase (4 Wochen) beginnt eine Woche nach Ende der Zyklen 1 und 2 des </w:t>
            </w:r>
            <w:r w:rsidR="00A13BB5" w:rsidRPr="00945E91">
              <w:rPr>
                <w:rFonts w:asciiTheme="minorHAnsi" w:hAnsiTheme="minorHAnsi" w:cstheme="minorHAnsi"/>
                <w:b/>
                <w:sz w:val="20"/>
                <w:szCs w:val="20"/>
              </w:rPr>
              <w:t>Protokolls</w:t>
            </w:r>
            <w:r w:rsidRPr="00945E91">
              <w:rPr>
                <w:rFonts w:asciiTheme="minorHAnsi" w:hAnsiTheme="minorHAnsi" w:cstheme="minorHAnsi"/>
                <w:b/>
                <w:sz w:val="20"/>
                <w:szCs w:val="20"/>
              </w:rPr>
              <w:t xml:space="preserve"> IIIB, wenn folgende Kriterien erfüllt sind:</w:t>
            </w:r>
          </w:p>
          <w:p w14:paraId="34E935F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71C760D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08DB6BAB"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≥1,0 G/l (ansteigend) </w:t>
            </w:r>
          </w:p>
          <w:p w14:paraId="64BE408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≥0,2 G/l (ansteigend) </w:t>
            </w:r>
          </w:p>
          <w:p w14:paraId="71BE913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36D52BAB"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2AF9066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p w14:paraId="2E76871D" w14:textId="77777777" w:rsidR="005754D0" w:rsidRPr="00945E91" w:rsidRDefault="005754D0" w:rsidP="005754D0">
            <w:pPr>
              <w:pStyle w:val="TableParagraph"/>
              <w:tabs>
                <w:tab w:val="left" w:pos="425"/>
              </w:tabs>
              <w:rPr>
                <w:rFonts w:asciiTheme="minorHAnsi" w:hAnsiTheme="minorHAnsi" w:cstheme="minorHAnsi"/>
                <w:sz w:val="20"/>
                <w:szCs w:val="20"/>
              </w:rPr>
            </w:pPr>
          </w:p>
          <w:p w14:paraId="142A2F24" w14:textId="77777777"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b/>
                <w:sz w:val="20"/>
                <w:szCs w:val="20"/>
              </w:rPr>
              <w:t>Dosierung:</w:t>
            </w:r>
            <w:r w:rsidRPr="00945E91">
              <w:rPr>
                <w:rFonts w:asciiTheme="minorHAnsi" w:hAnsiTheme="minorHAnsi" w:cstheme="minorHAnsi"/>
                <w:sz w:val="20"/>
                <w:szCs w:val="20"/>
              </w:rPr>
              <w:t xml:space="preserve"> </w:t>
            </w:r>
          </w:p>
          <w:p w14:paraId="315F361F" w14:textId="77777777"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6-Mercaptopurin 50 mg/m²/Tag p.o.  (Anpassen der Dosis mit 50 mg und 10mg Tabletten und/oder unterschiedlichen Dosen an wechselnden Tagen an, um die durchschnittliche Tagesdosis zu erreichen. Die Tabletten sind abends in einer Einzeldosis auf leeren Magen einzunehmen (mindestens 30 min vor oder 60 min nach dem Abendessen) ohne Milch.</w:t>
            </w:r>
          </w:p>
          <w:p w14:paraId="2CAC0606" w14:textId="77777777" w:rsidR="005754D0" w:rsidRPr="00945E91" w:rsidRDefault="005754D0" w:rsidP="005754D0">
            <w:pPr>
              <w:pStyle w:val="TableParagraph"/>
              <w:tabs>
                <w:tab w:val="left" w:pos="425"/>
              </w:tabs>
              <w:rPr>
                <w:rFonts w:asciiTheme="minorHAnsi" w:hAnsiTheme="minorHAnsi" w:cstheme="minorHAnsi"/>
                <w:sz w:val="20"/>
                <w:szCs w:val="20"/>
              </w:rPr>
            </w:pPr>
          </w:p>
          <w:p w14:paraId="5E6FE7F3" w14:textId="77777777"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MTX: Methotrexat 20 mg / m2 / Dosis p.o. wöchentlich.</w:t>
            </w:r>
          </w:p>
          <w:p w14:paraId="062231F8" w14:textId="2F60A584"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Zusätzlich bei Hochrisiko intrathekale MTX-Therapie.</w:t>
            </w:r>
          </w:p>
          <w:p w14:paraId="68E39EA7" w14:textId="77777777" w:rsidR="005754D0" w:rsidRPr="00945E91" w:rsidRDefault="005754D0" w:rsidP="005754D0">
            <w:pPr>
              <w:pStyle w:val="TableParagraph"/>
              <w:tabs>
                <w:tab w:val="left" w:pos="425"/>
              </w:tabs>
              <w:rPr>
                <w:rFonts w:asciiTheme="minorHAnsi" w:hAnsiTheme="minorHAnsi" w:cstheme="minorHAnsi"/>
                <w:b/>
                <w:sz w:val="20"/>
                <w:szCs w:val="20"/>
              </w:rPr>
            </w:pPr>
          </w:p>
          <w:p w14:paraId="7F4A6945" w14:textId="29BA799E"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Bei Patienten ohne Symptome ist eine routinemäßige Messung der Leberparameter während der </w:t>
            </w:r>
            <w:r w:rsidRPr="00945E91">
              <w:rPr>
                <w:rFonts w:asciiTheme="minorHAnsi" w:hAnsiTheme="minorHAnsi" w:cstheme="minorHAnsi"/>
                <w:sz w:val="20"/>
                <w:szCs w:val="20"/>
              </w:rPr>
              <w:lastRenderedPageBreak/>
              <w:t xml:space="preserve">Interims-Erhaltung nicht erforderlich. Dosisreduktion bei Bilirubinanstieg &gt;3x des oberen Grenzwertes des Normalbereiches. </w:t>
            </w:r>
          </w:p>
          <w:p w14:paraId="64B57EE4"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Beendigung der Interims-Maintenance nach 4 Wochen unabhängig von der kumulierten Gesamtdosis der verabreichten Arzneimittel!</w:t>
            </w:r>
          </w:p>
          <w:p w14:paraId="21D1D05D" w14:textId="77777777" w:rsidR="005754D0" w:rsidRPr="00945E91" w:rsidRDefault="005754D0" w:rsidP="005754D0">
            <w:pPr>
              <w:pStyle w:val="TableParagraph"/>
              <w:tabs>
                <w:tab w:val="left" w:pos="425"/>
              </w:tabs>
              <w:rPr>
                <w:rFonts w:asciiTheme="minorHAnsi" w:hAnsiTheme="minorHAnsi" w:cstheme="minorHAnsi"/>
                <w:b/>
                <w:color w:val="FF0000"/>
                <w:sz w:val="20"/>
                <w:szCs w:val="20"/>
              </w:rPr>
            </w:pPr>
            <w:r w:rsidRPr="00945E91">
              <w:rPr>
                <w:rFonts w:asciiTheme="minorHAnsi" w:hAnsiTheme="minorHAnsi" w:cstheme="minorHAnsi"/>
                <w:b/>
                <w:color w:val="FF0000"/>
                <w:sz w:val="20"/>
                <w:szCs w:val="20"/>
              </w:rPr>
              <w:t>Während der ersten Interims-Erhaltungsphase ist eine Bestrahlung des ZNS für definierte Subgruppen vorgesehen (siehe Kapitel 2.8.1).</w:t>
            </w:r>
          </w:p>
        </w:tc>
      </w:tr>
      <w:tr w:rsidR="005754D0" w:rsidRPr="00945E91" w14:paraId="6F349859"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95BD4"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lastRenderedPageBreak/>
              <w:t>Block DNX-FLA</w:t>
            </w:r>
          </w:p>
        </w:tc>
      </w:tr>
      <w:tr w:rsidR="005754D0" w:rsidRPr="00945E91" w14:paraId="671997B2"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4FC58159"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67000647"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Das Behandlungselement DNX-FLA ist vorgesehen für Patienten der HR-Gruppe mit unzureichender Wirkung auf die HR-Blöcke, d.h. eine MRD-Belastung von ≥ 10</w:t>
            </w:r>
            <w:r w:rsidRPr="00945E91">
              <w:rPr>
                <w:rFonts w:asciiTheme="minorHAnsi" w:hAnsiTheme="minorHAnsi" w:cstheme="minorHAnsi"/>
                <w:b/>
                <w:sz w:val="20"/>
                <w:szCs w:val="20"/>
                <w:vertAlign w:val="superscript"/>
              </w:rPr>
              <w:t>-3</w:t>
            </w:r>
            <w:r w:rsidRPr="00945E91">
              <w:rPr>
                <w:rFonts w:asciiTheme="minorHAnsi" w:hAnsiTheme="minorHAnsi" w:cstheme="minorHAnsi"/>
                <w:b/>
                <w:sz w:val="20"/>
                <w:szCs w:val="20"/>
              </w:rPr>
              <w:t xml:space="preserve"> im regenerierenden Knochenmark.</w:t>
            </w:r>
          </w:p>
          <w:p w14:paraId="06FDAE8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4D1E527B"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1F4F0AC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≥0,5 G/l (ansteigend) </w:t>
            </w:r>
          </w:p>
          <w:p w14:paraId="365E5DA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5D3C6B5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71EF0354"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p w14:paraId="795FB11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Herzecho: normale LVEF (&gt;50%)</w:t>
            </w:r>
          </w:p>
        </w:tc>
      </w:tr>
      <w:tr w:rsidR="005754D0" w:rsidRPr="00945E91" w14:paraId="57D85930"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D677F"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Maintenance (Erhaltung)</w:t>
            </w:r>
          </w:p>
        </w:tc>
      </w:tr>
      <w:tr w:rsidR="005754D0" w:rsidRPr="00945E91" w14:paraId="7C8FAD3E" w14:textId="77777777" w:rsidTr="0057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1841" w:type="dxa"/>
            <w:tcBorders>
              <w:top w:val="single" w:sz="4" w:space="0" w:color="auto"/>
              <w:left w:val="single" w:sz="4" w:space="0" w:color="auto"/>
              <w:bottom w:val="single" w:sz="4" w:space="0" w:color="auto"/>
              <w:right w:val="single" w:sz="4" w:space="0" w:color="auto"/>
            </w:tcBorders>
          </w:tcPr>
          <w:p w14:paraId="21E26F6A"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8224" w:type="dxa"/>
            <w:tcBorders>
              <w:top w:val="single" w:sz="4" w:space="0" w:color="auto"/>
              <w:left w:val="single" w:sz="4" w:space="0" w:color="auto"/>
              <w:bottom w:val="single" w:sz="4" w:space="0" w:color="auto"/>
              <w:right w:val="single" w:sz="4" w:space="0" w:color="auto"/>
            </w:tcBorders>
          </w:tcPr>
          <w:p w14:paraId="06D8FB58" w14:textId="16A86D83"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 xml:space="preserve">Die Maintenance </w:t>
            </w:r>
            <w:r w:rsidR="00A13BB5" w:rsidRPr="00945E91">
              <w:rPr>
                <w:rFonts w:asciiTheme="minorHAnsi" w:hAnsiTheme="minorHAnsi" w:cstheme="minorHAnsi"/>
                <w:b/>
                <w:sz w:val="20"/>
                <w:szCs w:val="20"/>
              </w:rPr>
              <w:t>beginnt</w:t>
            </w:r>
            <w:r w:rsidRPr="00945E91">
              <w:rPr>
                <w:rFonts w:asciiTheme="minorHAnsi" w:hAnsiTheme="minorHAnsi" w:cstheme="minorHAnsi"/>
                <w:b/>
                <w:sz w:val="20"/>
                <w:szCs w:val="20"/>
              </w:rPr>
              <w:t xml:space="preserve"> 2 Wochen nach Komplettierung von Protokoll IIB bzw. IIIB.</w:t>
            </w:r>
          </w:p>
          <w:p w14:paraId="4D2F1D89" w14:textId="77777777" w:rsidR="005754D0" w:rsidRPr="00945E91" w:rsidRDefault="005754D0" w:rsidP="005754D0">
            <w:pPr>
              <w:pStyle w:val="TableParagraph"/>
              <w:tabs>
                <w:tab w:val="left" w:pos="425"/>
              </w:tabs>
              <w:rPr>
                <w:rFonts w:asciiTheme="minorHAnsi" w:hAnsiTheme="minorHAnsi" w:cstheme="minorHAnsi"/>
                <w:b/>
                <w:sz w:val="20"/>
                <w:szCs w:val="20"/>
              </w:rPr>
            </w:pPr>
            <w:r w:rsidRPr="00945E91">
              <w:rPr>
                <w:rFonts w:asciiTheme="minorHAnsi" w:hAnsiTheme="minorHAnsi" w:cstheme="minorHAnsi"/>
                <w:b/>
                <w:sz w:val="20"/>
                <w:szCs w:val="20"/>
              </w:rPr>
              <w:t>Die Dosis-Ratio 6-MP: MTX sollte 2,5 :1 betragen.</w:t>
            </w:r>
            <w:r w:rsidRPr="00945E91">
              <w:rPr>
                <w:rFonts w:asciiTheme="minorHAnsi" w:hAnsiTheme="minorHAnsi" w:cstheme="minorHAnsi"/>
                <w:b/>
                <w:color w:val="FF0000"/>
                <w:sz w:val="20"/>
                <w:szCs w:val="20"/>
              </w:rPr>
              <w:t xml:space="preserve"> Die ZNS-Strahlentherapie ist für bestimmte Patienten in den ersten Wochen der Erhaltungstherapie vorgesehen (nach Protokoll IIB).</w:t>
            </w:r>
          </w:p>
          <w:p w14:paraId="238CDDF3" w14:textId="77777777" w:rsidR="005754D0" w:rsidRPr="00945E91" w:rsidRDefault="005754D0" w:rsidP="005754D0">
            <w:pPr>
              <w:pStyle w:val="TableParagraph"/>
              <w:tabs>
                <w:tab w:val="left" w:pos="425"/>
              </w:tabs>
              <w:rPr>
                <w:rFonts w:asciiTheme="minorHAnsi" w:hAnsiTheme="minorHAnsi" w:cstheme="minorHAnsi"/>
                <w:b/>
                <w:sz w:val="20"/>
                <w:szCs w:val="20"/>
              </w:rPr>
            </w:pPr>
          </w:p>
          <w:p w14:paraId="6E2B6A3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129605D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206ABE6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WBC ≥1,0 G/l (ansteigend) </w:t>
            </w:r>
          </w:p>
          <w:p w14:paraId="3A166EB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ANC ≥0,2 G/l (ansteigend) </w:t>
            </w:r>
          </w:p>
          <w:p w14:paraId="09A18C3E"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Thrombozyten &gt; 50 G/l (ansteigend)</w:t>
            </w:r>
          </w:p>
          <w:p w14:paraId="158DD76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GOT/GPT &lt;10 x oberer Grenzwert des Normalbereiches</w:t>
            </w:r>
          </w:p>
          <w:p w14:paraId="7D8C683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Direktes Bilirubin &lt;3 x oberer Grenzwert des Normalbereiches</w:t>
            </w:r>
          </w:p>
          <w:p w14:paraId="0E863CB4" w14:textId="77777777" w:rsidR="005754D0" w:rsidRPr="00945E91" w:rsidRDefault="005754D0" w:rsidP="005754D0">
            <w:pPr>
              <w:pStyle w:val="TableParagraph"/>
              <w:tabs>
                <w:tab w:val="left" w:pos="425"/>
              </w:tabs>
              <w:rPr>
                <w:rFonts w:asciiTheme="minorHAnsi" w:hAnsiTheme="minorHAnsi" w:cstheme="minorHAnsi"/>
                <w:sz w:val="20"/>
                <w:szCs w:val="20"/>
              </w:rPr>
            </w:pPr>
          </w:p>
          <w:p w14:paraId="4ED386A7" w14:textId="77777777"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Kontrollen im BB zuerst wöchentlich, dann 2-wöchentlich. BB-Kontrollen sinnvollerweise am Tag vor der nächsten MTX-Gabe, um die Dosis anpassen zu können.</w:t>
            </w:r>
          </w:p>
          <w:p w14:paraId="23E19687" w14:textId="77777777" w:rsidR="005754D0" w:rsidRPr="00945E91" w:rsidRDefault="005754D0" w:rsidP="005754D0">
            <w:pPr>
              <w:pStyle w:val="TableParagraph"/>
              <w:tabs>
                <w:tab w:val="left" w:pos="425"/>
              </w:tabs>
              <w:rPr>
                <w:rFonts w:asciiTheme="minorHAnsi" w:hAnsiTheme="minorHAnsi" w:cstheme="minorHAnsi"/>
                <w:sz w:val="20"/>
                <w:szCs w:val="20"/>
              </w:rPr>
            </w:pPr>
          </w:p>
          <w:p w14:paraId="20587510" w14:textId="55D76A60" w:rsidR="005754D0" w:rsidRPr="00945E91" w:rsidRDefault="005754D0" w:rsidP="005754D0">
            <w:pPr>
              <w:pStyle w:val="TableParagraph"/>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Während der Maintenance (Erhaltungsphase) sollten die Dosen von 6-MP und MTX angepasst werden (ohne Obergrenze), um eine Gesamtzahl der WBC &lt;3 G/ l zu erhalten. Die Medikamente sollten reduziert werden, wenn die </w:t>
            </w:r>
            <w:r w:rsidR="00A13BB5">
              <w:rPr>
                <w:rFonts w:asciiTheme="minorHAnsi" w:hAnsiTheme="minorHAnsi" w:cstheme="minorHAnsi"/>
                <w:sz w:val="20"/>
                <w:szCs w:val="20"/>
              </w:rPr>
              <w:t>Z</w:t>
            </w:r>
            <w:r w:rsidRPr="00945E91">
              <w:rPr>
                <w:rFonts w:asciiTheme="minorHAnsi" w:hAnsiTheme="minorHAnsi" w:cstheme="minorHAnsi"/>
                <w:sz w:val="20"/>
                <w:szCs w:val="20"/>
              </w:rPr>
              <w:t>ahl der Neutrophilen unter 0,5 G/l, absolute Lymphozytenzahl &lt;0,3 G/L oder Thrombozyten &lt;50 G/l liegen.</w:t>
            </w:r>
          </w:p>
        </w:tc>
      </w:tr>
    </w:tbl>
    <w:p w14:paraId="2EF619D6" w14:textId="7AB73330" w:rsidR="00D41337"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r>
    </w:p>
    <w:p w14:paraId="6133A83B" w14:textId="77777777" w:rsidR="00D41337" w:rsidRPr="00945E91" w:rsidRDefault="00D41337">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3249F964" w14:textId="76E10395" w:rsidR="005754D0" w:rsidRPr="00945E91" w:rsidRDefault="005754D0" w:rsidP="005754D0">
      <w:pPr>
        <w:pStyle w:val="berschrift3"/>
        <w:rPr>
          <w:rFonts w:asciiTheme="minorHAnsi" w:hAnsiTheme="minorHAnsi" w:cstheme="minorHAnsi"/>
          <w:lang w:val="de-DE"/>
        </w:rPr>
      </w:pPr>
      <w:bookmarkStart w:id="45" w:name="_Toc70881128"/>
      <w:bookmarkStart w:id="46" w:name="_Toc74412407"/>
      <w:r w:rsidRPr="00945E91">
        <w:rPr>
          <w:rFonts w:asciiTheme="minorHAnsi" w:hAnsiTheme="minorHAnsi" w:cstheme="minorHAnsi"/>
          <w:lang w:val="de-DE"/>
        </w:rPr>
        <w:lastRenderedPageBreak/>
        <w:t>3.3.5</w:t>
      </w:r>
      <w:r w:rsidR="00D41337" w:rsidRPr="00945E91">
        <w:rPr>
          <w:rFonts w:asciiTheme="minorHAnsi" w:hAnsiTheme="minorHAnsi" w:cstheme="minorHAnsi"/>
          <w:lang w:val="de-DE"/>
        </w:rPr>
        <w:t xml:space="preserve"> </w:t>
      </w:r>
      <w:r w:rsidRPr="00945E91">
        <w:rPr>
          <w:rFonts w:asciiTheme="minorHAnsi" w:hAnsiTheme="minorHAnsi" w:cstheme="minorHAnsi"/>
          <w:lang w:val="de-DE"/>
        </w:rPr>
        <w:t>Indikationen zur allogenen Stammzelltransplantation</w:t>
      </w:r>
      <w:bookmarkEnd w:id="45"/>
      <w:bookmarkEnd w:id="46"/>
    </w:p>
    <w:p w14:paraId="5AF13237" w14:textId="77777777" w:rsidR="005754D0" w:rsidRPr="00945E91" w:rsidRDefault="005754D0" w:rsidP="005754D0">
      <w:pPr>
        <w:spacing w:line="240" w:lineRule="auto"/>
        <w:jc w:val="left"/>
        <w:rPr>
          <w:rFonts w:asciiTheme="minorHAnsi" w:hAnsiTheme="minorHAnsi" w:cstheme="minorHAnsi"/>
          <w:sz w:val="20"/>
          <w:szCs w:val="22"/>
          <w:lang w:val="de-DE"/>
        </w:rPr>
      </w:pPr>
      <w:r w:rsidRPr="00945E91">
        <w:rPr>
          <w:rFonts w:asciiTheme="minorHAnsi" w:hAnsiTheme="minorHAnsi" w:cstheme="minorHAnsi"/>
          <w:sz w:val="20"/>
          <w:szCs w:val="22"/>
          <w:lang w:val="de-DE"/>
        </w:rPr>
        <w:t>Die Indikation zur allogenen Stammzelltransplantation wird gemäß AIEOP-Protokoll 2017 gestellt.</w:t>
      </w:r>
    </w:p>
    <w:p w14:paraId="72204D5B" w14:textId="77777777" w:rsidR="005754D0" w:rsidRPr="00945E91" w:rsidRDefault="005754D0" w:rsidP="005754D0">
      <w:pPr>
        <w:pStyle w:val="Kommentartext"/>
        <w:jc w:val="left"/>
        <w:rPr>
          <w:rFonts w:asciiTheme="minorHAnsi" w:hAnsiTheme="minorHAnsi" w:cstheme="minorHAnsi"/>
          <w:b/>
          <w:lang w:val="de-DE"/>
        </w:rPr>
      </w:pPr>
      <w:r w:rsidRPr="00945E91">
        <w:rPr>
          <w:rFonts w:asciiTheme="minorHAnsi" w:hAnsiTheme="minorHAnsi" w:cstheme="minorHAnsi"/>
          <w:noProof/>
          <w:lang w:eastAsia="de-AT"/>
        </w:rPr>
        <w:drawing>
          <wp:inline distT="0" distB="0" distL="0" distR="0" wp14:anchorId="277AA2C0" wp14:editId="26C258EC">
            <wp:extent cx="4912995" cy="3684994"/>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678"/>
                    <a:stretch/>
                  </pic:blipFill>
                  <pic:spPr bwMode="auto">
                    <a:xfrm>
                      <a:off x="0" y="0"/>
                      <a:ext cx="4921105" cy="36910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C44930B" w14:textId="77777777" w:rsidR="005754D0" w:rsidRPr="00945E91" w:rsidRDefault="005754D0" w:rsidP="005754D0">
      <w:pPr>
        <w:pStyle w:val="Kommentartext"/>
        <w:jc w:val="left"/>
        <w:rPr>
          <w:rFonts w:asciiTheme="minorHAnsi" w:hAnsiTheme="minorHAnsi" w:cstheme="minorHAnsi"/>
          <w:b/>
          <w:lang w:val="de-DE"/>
        </w:rPr>
      </w:pPr>
    </w:p>
    <w:p w14:paraId="4DC9F7EB" w14:textId="236E2209" w:rsidR="005754D0" w:rsidRPr="00945E91" w:rsidRDefault="007B6484" w:rsidP="005754D0">
      <w:pPr>
        <w:pStyle w:val="Kommentartext"/>
        <w:jc w:val="left"/>
        <w:rPr>
          <w:rFonts w:asciiTheme="minorHAnsi" w:hAnsiTheme="minorHAnsi" w:cstheme="minorHAnsi"/>
          <w:b/>
          <w:lang w:val="de-DE"/>
        </w:rPr>
      </w:pPr>
      <w:r>
        <w:rPr>
          <w:rFonts w:asciiTheme="minorHAnsi" w:hAnsiTheme="minorHAnsi" w:cstheme="minorHAnsi"/>
          <w:b/>
          <w:lang w:val="de-DE"/>
        </w:rPr>
        <w:t>Abweichende Empfehlung</w:t>
      </w:r>
      <w:r w:rsidR="00DB23B1">
        <w:rPr>
          <w:rFonts w:asciiTheme="minorHAnsi" w:hAnsiTheme="minorHAnsi" w:cstheme="minorHAnsi"/>
          <w:b/>
          <w:lang w:val="de-DE"/>
        </w:rPr>
        <w:t xml:space="preserve"> an der I.Internen Abteilung OKL Elisabethinen: D</w:t>
      </w:r>
      <w:r w:rsidR="008C3804">
        <w:rPr>
          <w:rFonts w:asciiTheme="minorHAnsi" w:hAnsiTheme="minorHAnsi" w:cstheme="minorHAnsi"/>
          <w:b/>
          <w:lang w:val="de-DE"/>
        </w:rPr>
        <w:t xml:space="preserve">ie grundsätzliche Entscheidung für bzw gegen die </w:t>
      </w:r>
      <w:r w:rsidR="00C21AC1">
        <w:rPr>
          <w:rFonts w:asciiTheme="minorHAnsi" w:hAnsiTheme="minorHAnsi" w:cstheme="minorHAnsi"/>
          <w:b/>
          <w:lang w:val="de-DE"/>
        </w:rPr>
        <w:t xml:space="preserve">allo </w:t>
      </w:r>
      <w:r w:rsidR="008C3804">
        <w:rPr>
          <w:rFonts w:asciiTheme="minorHAnsi" w:hAnsiTheme="minorHAnsi" w:cstheme="minorHAnsi"/>
          <w:b/>
          <w:lang w:val="de-DE"/>
        </w:rPr>
        <w:t xml:space="preserve">SCT </w:t>
      </w:r>
      <w:r w:rsidR="00DB23B1">
        <w:rPr>
          <w:rFonts w:asciiTheme="minorHAnsi" w:hAnsiTheme="minorHAnsi" w:cstheme="minorHAnsi"/>
          <w:b/>
          <w:lang w:val="de-DE"/>
        </w:rPr>
        <w:t xml:space="preserve">sollte </w:t>
      </w:r>
      <w:r w:rsidR="008C3804">
        <w:rPr>
          <w:rFonts w:asciiTheme="minorHAnsi" w:hAnsiTheme="minorHAnsi" w:cstheme="minorHAnsi"/>
          <w:b/>
          <w:lang w:val="de-DE"/>
        </w:rPr>
        <w:t>heutzutage nicht mehr von der Art des Stammzellspenders (verwandt, unverwandt, mismatch) abhängen , da bereits viele Studien die Vergleichbarkeit der SCT-Ergebnisse mit unterschiedlichen Spendern gezeigt haben.</w:t>
      </w:r>
    </w:p>
    <w:p w14:paraId="5838D3ED" w14:textId="31535A66" w:rsidR="00D41337" w:rsidRPr="00945E91" w:rsidRDefault="00D41337">
      <w:pPr>
        <w:spacing w:line="240" w:lineRule="auto"/>
        <w:jc w:val="left"/>
        <w:rPr>
          <w:rFonts w:asciiTheme="minorHAnsi" w:hAnsiTheme="minorHAnsi" w:cstheme="minorHAnsi"/>
          <w:b/>
          <w:sz w:val="20"/>
          <w:lang w:val="de-DE"/>
        </w:rPr>
      </w:pPr>
      <w:r w:rsidRPr="00945E91">
        <w:rPr>
          <w:rFonts w:asciiTheme="minorHAnsi" w:hAnsiTheme="minorHAnsi" w:cstheme="minorHAnsi"/>
          <w:b/>
          <w:lang w:val="de-DE"/>
        </w:rPr>
        <w:br w:type="page"/>
      </w:r>
    </w:p>
    <w:p w14:paraId="14B2296E" w14:textId="3E284B44" w:rsidR="005754D0" w:rsidRPr="00945E91" w:rsidRDefault="005754D0" w:rsidP="00D41337">
      <w:pPr>
        <w:pStyle w:val="berschrift2"/>
        <w:ind w:left="708" w:hanging="708"/>
        <w:rPr>
          <w:rFonts w:asciiTheme="minorHAnsi" w:hAnsiTheme="minorHAnsi" w:cstheme="minorHAnsi"/>
          <w:lang w:val="de-DE"/>
        </w:rPr>
      </w:pPr>
      <w:bookmarkStart w:id="47" w:name="_Toc74412408"/>
      <w:r w:rsidRPr="00945E91">
        <w:rPr>
          <w:rFonts w:asciiTheme="minorHAnsi" w:hAnsiTheme="minorHAnsi" w:cstheme="minorHAnsi"/>
          <w:lang w:val="de-DE"/>
        </w:rPr>
        <w:lastRenderedPageBreak/>
        <w:t xml:space="preserve">3.4. ALL-Behandlung </w:t>
      </w:r>
      <w:r w:rsidR="00D41337" w:rsidRPr="00945E91">
        <w:rPr>
          <w:rFonts w:asciiTheme="minorHAnsi" w:hAnsiTheme="minorHAnsi" w:cstheme="minorHAnsi"/>
          <w:lang w:val="de-DE"/>
        </w:rPr>
        <w:t xml:space="preserve">nach </w:t>
      </w:r>
      <w:r w:rsidRPr="00945E91">
        <w:rPr>
          <w:rFonts w:asciiTheme="minorHAnsi" w:hAnsiTheme="minorHAnsi" w:cstheme="minorHAnsi"/>
          <w:lang w:val="de-DE"/>
        </w:rPr>
        <w:t>GMALL-Protokolle</w:t>
      </w:r>
      <w:r w:rsidR="00D41337" w:rsidRPr="00945E91">
        <w:rPr>
          <w:rFonts w:asciiTheme="minorHAnsi" w:hAnsiTheme="minorHAnsi" w:cstheme="minorHAnsi"/>
          <w:lang w:val="de-DE"/>
        </w:rPr>
        <w:t>n</w:t>
      </w:r>
      <w:bookmarkEnd w:id="47"/>
    </w:p>
    <w:p w14:paraId="11EC2AEB" w14:textId="044804EF" w:rsidR="005754D0" w:rsidRPr="00945E91" w:rsidRDefault="00FC64BB" w:rsidP="00FC64BB">
      <w:pPr>
        <w:pStyle w:val="Textkrper-Einzug2"/>
        <w:spacing w:line="276" w:lineRule="auto"/>
        <w:ind w:left="0"/>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Die Empfehlungen im </w:t>
      </w:r>
      <w:r w:rsidRPr="00945E91">
        <w:rPr>
          <w:rFonts w:asciiTheme="minorHAnsi" w:eastAsia="Arial" w:hAnsiTheme="minorHAnsi" w:cstheme="minorHAnsi"/>
          <w:b/>
          <w:sz w:val="20"/>
          <w:lang w:val="de-DE" w:bidi="de-DE"/>
        </w:rPr>
        <w:t>Kapitel 3.4</w:t>
      </w:r>
      <w:r w:rsidRPr="00945E91">
        <w:rPr>
          <w:rFonts w:asciiTheme="minorHAnsi" w:eastAsia="Arial" w:hAnsiTheme="minorHAnsi" w:cstheme="minorHAnsi"/>
          <w:sz w:val="20"/>
          <w:lang w:val="de-DE" w:bidi="de-DE"/>
        </w:rPr>
        <w:t xml:space="preserve"> beziehen sich auf die GMALL-Konsensus Empfehlung, </w:t>
      </w:r>
      <w:r w:rsidR="00A13BB5" w:rsidRPr="00945E91">
        <w:rPr>
          <w:rFonts w:asciiTheme="minorHAnsi" w:eastAsia="Arial" w:hAnsiTheme="minorHAnsi" w:cstheme="minorHAnsi"/>
          <w:sz w:val="20"/>
          <w:lang w:val="de-DE" w:bidi="de-DE"/>
        </w:rPr>
        <w:t>Version</w:t>
      </w:r>
      <w:r w:rsidRPr="00945E91">
        <w:rPr>
          <w:rFonts w:asciiTheme="minorHAnsi" w:eastAsia="Arial" w:hAnsiTheme="minorHAnsi" w:cstheme="minorHAnsi"/>
          <w:sz w:val="20"/>
          <w:lang w:val="de-DE" w:bidi="de-DE"/>
        </w:rPr>
        <w:t xml:space="preserve"> 3, 16.10.2017).</w:t>
      </w:r>
    </w:p>
    <w:p w14:paraId="5D5B6002" w14:textId="250576D6" w:rsidR="005754D0" w:rsidRPr="00945E91" w:rsidRDefault="000C7408" w:rsidP="000C7408">
      <w:pPr>
        <w:pStyle w:val="berschrift3"/>
        <w:rPr>
          <w:rFonts w:asciiTheme="minorHAnsi" w:hAnsiTheme="minorHAnsi" w:cstheme="minorHAnsi"/>
          <w:lang w:val="de-DE"/>
        </w:rPr>
      </w:pPr>
      <w:bookmarkStart w:id="48" w:name="_Toc74412409"/>
      <w:r w:rsidRPr="00945E91">
        <w:rPr>
          <w:rFonts w:asciiTheme="minorHAnsi" w:hAnsiTheme="minorHAnsi" w:cstheme="minorHAnsi"/>
          <w:lang w:val="de-DE"/>
        </w:rPr>
        <w:t xml:space="preserve">3.4.1. </w:t>
      </w:r>
      <w:r w:rsidR="005754D0" w:rsidRPr="00945E91">
        <w:rPr>
          <w:rFonts w:asciiTheme="minorHAnsi" w:hAnsiTheme="minorHAnsi" w:cstheme="minorHAnsi"/>
          <w:lang w:val="de-DE"/>
        </w:rPr>
        <w:t>GMALL-Protokolle ALL/LBL im Alter bis 55 Jahre und elderly (56-75 Jahre)</w:t>
      </w:r>
      <w:bookmarkEnd w:id="48"/>
    </w:p>
    <w:p w14:paraId="157F1E9F" w14:textId="6DFBED86" w:rsidR="005754D0" w:rsidRPr="00945E91" w:rsidRDefault="000C7408" w:rsidP="000C7408">
      <w:pPr>
        <w:pStyle w:val="berschrift4"/>
        <w:numPr>
          <w:ilvl w:val="0"/>
          <w:numId w:val="0"/>
        </w:numPr>
        <w:ind w:left="864" w:hanging="864"/>
        <w:rPr>
          <w:rFonts w:asciiTheme="minorHAnsi" w:hAnsiTheme="minorHAnsi" w:cstheme="minorHAnsi"/>
          <w:sz w:val="20"/>
          <w:lang w:val="de-DE"/>
        </w:rPr>
      </w:pPr>
      <w:r w:rsidRPr="00945E91">
        <w:rPr>
          <w:rFonts w:asciiTheme="minorHAnsi" w:hAnsiTheme="minorHAnsi" w:cstheme="minorHAnsi"/>
          <w:sz w:val="20"/>
          <w:lang w:val="de-DE"/>
        </w:rPr>
        <w:t xml:space="preserve">3.4.4.1. </w:t>
      </w:r>
      <w:r w:rsidR="00FC64BB" w:rsidRPr="00945E91">
        <w:rPr>
          <w:rFonts w:asciiTheme="minorHAnsi" w:hAnsiTheme="minorHAnsi" w:cstheme="minorHAnsi"/>
          <w:sz w:val="20"/>
          <w:lang w:val="de-DE"/>
        </w:rPr>
        <w:t xml:space="preserve">Allgemeine </w:t>
      </w:r>
      <w:r w:rsidR="005754D0" w:rsidRPr="00945E91">
        <w:rPr>
          <w:rFonts w:asciiTheme="minorHAnsi" w:hAnsiTheme="minorHAnsi" w:cstheme="minorHAnsi"/>
          <w:sz w:val="20"/>
          <w:lang w:val="de-DE"/>
        </w:rPr>
        <w:t xml:space="preserve">Kriterien für Unterbrechungen und Dosisreduktion </w:t>
      </w:r>
      <w:r w:rsidR="00D41337" w:rsidRPr="00945E91">
        <w:rPr>
          <w:rFonts w:asciiTheme="minorHAnsi" w:hAnsiTheme="minorHAnsi" w:cstheme="minorHAnsi"/>
          <w:sz w:val="20"/>
          <w:lang w:val="de-DE"/>
        </w:rPr>
        <w:t>der Chemotherapie</w:t>
      </w:r>
    </w:p>
    <w:tbl>
      <w:tblPr>
        <w:tblStyle w:val="TableNormal1"/>
        <w:tblW w:w="1004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7929"/>
      </w:tblGrid>
      <w:tr w:rsidR="005754D0" w:rsidRPr="00945E91" w14:paraId="7FE3889F" w14:textId="77777777" w:rsidTr="005754D0">
        <w:trPr>
          <w:trHeight w:val="149"/>
        </w:trPr>
        <w:tc>
          <w:tcPr>
            <w:tcW w:w="10046" w:type="dxa"/>
            <w:gridSpan w:val="2"/>
            <w:shd w:val="clear" w:color="auto" w:fill="D9D9D9" w:themeFill="background1" w:themeFillShade="D9"/>
          </w:tcPr>
          <w:p w14:paraId="48C670D5"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Induktion I</w:t>
            </w:r>
          </w:p>
        </w:tc>
      </w:tr>
      <w:tr w:rsidR="005754D0" w:rsidRPr="00945E91" w14:paraId="73D69AD1" w14:textId="77777777" w:rsidTr="00D41337">
        <w:trPr>
          <w:trHeight w:val="436"/>
        </w:trPr>
        <w:tc>
          <w:tcPr>
            <w:tcW w:w="2117" w:type="dxa"/>
          </w:tcPr>
          <w:p w14:paraId="56FD3585" w14:textId="77777777" w:rsidR="005754D0" w:rsidRPr="00945E91" w:rsidRDefault="005754D0" w:rsidP="005754D0">
            <w:pPr>
              <w:pStyle w:val="TableParagraph"/>
              <w:ind w:left="107"/>
              <w:rPr>
                <w:rFonts w:asciiTheme="minorHAnsi" w:hAnsiTheme="minorHAnsi" w:cstheme="minorHAnsi"/>
                <w:sz w:val="20"/>
                <w:szCs w:val="20"/>
              </w:rPr>
            </w:pPr>
            <w:r w:rsidRPr="00945E91">
              <w:rPr>
                <w:rFonts w:asciiTheme="minorHAnsi" w:hAnsiTheme="minorHAnsi" w:cstheme="minorHAnsi"/>
                <w:sz w:val="20"/>
                <w:szCs w:val="20"/>
              </w:rPr>
              <w:t>Grundprinzipien</w:t>
            </w:r>
          </w:p>
        </w:tc>
        <w:tc>
          <w:tcPr>
            <w:tcW w:w="7929" w:type="dxa"/>
          </w:tcPr>
          <w:p w14:paraId="4AFB0F9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Möglichst zeitgerechte Durchführung ohne</w:t>
            </w:r>
            <w:r w:rsidRPr="00945E91">
              <w:rPr>
                <w:rFonts w:asciiTheme="minorHAnsi" w:hAnsiTheme="minorHAnsi" w:cstheme="minorHAnsi"/>
                <w:spacing w:val="-4"/>
                <w:sz w:val="20"/>
                <w:szCs w:val="20"/>
              </w:rPr>
              <w:t xml:space="preserve"> </w:t>
            </w:r>
            <w:r w:rsidRPr="00945E91">
              <w:rPr>
                <w:rFonts w:asciiTheme="minorHAnsi" w:hAnsiTheme="minorHAnsi" w:cstheme="minorHAnsi"/>
                <w:sz w:val="20"/>
                <w:szCs w:val="20"/>
              </w:rPr>
              <w:t>Unterbrechung</w:t>
            </w:r>
          </w:p>
          <w:p w14:paraId="1C924A15"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Ausnahmen: z.B. schwere Organtoxizität,</w:t>
            </w:r>
            <w:r w:rsidRPr="00945E91">
              <w:rPr>
                <w:rFonts w:asciiTheme="minorHAnsi" w:hAnsiTheme="minorHAnsi" w:cstheme="minorHAnsi"/>
                <w:spacing w:val="-5"/>
                <w:sz w:val="20"/>
                <w:szCs w:val="20"/>
              </w:rPr>
              <w:t xml:space="preserve"> </w:t>
            </w:r>
            <w:r w:rsidRPr="00945E91">
              <w:rPr>
                <w:rFonts w:asciiTheme="minorHAnsi" w:hAnsiTheme="minorHAnsi" w:cstheme="minorHAnsi"/>
                <w:sz w:val="20"/>
                <w:szCs w:val="20"/>
              </w:rPr>
              <w:t>Infektionen</w:t>
            </w:r>
          </w:p>
          <w:p w14:paraId="3330D7E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 xml:space="preserve">Beim älteren Patienten (56-75 Jahre): eventuell Induktion I etwas postponieren, wenn ANC &lt; 0,5 G/l bereits bei Diagnose oder unter Vorphase; bei gutem Ansprechen (BB, Klinik, LDH) ggf. Verschiebung von Tag 14 bis Granulozyten &gt; 0,5 G/l (maximal 1 Woche) </w:t>
            </w:r>
          </w:p>
        </w:tc>
      </w:tr>
      <w:tr w:rsidR="005754D0" w:rsidRPr="00945E91" w14:paraId="56074910" w14:textId="77777777" w:rsidTr="005754D0">
        <w:trPr>
          <w:trHeight w:val="172"/>
        </w:trPr>
        <w:tc>
          <w:tcPr>
            <w:tcW w:w="10046" w:type="dxa"/>
            <w:gridSpan w:val="2"/>
            <w:shd w:val="clear" w:color="auto" w:fill="D9D9D9" w:themeFill="background1" w:themeFillShade="D9"/>
          </w:tcPr>
          <w:p w14:paraId="0AFE3A17"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Induktion II</w:t>
            </w:r>
          </w:p>
        </w:tc>
      </w:tr>
      <w:tr w:rsidR="005754D0" w:rsidRPr="00945E91" w14:paraId="5E40852D" w14:textId="77777777" w:rsidTr="00D41337">
        <w:trPr>
          <w:trHeight w:val="2245"/>
        </w:trPr>
        <w:tc>
          <w:tcPr>
            <w:tcW w:w="2117" w:type="dxa"/>
          </w:tcPr>
          <w:p w14:paraId="708ADA4E" w14:textId="77777777" w:rsidR="005754D0" w:rsidRPr="00945E91" w:rsidRDefault="005754D0" w:rsidP="005754D0">
            <w:pPr>
              <w:pStyle w:val="TableParagraph"/>
              <w:ind w:left="107"/>
              <w:rPr>
                <w:rFonts w:asciiTheme="minorHAnsi" w:hAnsiTheme="minorHAnsi" w:cstheme="minorHAnsi"/>
                <w:sz w:val="20"/>
                <w:szCs w:val="20"/>
              </w:rPr>
            </w:pPr>
            <w:r w:rsidRPr="00945E91">
              <w:rPr>
                <w:rFonts w:asciiTheme="minorHAnsi" w:hAnsiTheme="minorHAnsi" w:cstheme="minorHAnsi"/>
                <w:sz w:val="20"/>
                <w:szCs w:val="20"/>
              </w:rPr>
              <w:t>Grundprinzipien</w:t>
            </w:r>
          </w:p>
        </w:tc>
        <w:tc>
          <w:tcPr>
            <w:tcW w:w="7929" w:type="dxa"/>
          </w:tcPr>
          <w:p w14:paraId="19E5C6F8"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Möglichst zeitgerechter Beginn der Induktionsphase II ohne Verzögerung; dies gilt insbesondere, wenn an Tag 22 keine CR vorliegt.</w:t>
            </w:r>
          </w:p>
          <w:p w14:paraId="1F0EC97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Nach den bisherigen Erfahrungen sind bei &gt;50% der Patienten Therapieunterbrechungen in Induktion II erforderlich.</w:t>
            </w:r>
          </w:p>
          <w:p w14:paraId="1553F55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Bei Therapieunterbrechungen werden alle Zytostatika gleichzeitig abgesetzt und nach Erholung mit dem Tag der Unterbrechung auch wieder vollständig angesetzt; dies gilt auch für die i.th. Therapie!</w:t>
            </w:r>
          </w:p>
          <w:p w14:paraId="50F79791"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Die ZNS-Bestrahlung wird möglichst ohne Unterbrechung durchgeführt.</w:t>
            </w:r>
          </w:p>
          <w:p w14:paraId="457E7FC6"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Die Schädelbestrahlung erfolgt parallel zu Chemotherapie und intrathekaler Therapie.</w:t>
            </w:r>
          </w:p>
          <w:p w14:paraId="20F8B090"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Die Schädelbestrahlung wird auch dann durchgeführt, wenn bei Patienten die spätere SZT geplant ist. Sie stellt keine Kontraindikation für die Ganzkörperbestrahlung dar.</w:t>
            </w:r>
          </w:p>
          <w:p w14:paraId="7F9A51C9"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Unterbrechungen sollten, falls erforderlich, zwischen den ARAC- Blöcken erfolgen.</w:t>
            </w:r>
          </w:p>
        </w:tc>
      </w:tr>
      <w:tr w:rsidR="005754D0" w:rsidRPr="00945E91" w14:paraId="3EE9E7F0" w14:textId="77777777" w:rsidTr="00D41337">
        <w:trPr>
          <w:trHeight w:val="646"/>
        </w:trPr>
        <w:tc>
          <w:tcPr>
            <w:tcW w:w="2117" w:type="dxa"/>
          </w:tcPr>
          <w:p w14:paraId="6C42049C"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Beginn bzw. Wiederbeginn nach Unterbrechung</w:t>
            </w:r>
          </w:p>
        </w:tc>
        <w:tc>
          <w:tcPr>
            <w:tcW w:w="7929" w:type="dxa"/>
          </w:tcPr>
          <w:p w14:paraId="3BB7B8C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Keine schwere Organtoxizität und ausreichender AZ</w:t>
            </w:r>
          </w:p>
          <w:p w14:paraId="1238778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0,5 G/l (ansteigend) und Thrombozyten &gt; 50 G/l (ansteigend)</w:t>
            </w:r>
          </w:p>
          <w:p w14:paraId="1B4EF3C1" w14:textId="77777777" w:rsidR="005754D0" w:rsidRPr="00945E91" w:rsidRDefault="005754D0" w:rsidP="00D11A8E">
            <w:pPr>
              <w:pStyle w:val="TableParagraph"/>
              <w:numPr>
                <w:ilvl w:val="0"/>
                <w:numId w:val="29"/>
              </w:numPr>
              <w:tabs>
                <w:tab w:val="left" w:pos="425"/>
              </w:tabs>
              <w:ind w:right="97"/>
              <w:rPr>
                <w:rFonts w:asciiTheme="minorHAnsi" w:hAnsiTheme="minorHAnsi" w:cstheme="minorHAnsi"/>
                <w:sz w:val="20"/>
                <w:szCs w:val="20"/>
              </w:rPr>
            </w:pPr>
            <w:r w:rsidRPr="00945E91">
              <w:rPr>
                <w:rFonts w:asciiTheme="minorHAnsi" w:hAnsiTheme="minorHAnsi" w:cstheme="minorHAnsi"/>
                <w:sz w:val="20"/>
                <w:szCs w:val="20"/>
              </w:rPr>
              <w:t>Bei erhöhten Leberwerten (z.B. Transaminasen, Bilirubin) nach Asparaginase-Gabe siehe Kapitel XIV, 1</w:t>
            </w:r>
          </w:p>
        </w:tc>
      </w:tr>
      <w:tr w:rsidR="005754D0" w:rsidRPr="00945E91" w14:paraId="0A10071E" w14:textId="77777777" w:rsidTr="00D41337">
        <w:trPr>
          <w:trHeight w:val="646"/>
        </w:trPr>
        <w:tc>
          <w:tcPr>
            <w:tcW w:w="2117" w:type="dxa"/>
            <w:tcBorders>
              <w:bottom w:val="single" w:sz="4" w:space="0" w:color="auto"/>
            </w:tcBorders>
          </w:tcPr>
          <w:p w14:paraId="2E73BE33" w14:textId="77777777" w:rsidR="005754D0" w:rsidRPr="00945E91" w:rsidRDefault="005754D0" w:rsidP="005754D0">
            <w:pPr>
              <w:pStyle w:val="TableParagraph"/>
              <w:ind w:left="107" w:right="147"/>
              <w:rPr>
                <w:rFonts w:asciiTheme="minorHAnsi" w:hAnsiTheme="minorHAnsi" w:cstheme="minorHAnsi"/>
                <w:sz w:val="20"/>
                <w:szCs w:val="20"/>
              </w:rPr>
            </w:pPr>
            <w:r w:rsidRPr="00945E91">
              <w:rPr>
                <w:rFonts w:asciiTheme="minorHAnsi" w:hAnsiTheme="minorHAnsi" w:cstheme="minorHAnsi"/>
                <w:sz w:val="20"/>
                <w:szCs w:val="20"/>
              </w:rPr>
              <w:t>Empfehlungen für die Unterbrechung von Induktion II</w:t>
            </w:r>
          </w:p>
        </w:tc>
        <w:tc>
          <w:tcPr>
            <w:tcW w:w="7929" w:type="dxa"/>
            <w:tcBorders>
              <w:bottom w:val="single" w:sz="4" w:space="0" w:color="auto"/>
            </w:tcBorders>
          </w:tcPr>
          <w:p w14:paraId="2954867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Schwere Organtoxizität oder schwere Infektion oder Mukositis</w:t>
            </w:r>
          </w:p>
          <w:p w14:paraId="2AB75833"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0,2 G/l oder Thrombozyten &lt; 20 G/l trotz Substitution</w:t>
            </w:r>
          </w:p>
          <w:p w14:paraId="56BF759E" w14:textId="77777777" w:rsidR="005754D0" w:rsidRPr="00945E91" w:rsidRDefault="005754D0" w:rsidP="00D11A8E">
            <w:pPr>
              <w:pStyle w:val="TableParagraph"/>
              <w:numPr>
                <w:ilvl w:val="0"/>
                <w:numId w:val="29"/>
              </w:numPr>
              <w:tabs>
                <w:tab w:val="left" w:pos="425"/>
              </w:tabs>
              <w:ind w:right="97"/>
              <w:rPr>
                <w:rFonts w:asciiTheme="minorHAnsi" w:hAnsiTheme="minorHAnsi" w:cstheme="minorHAnsi"/>
                <w:sz w:val="20"/>
                <w:szCs w:val="20"/>
              </w:rPr>
            </w:pPr>
            <w:r w:rsidRPr="00945E91">
              <w:rPr>
                <w:rFonts w:asciiTheme="minorHAnsi" w:hAnsiTheme="minorHAnsi" w:cstheme="minorHAnsi"/>
                <w:sz w:val="20"/>
                <w:szCs w:val="20"/>
              </w:rPr>
              <w:t>Bei erhöhten Leberwerten (z.B. Transaminasen, Bilirubin) nach Asparaginase-Gabe siehe Kapitel XIV, 1</w:t>
            </w:r>
          </w:p>
        </w:tc>
      </w:tr>
      <w:tr w:rsidR="005754D0" w:rsidRPr="00945E91" w14:paraId="72E2D968"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3"/>
        </w:trPr>
        <w:tc>
          <w:tcPr>
            <w:tcW w:w="100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DBFC6"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Konsolidierung I</w:t>
            </w:r>
          </w:p>
        </w:tc>
      </w:tr>
      <w:tr w:rsidR="005754D0" w:rsidRPr="00945E91" w14:paraId="2277CB31"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9"/>
        </w:trPr>
        <w:tc>
          <w:tcPr>
            <w:tcW w:w="2117" w:type="dxa"/>
            <w:tcBorders>
              <w:top w:val="single" w:sz="4" w:space="0" w:color="auto"/>
              <w:left w:val="single" w:sz="4" w:space="0" w:color="auto"/>
              <w:bottom w:val="single" w:sz="4" w:space="0" w:color="auto"/>
              <w:right w:val="single" w:sz="4" w:space="0" w:color="auto"/>
            </w:tcBorders>
          </w:tcPr>
          <w:p w14:paraId="03BB59C1"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7929" w:type="dxa"/>
            <w:tcBorders>
              <w:top w:val="single" w:sz="4" w:space="0" w:color="auto"/>
              <w:left w:val="single" w:sz="4" w:space="0" w:color="auto"/>
              <w:bottom w:val="single" w:sz="4" w:space="0" w:color="auto"/>
              <w:right w:val="single" w:sz="4" w:space="0" w:color="auto"/>
            </w:tcBorders>
          </w:tcPr>
          <w:p w14:paraId="456EF50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und keine schwere Infektion</w:t>
            </w:r>
          </w:p>
          <w:p w14:paraId="4CBB55C0"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49D58DC7"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1 G/l und Thrombozyten &gt; 80-100 G/l</w:t>
            </w:r>
          </w:p>
          <w:p w14:paraId="20ACDBC5"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b/>
                <w:sz w:val="20"/>
                <w:szCs w:val="20"/>
              </w:rPr>
              <w:t>Wenn die Konsolidation I als Salvagetherapie eingesetzt wird und somit keine Vollremission vorliegt, muss das Erreichen der Grenzwerte nicht abgewartet werden</w:t>
            </w:r>
          </w:p>
        </w:tc>
      </w:tr>
      <w:tr w:rsidR="005754D0" w:rsidRPr="00945E91" w14:paraId="63531BEB"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00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BADA3C"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HDMTX/ASP (1. Und 2. Teil)</w:t>
            </w:r>
          </w:p>
        </w:tc>
      </w:tr>
      <w:tr w:rsidR="005754D0" w:rsidRPr="00945E91" w14:paraId="172A1604"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4"/>
        </w:trPr>
        <w:tc>
          <w:tcPr>
            <w:tcW w:w="2117" w:type="dxa"/>
            <w:tcBorders>
              <w:top w:val="single" w:sz="4" w:space="0" w:color="auto"/>
              <w:left w:val="single" w:sz="4" w:space="0" w:color="auto"/>
              <w:bottom w:val="single" w:sz="4" w:space="0" w:color="auto"/>
              <w:right w:val="single" w:sz="4" w:space="0" w:color="auto"/>
            </w:tcBorders>
          </w:tcPr>
          <w:p w14:paraId="0662E456" w14:textId="77777777" w:rsidR="005754D0" w:rsidRPr="00945E91" w:rsidRDefault="005754D0" w:rsidP="005754D0">
            <w:pPr>
              <w:pStyle w:val="TableParagraph"/>
              <w:ind w:left="107" w:right="208"/>
              <w:rPr>
                <w:rFonts w:asciiTheme="minorHAnsi" w:hAnsiTheme="minorHAnsi" w:cstheme="minorHAnsi"/>
                <w:b/>
                <w:sz w:val="20"/>
                <w:szCs w:val="20"/>
              </w:rPr>
            </w:pPr>
            <w:r w:rsidRPr="00945E91">
              <w:rPr>
                <w:rFonts w:asciiTheme="minorHAnsi" w:hAnsiTheme="minorHAnsi" w:cstheme="minorHAnsi"/>
                <w:sz w:val="20"/>
                <w:szCs w:val="20"/>
              </w:rPr>
              <w:t xml:space="preserve">Voraussetzungen für den Beginn </w:t>
            </w:r>
            <w:r w:rsidRPr="00945E91">
              <w:rPr>
                <w:rFonts w:asciiTheme="minorHAnsi" w:hAnsiTheme="minorHAnsi" w:cstheme="minorHAnsi"/>
                <w:b/>
                <w:sz w:val="20"/>
                <w:szCs w:val="20"/>
              </w:rPr>
              <w:t>jedes Therapieteils</w:t>
            </w:r>
          </w:p>
        </w:tc>
        <w:tc>
          <w:tcPr>
            <w:tcW w:w="7929" w:type="dxa"/>
            <w:tcBorders>
              <w:top w:val="single" w:sz="4" w:space="0" w:color="auto"/>
              <w:left w:val="single" w:sz="4" w:space="0" w:color="auto"/>
              <w:bottom w:val="single" w:sz="4" w:space="0" w:color="auto"/>
              <w:right w:val="single" w:sz="4" w:space="0" w:color="auto"/>
            </w:tcBorders>
          </w:tcPr>
          <w:p w14:paraId="1ADE622E" w14:textId="77777777" w:rsidR="005754D0" w:rsidRPr="00945E91" w:rsidRDefault="005754D0" w:rsidP="00D11A8E">
            <w:pPr>
              <w:pStyle w:val="TableParagraph"/>
              <w:numPr>
                <w:ilvl w:val="0"/>
                <w:numId w:val="29"/>
              </w:numPr>
              <w:tabs>
                <w:tab w:val="left" w:pos="425"/>
              </w:tabs>
              <w:rPr>
                <w:rFonts w:asciiTheme="minorHAnsi" w:hAnsiTheme="minorHAnsi" w:cstheme="minorHAnsi"/>
                <w:b/>
                <w:sz w:val="20"/>
                <w:szCs w:val="20"/>
              </w:rPr>
            </w:pPr>
            <w:r w:rsidRPr="00945E91">
              <w:rPr>
                <w:rFonts w:asciiTheme="minorHAnsi" w:hAnsiTheme="minorHAnsi" w:cstheme="minorHAnsi"/>
                <w:b/>
                <w:sz w:val="20"/>
                <w:szCs w:val="20"/>
              </w:rPr>
              <w:t>Das Intervall zwischen den Konsolidationszyklen sollte nicht länger als 2-3 Wochen betragen, wenn folgende Bedingungen erfüllt sind:</w:t>
            </w:r>
          </w:p>
          <w:p w14:paraId="6069354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 Durchfall oder Mukositis</w:t>
            </w:r>
          </w:p>
          <w:p w14:paraId="3F2D07CF"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3D915A14"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0,5 G/l (ansteigend) und Thrombozyten &gt; 50 G/l (ansteigend)</w:t>
            </w:r>
          </w:p>
          <w:p w14:paraId="0C398EDB" w14:textId="77777777" w:rsidR="005754D0" w:rsidRPr="00945E91" w:rsidRDefault="005754D0" w:rsidP="00D11A8E">
            <w:pPr>
              <w:pStyle w:val="TableParagraph"/>
              <w:numPr>
                <w:ilvl w:val="0"/>
                <w:numId w:val="29"/>
              </w:numPr>
              <w:tabs>
                <w:tab w:val="left" w:pos="425"/>
              </w:tabs>
              <w:ind w:right="94"/>
              <w:rPr>
                <w:rFonts w:asciiTheme="minorHAnsi" w:hAnsiTheme="minorHAnsi" w:cstheme="minorHAnsi"/>
                <w:b/>
                <w:sz w:val="20"/>
                <w:szCs w:val="20"/>
              </w:rPr>
            </w:pPr>
            <w:r w:rsidRPr="00945E91">
              <w:rPr>
                <w:rFonts w:asciiTheme="minorHAnsi" w:hAnsiTheme="minorHAnsi" w:cstheme="minorHAnsi"/>
                <w:sz w:val="20"/>
                <w:szCs w:val="20"/>
              </w:rPr>
              <w:t>Bei erhöhten Leberwerten (z.B. Transaminasen, Bilirubin) nach Asparaginase siehe Kapitel XIV, 1</w:t>
            </w:r>
          </w:p>
        </w:tc>
      </w:tr>
      <w:tr w:rsidR="005754D0" w:rsidRPr="00945E91" w14:paraId="1822B545"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00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9B629B"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Reinduktion</w:t>
            </w:r>
          </w:p>
        </w:tc>
      </w:tr>
      <w:tr w:rsidR="005754D0" w:rsidRPr="00945E91" w14:paraId="0F24CA3F"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8"/>
        </w:trPr>
        <w:tc>
          <w:tcPr>
            <w:tcW w:w="2117" w:type="dxa"/>
            <w:tcBorders>
              <w:top w:val="single" w:sz="4" w:space="0" w:color="auto"/>
              <w:left w:val="single" w:sz="4" w:space="0" w:color="auto"/>
              <w:bottom w:val="single" w:sz="4" w:space="0" w:color="auto"/>
              <w:right w:val="single" w:sz="4" w:space="0" w:color="auto"/>
            </w:tcBorders>
          </w:tcPr>
          <w:p w14:paraId="0690CD32"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7929" w:type="dxa"/>
            <w:tcBorders>
              <w:top w:val="single" w:sz="4" w:space="0" w:color="auto"/>
              <w:left w:val="single" w:sz="4" w:space="0" w:color="auto"/>
              <w:bottom w:val="single" w:sz="4" w:space="0" w:color="auto"/>
              <w:right w:val="single" w:sz="4" w:space="0" w:color="auto"/>
            </w:tcBorders>
          </w:tcPr>
          <w:p w14:paraId="7C1CA25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AZ, keine schwere Organtoxizität, keine schwere Infektion</w:t>
            </w:r>
          </w:p>
          <w:p w14:paraId="718C159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Kreatinin und Kreatininclearance nicht signifikant verändert</w:t>
            </w:r>
          </w:p>
          <w:p w14:paraId="2625B1DA"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1 G/l und Thrombozyten &gt; 80-100 G/l</w:t>
            </w:r>
          </w:p>
        </w:tc>
      </w:tr>
      <w:tr w:rsidR="005754D0" w:rsidRPr="00945E91" w14:paraId="7DEA164F"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100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6F8265" w14:textId="77777777" w:rsidR="005754D0" w:rsidRPr="00945E91" w:rsidRDefault="005754D0" w:rsidP="005754D0">
            <w:pPr>
              <w:pStyle w:val="TableParagraph"/>
              <w:ind w:left="107"/>
              <w:rPr>
                <w:rFonts w:asciiTheme="minorHAnsi" w:hAnsiTheme="minorHAnsi" w:cstheme="minorHAnsi"/>
                <w:b/>
                <w:sz w:val="20"/>
                <w:szCs w:val="20"/>
              </w:rPr>
            </w:pPr>
            <w:r w:rsidRPr="00945E91">
              <w:rPr>
                <w:rFonts w:asciiTheme="minorHAnsi" w:hAnsiTheme="minorHAnsi" w:cstheme="minorHAnsi"/>
                <w:b/>
                <w:sz w:val="20"/>
                <w:szCs w:val="20"/>
              </w:rPr>
              <w:t>Basis-Erhaltungstherapie</w:t>
            </w:r>
          </w:p>
        </w:tc>
      </w:tr>
      <w:tr w:rsidR="005754D0" w:rsidRPr="00945E91" w14:paraId="5B51CB0F" w14:textId="77777777" w:rsidTr="00D413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5"/>
        </w:trPr>
        <w:tc>
          <w:tcPr>
            <w:tcW w:w="2117" w:type="dxa"/>
            <w:tcBorders>
              <w:top w:val="single" w:sz="4" w:space="0" w:color="auto"/>
              <w:left w:val="single" w:sz="4" w:space="0" w:color="auto"/>
              <w:bottom w:val="single" w:sz="4" w:space="0" w:color="auto"/>
              <w:right w:val="single" w:sz="4" w:space="0" w:color="auto"/>
            </w:tcBorders>
          </w:tcPr>
          <w:p w14:paraId="1866C8B1" w14:textId="77777777" w:rsidR="005754D0" w:rsidRPr="00945E91" w:rsidRDefault="005754D0" w:rsidP="005754D0">
            <w:pPr>
              <w:pStyle w:val="TableParagraph"/>
              <w:ind w:left="107" w:right="208"/>
              <w:rPr>
                <w:rFonts w:asciiTheme="minorHAnsi" w:hAnsiTheme="minorHAnsi" w:cstheme="minorHAnsi"/>
                <w:sz w:val="20"/>
                <w:szCs w:val="20"/>
              </w:rPr>
            </w:pPr>
            <w:r w:rsidRPr="00945E91">
              <w:rPr>
                <w:rFonts w:asciiTheme="minorHAnsi" w:hAnsiTheme="minorHAnsi" w:cstheme="minorHAnsi"/>
                <w:sz w:val="20"/>
                <w:szCs w:val="20"/>
              </w:rPr>
              <w:t>Voraussetzungen für den Beginn</w:t>
            </w:r>
          </w:p>
        </w:tc>
        <w:tc>
          <w:tcPr>
            <w:tcW w:w="7929" w:type="dxa"/>
            <w:tcBorders>
              <w:top w:val="single" w:sz="4" w:space="0" w:color="auto"/>
              <w:left w:val="single" w:sz="4" w:space="0" w:color="auto"/>
              <w:bottom w:val="single" w:sz="4" w:space="0" w:color="auto"/>
              <w:right w:val="single" w:sz="4" w:space="0" w:color="auto"/>
            </w:tcBorders>
          </w:tcPr>
          <w:p w14:paraId="3A2DE8AC"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Ausreichender Allgemeinzustand, Keine schwere Organtoxizität, Keine schwere Infektion</w:t>
            </w:r>
          </w:p>
          <w:p w14:paraId="0E43D512" w14:textId="77777777" w:rsidR="005754D0" w:rsidRPr="00945E91" w:rsidRDefault="005754D0" w:rsidP="00D11A8E">
            <w:pPr>
              <w:pStyle w:val="TableParagraph"/>
              <w:numPr>
                <w:ilvl w:val="0"/>
                <w:numId w:val="29"/>
              </w:numPr>
              <w:tabs>
                <w:tab w:val="left" w:pos="425"/>
              </w:tabs>
              <w:rPr>
                <w:rFonts w:asciiTheme="minorHAnsi" w:hAnsiTheme="minorHAnsi" w:cstheme="minorHAnsi"/>
                <w:sz w:val="20"/>
                <w:szCs w:val="20"/>
              </w:rPr>
            </w:pPr>
            <w:r w:rsidRPr="00945E91">
              <w:rPr>
                <w:rFonts w:asciiTheme="minorHAnsi" w:hAnsiTheme="minorHAnsi" w:cstheme="minorHAnsi"/>
                <w:sz w:val="20"/>
                <w:szCs w:val="20"/>
              </w:rPr>
              <w:t>Granulozyten &gt; 1 G/l und Thrombozyten &gt; 80-100 G/l</w:t>
            </w:r>
          </w:p>
        </w:tc>
      </w:tr>
    </w:tbl>
    <w:p w14:paraId="3BCE191C" w14:textId="7003A396" w:rsidR="005754D0" w:rsidRPr="00945E91" w:rsidRDefault="005754D0" w:rsidP="000C7408">
      <w:pPr>
        <w:pStyle w:val="berschrift4"/>
        <w:numPr>
          <w:ilvl w:val="0"/>
          <w:numId w:val="0"/>
        </w:numPr>
        <w:ind w:left="864" w:hanging="864"/>
        <w:rPr>
          <w:rFonts w:asciiTheme="minorHAnsi" w:hAnsiTheme="minorHAnsi" w:cstheme="minorHAnsi"/>
          <w:sz w:val="20"/>
          <w:lang w:val="de-DE"/>
        </w:rPr>
      </w:pPr>
      <w:r w:rsidRPr="00945E91">
        <w:rPr>
          <w:rFonts w:asciiTheme="minorHAnsi" w:hAnsiTheme="minorHAnsi" w:cstheme="minorHAnsi"/>
          <w:lang w:val="de-DE"/>
        </w:rPr>
        <w:br w:type="page"/>
      </w:r>
      <w:r w:rsidR="000C7408" w:rsidRPr="00945E91">
        <w:rPr>
          <w:rFonts w:asciiTheme="minorHAnsi" w:hAnsiTheme="minorHAnsi" w:cstheme="minorHAnsi"/>
          <w:sz w:val="20"/>
          <w:lang w:val="de-DE"/>
        </w:rPr>
        <w:lastRenderedPageBreak/>
        <w:t xml:space="preserve">3.4.4.2. </w:t>
      </w:r>
      <w:r w:rsidRPr="00945E91">
        <w:rPr>
          <w:rFonts w:asciiTheme="minorHAnsi" w:hAnsiTheme="minorHAnsi" w:cstheme="minorHAnsi"/>
          <w:sz w:val="20"/>
          <w:lang w:val="de-DE"/>
        </w:rPr>
        <w:t>Kriterien für Unterbrechungen und Dosisreduktion von Imatinib</w:t>
      </w:r>
    </w:p>
    <w:p w14:paraId="6CA629B3" w14:textId="30B30BF6" w:rsidR="005754D0" w:rsidRPr="00595E61" w:rsidRDefault="005754D0" w:rsidP="00D11A8E">
      <w:pPr>
        <w:pStyle w:val="Textkrper-Einzug2"/>
        <w:numPr>
          <w:ilvl w:val="0"/>
          <w:numId w:val="31"/>
        </w:numPr>
        <w:spacing w:after="0" w:line="276" w:lineRule="auto"/>
        <w:ind w:left="142" w:hanging="284"/>
        <w:jc w:val="left"/>
        <w:rPr>
          <w:rFonts w:asciiTheme="minorHAnsi" w:hAnsiTheme="minorHAnsi" w:cstheme="minorHAnsi"/>
          <w:szCs w:val="22"/>
          <w:lang w:val="de-DE"/>
        </w:rPr>
      </w:pPr>
      <w:r w:rsidRPr="00595E61">
        <w:rPr>
          <w:rFonts w:asciiTheme="minorHAnsi" w:hAnsiTheme="minorHAnsi" w:cstheme="minorHAnsi"/>
          <w:szCs w:val="22"/>
          <w:lang w:val="de-DE"/>
        </w:rPr>
        <w:t xml:space="preserve">Bei Auftreten von </w:t>
      </w:r>
      <w:r w:rsidR="00A13BB5" w:rsidRPr="00595E61">
        <w:rPr>
          <w:rFonts w:asciiTheme="minorHAnsi" w:hAnsiTheme="minorHAnsi" w:cstheme="minorHAnsi"/>
          <w:szCs w:val="22"/>
          <w:lang w:val="de-DE"/>
        </w:rPr>
        <w:t>Toxizität</w:t>
      </w:r>
      <w:r w:rsidRPr="00595E61">
        <w:rPr>
          <w:rFonts w:asciiTheme="minorHAnsi" w:hAnsiTheme="minorHAnsi" w:cstheme="minorHAnsi"/>
          <w:szCs w:val="22"/>
          <w:lang w:val="de-DE"/>
        </w:rPr>
        <w:t xml:space="preserve"> Überprüfung möglicher Medikamenteninteraktionen. Medikamente, die vermutlich zur Toxizität beitragen, sollten bezüglich ihrer Dosierung und Einnahmenotwendigkeit überprüft werden. Wenn mehrere antileukämische Substanzen der Empfehlung im Verdacht stehen, bestimmte Toxizitäten auszulösen, sollte vorrangig eine Modifikation der anderen Substanzen und eine Fortführung der Imatinib-Therapie angestrebt werden.</w:t>
      </w:r>
    </w:p>
    <w:p w14:paraId="3D9AB2C3" w14:textId="77777777" w:rsidR="005754D0" w:rsidRPr="00595E61" w:rsidRDefault="005754D0" w:rsidP="00D11A8E">
      <w:pPr>
        <w:pStyle w:val="Textkrper-Einzug2"/>
        <w:numPr>
          <w:ilvl w:val="0"/>
          <w:numId w:val="31"/>
        </w:numPr>
        <w:spacing w:after="0" w:line="276" w:lineRule="auto"/>
        <w:ind w:left="142" w:hanging="284"/>
        <w:jc w:val="left"/>
        <w:rPr>
          <w:rFonts w:asciiTheme="minorHAnsi" w:hAnsiTheme="minorHAnsi" w:cstheme="minorHAnsi"/>
          <w:szCs w:val="22"/>
          <w:lang w:val="de-DE"/>
        </w:rPr>
      </w:pPr>
      <w:r w:rsidRPr="00595E61">
        <w:rPr>
          <w:rFonts w:asciiTheme="minorHAnsi" w:hAnsiTheme="minorHAnsi" w:cstheme="minorHAnsi"/>
          <w:szCs w:val="22"/>
          <w:lang w:val="de-DE"/>
        </w:rPr>
        <w:t>Eine Imatinib-Dosisreduktion/-eskalation erfolgt in den Stufen 600, 400mg und 300mg/Tag. Eine Reduktion/Eskalation auf unter 300 mg/d bzw. über 600 mg/d sollte nicht erfolgen.</w:t>
      </w:r>
    </w:p>
    <w:p w14:paraId="72C8AAB1" w14:textId="77777777" w:rsidR="005754D0" w:rsidRPr="00945E91" w:rsidRDefault="005754D0" w:rsidP="005754D0">
      <w:pPr>
        <w:pStyle w:val="Textkrper-Einzug2"/>
        <w:spacing w:after="0" w:line="276" w:lineRule="auto"/>
        <w:ind w:left="360"/>
        <w:jc w:val="left"/>
        <w:rPr>
          <w:rFonts w:asciiTheme="minorHAnsi" w:hAnsiTheme="minorHAnsi" w:cstheme="minorHAnsi"/>
          <w:b/>
          <w:sz w:val="20"/>
          <w:u w:val="single"/>
          <w:lang w:val="de-DE"/>
        </w:rPr>
      </w:pPr>
    </w:p>
    <w:p w14:paraId="17494FEC" w14:textId="77777777" w:rsidR="005754D0" w:rsidRPr="00945E91" w:rsidRDefault="005754D0" w:rsidP="005754D0">
      <w:pPr>
        <w:pStyle w:val="Textkrper-Einzug2"/>
        <w:spacing w:after="0" w:line="276" w:lineRule="auto"/>
        <w:ind w:left="0"/>
        <w:jc w:val="left"/>
        <w:rPr>
          <w:rFonts w:asciiTheme="minorHAnsi" w:hAnsiTheme="minorHAnsi" w:cstheme="minorHAnsi"/>
          <w:b/>
          <w:sz w:val="20"/>
          <w:lang w:val="de-DE"/>
        </w:rPr>
      </w:pPr>
      <w:r w:rsidRPr="00945E91">
        <w:rPr>
          <w:rFonts w:asciiTheme="minorHAnsi" w:hAnsiTheme="minorHAnsi" w:cstheme="minorHAnsi"/>
          <w:b/>
          <w:sz w:val="20"/>
          <w:lang w:val="de-DE"/>
        </w:rPr>
        <w:t>Zyklus-spezifische Hinweise zum Einsatz von Imatinib</w:t>
      </w:r>
    </w:p>
    <w:tbl>
      <w:tblPr>
        <w:tblStyle w:val="TableNormal1"/>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080"/>
      </w:tblGrid>
      <w:tr w:rsidR="005754D0" w:rsidRPr="00945E91" w14:paraId="7B656A13" w14:textId="77777777" w:rsidTr="005754D0">
        <w:trPr>
          <w:trHeight w:val="273"/>
        </w:trPr>
        <w:tc>
          <w:tcPr>
            <w:tcW w:w="9924" w:type="dxa"/>
            <w:gridSpan w:val="2"/>
            <w:shd w:val="clear" w:color="auto" w:fill="D9D9D9" w:themeFill="background1" w:themeFillShade="D9"/>
          </w:tcPr>
          <w:p w14:paraId="728BE1E1" w14:textId="77777777" w:rsidR="005754D0" w:rsidRPr="00945E91" w:rsidRDefault="005754D0" w:rsidP="005754D0">
            <w:pPr>
              <w:pStyle w:val="TableParagraph"/>
              <w:ind w:left="108"/>
              <w:rPr>
                <w:rFonts w:asciiTheme="minorHAnsi" w:hAnsiTheme="minorHAnsi" w:cstheme="minorHAnsi"/>
                <w:b/>
                <w:sz w:val="18"/>
                <w:szCs w:val="18"/>
              </w:rPr>
            </w:pPr>
            <w:r w:rsidRPr="00945E91">
              <w:rPr>
                <w:rFonts w:asciiTheme="minorHAnsi" w:hAnsiTheme="minorHAnsi" w:cstheme="minorHAnsi"/>
                <w:b/>
                <w:sz w:val="18"/>
                <w:szCs w:val="18"/>
              </w:rPr>
              <w:t>Induktionstherapie</w:t>
            </w:r>
          </w:p>
        </w:tc>
      </w:tr>
      <w:tr w:rsidR="005754D0" w:rsidRPr="00945E91" w14:paraId="58ED1AC5" w14:textId="77777777" w:rsidTr="005754D0">
        <w:trPr>
          <w:trHeight w:val="763"/>
        </w:trPr>
        <w:tc>
          <w:tcPr>
            <w:tcW w:w="1844" w:type="dxa"/>
          </w:tcPr>
          <w:p w14:paraId="7CA3461F"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Nicht-hämatologische Toxizität ≥ Grad II</w:t>
            </w:r>
          </w:p>
          <w:p w14:paraId="1EC610C5"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für mehr als 4 Tage</w:t>
            </w:r>
          </w:p>
        </w:tc>
        <w:tc>
          <w:tcPr>
            <w:tcW w:w="8080" w:type="dxa"/>
          </w:tcPr>
          <w:p w14:paraId="2F7E12A2"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Pause nach ärztlichem Ermessen</w:t>
            </w:r>
          </w:p>
          <w:p w14:paraId="129DAC1E" w14:textId="77777777" w:rsidR="005754D0" w:rsidRPr="00945E91" w:rsidRDefault="005754D0" w:rsidP="00D11A8E">
            <w:pPr>
              <w:pStyle w:val="TableParagraph"/>
              <w:numPr>
                <w:ilvl w:val="0"/>
                <w:numId w:val="32"/>
              </w:numPr>
              <w:tabs>
                <w:tab w:val="left" w:pos="283"/>
              </w:tabs>
              <w:ind w:left="283" w:right="99" w:hanging="142"/>
              <w:jc w:val="both"/>
              <w:rPr>
                <w:rFonts w:asciiTheme="minorHAnsi" w:hAnsiTheme="minorHAnsi" w:cstheme="minorHAnsi"/>
                <w:sz w:val="18"/>
                <w:szCs w:val="18"/>
              </w:rPr>
            </w:pPr>
            <w:r w:rsidRPr="00945E91">
              <w:rPr>
                <w:rFonts w:asciiTheme="minorHAnsi" w:hAnsiTheme="minorHAnsi" w:cstheme="minorHAnsi"/>
                <w:sz w:val="18"/>
                <w:szCs w:val="18"/>
              </w:rPr>
              <w:t>Wiederbeginn nach Rückbildung der Toxizität auf ≤ Grad I mit 600 mg oder 400 mg.</w:t>
            </w:r>
          </w:p>
          <w:p w14:paraId="45E0B784" w14:textId="77777777" w:rsidR="005754D0" w:rsidRPr="00945E91" w:rsidRDefault="005754D0" w:rsidP="00D11A8E">
            <w:pPr>
              <w:pStyle w:val="TableParagraph"/>
              <w:numPr>
                <w:ilvl w:val="0"/>
                <w:numId w:val="32"/>
              </w:numPr>
              <w:tabs>
                <w:tab w:val="left" w:pos="283"/>
              </w:tabs>
              <w:ind w:left="283" w:right="101" w:hanging="142"/>
              <w:jc w:val="both"/>
              <w:rPr>
                <w:rFonts w:asciiTheme="minorHAnsi" w:hAnsiTheme="minorHAnsi" w:cstheme="minorHAnsi"/>
                <w:sz w:val="18"/>
                <w:szCs w:val="18"/>
              </w:rPr>
            </w:pPr>
            <w:r w:rsidRPr="00945E91">
              <w:rPr>
                <w:rFonts w:asciiTheme="minorHAnsi" w:hAnsiTheme="minorHAnsi" w:cstheme="minorHAnsi"/>
                <w:sz w:val="18"/>
                <w:szCs w:val="18"/>
              </w:rPr>
              <w:t>Bei neuerlicher Grad II Toxizität unter reduzierter Dosierung kann Imatinib nach Ermessen des Arztes erneut pausiert werden</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bis</w:t>
            </w:r>
            <w:r w:rsidRPr="00945E91">
              <w:rPr>
                <w:rFonts w:asciiTheme="minorHAnsi" w:hAnsiTheme="minorHAnsi" w:cstheme="minorHAnsi"/>
                <w:spacing w:val="28"/>
                <w:sz w:val="18"/>
                <w:szCs w:val="18"/>
              </w:rPr>
              <w:t xml:space="preserve"> </w:t>
            </w:r>
            <w:r w:rsidRPr="00945E91">
              <w:rPr>
                <w:rFonts w:asciiTheme="minorHAnsi" w:hAnsiTheme="minorHAnsi" w:cstheme="minorHAnsi"/>
                <w:sz w:val="18"/>
                <w:szCs w:val="18"/>
              </w:rPr>
              <w:t>zur</w:t>
            </w:r>
            <w:r w:rsidRPr="00945E91">
              <w:rPr>
                <w:rFonts w:asciiTheme="minorHAnsi" w:hAnsiTheme="minorHAnsi" w:cstheme="minorHAnsi"/>
                <w:spacing w:val="25"/>
                <w:sz w:val="18"/>
                <w:szCs w:val="18"/>
              </w:rPr>
              <w:t xml:space="preserve"> </w:t>
            </w:r>
            <w:r w:rsidRPr="00945E91">
              <w:rPr>
                <w:rFonts w:asciiTheme="minorHAnsi" w:hAnsiTheme="minorHAnsi" w:cstheme="minorHAnsi"/>
                <w:sz w:val="18"/>
                <w:szCs w:val="18"/>
              </w:rPr>
              <w:t>Toxizitätsrückbildung</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auf</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Grad</w:t>
            </w:r>
            <w:r w:rsidRPr="00945E91">
              <w:rPr>
                <w:rFonts w:asciiTheme="minorHAnsi" w:hAnsiTheme="minorHAnsi" w:cstheme="minorHAnsi"/>
                <w:spacing w:val="30"/>
                <w:sz w:val="18"/>
                <w:szCs w:val="18"/>
              </w:rPr>
              <w:t xml:space="preserve"> </w:t>
            </w:r>
            <w:r w:rsidRPr="00945E91">
              <w:rPr>
                <w:rFonts w:asciiTheme="minorHAnsi" w:hAnsiTheme="minorHAnsi" w:cstheme="minorHAnsi"/>
                <w:sz w:val="18"/>
                <w:szCs w:val="18"/>
              </w:rPr>
              <w:t>I.</w:t>
            </w:r>
            <w:r w:rsidRPr="00945E91">
              <w:rPr>
                <w:rFonts w:asciiTheme="minorHAnsi" w:hAnsiTheme="minorHAnsi" w:cstheme="minorHAnsi"/>
                <w:spacing w:val="24"/>
                <w:sz w:val="18"/>
                <w:szCs w:val="18"/>
              </w:rPr>
              <w:t xml:space="preserve"> </w:t>
            </w:r>
            <w:r w:rsidRPr="00945E91">
              <w:rPr>
                <w:rFonts w:asciiTheme="minorHAnsi" w:hAnsiTheme="minorHAnsi" w:cstheme="minorHAnsi"/>
                <w:sz w:val="18"/>
                <w:szCs w:val="18"/>
              </w:rPr>
              <w:t>Wiederbeginn mit 300 mg/Tag.</w:t>
            </w:r>
          </w:p>
        </w:tc>
      </w:tr>
      <w:tr w:rsidR="005754D0" w:rsidRPr="00945E91" w14:paraId="4F21D201" w14:textId="77777777" w:rsidTr="005754D0">
        <w:trPr>
          <w:trHeight w:val="760"/>
        </w:trPr>
        <w:tc>
          <w:tcPr>
            <w:tcW w:w="1844" w:type="dxa"/>
          </w:tcPr>
          <w:p w14:paraId="1B28CCEA"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 xml:space="preserve">Nicht- hämatologische Toxizität </w:t>
            </w:r>
          </w:p>
          <w:p w14:paraId="0749DC37"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 Grad III/IV</w:t>
            </w:r>
          </w:p>
        </w:tc>
        <w:tc>
          <w:tcPr>
            <w:tcW w:w="8080" w:type="dxa"/>
          </w:tcPr>
          <w:p w14:paraId="3791EE17"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Imatinib Pause, bis Toxizität auf ≤ Grad I</w:t>
            </w:r>
          </w:p>
          <w:p w14:paraId="7467C676"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Wiederbeginn mit 400 mg/Tag und schrittweiser Erhöhung</w:t>
            </w:r>
          </w:p>
          <w:p w14:paraId="4C35A277"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Falls erneut Grad III/IV Toxizität, Imatinib Pause, bis Toxizität auf ≤ Grad 1, Wiederbeginn 300 mg/Tag</w:t>
            </w:r>
          </w:p>
          <w:p w14:paraId="40A683FA"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Eine weitere Dosisreduktion bei erneutem Auftreten einer Grad III/IV Toxizität ist nicht vorgesehen.</w:t>
            </w:r>
          </w:p>
        </w:tc>
      </w:tr>
      <w:tr w:rsidR="005754D0" w:rsidRPr="00945E91" w14:paraId="05444D09" w14:textId="77777777" w:rsidTr="005754D0">
        <w:trPr>
          <w:trHeight w:val="570"/>
        </w:trPr>
        <w:tc>
          <w:tcPr>
            <w:tcW w:w="1844" w:type="dxa"/>
          </w:tcPr>
          <w:p w14:paraId="5F825571"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Hämatologische Toxizität Anämie</w:t>
            </w:r>
          </w:p>
        </w:tc>
        <w:tc>
          <w:tcPr>
            <w:tcW w:w="8080" w:type="dxa"/>
          </w:tcPr>
          <w:p w14:paraId="2614AB2A"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Gabe von Transfusionen nach Ermessen des Arztes</w:t>
            </w:r>
          </w:p>
          <w:p w14:paraId="01F73F4E" w14:textId="77777777" w:rsidR="005754D0" w:rsidRPr="00945E91" w:rsidRDefault="005754D0" w:rsidP="00D11A8E">
            <w:pPr>
              <w:pStyle w:val="TableParagraph"/>
              <w:numPr>
                <w:ilvl w:val="0"/>
                <w:numId w:val="32"/>
              </w:numPr>
              <w:tabs>
                <w:tab w:val="left" w:pos="283"/>
              </w:tabs>
              <w:spacing w:before="2"/>
              <w:ind w:left="283" w:hanging="142"/>
              <w:rPr>
                <w:rFonts w:asciiTheme="minorHAnsi" w:hAnsiTheme="minorHAnsi" w:cstheme="minorHAnsi"/>
                <w:sz w:val="18"/>
                <w:szCs w:val="18"/>
              </w:rPr>
            </w:pPr>
            <w:r w:rsidRPr="00945E91">
              <w:rPr>
                <w:rFonts w:asciiTheme="minorHAnsi" w:hAnsiTheme="minorHAnsi" w:cstheme="minorHAnsi"/>
                <w:sz w:val="18"/>
                <w:szCs w:val="18"/>
              </w:rPr>
              <w:t>Keine Imatinib-Dosisreduktionen aufgrund von Anämie (Ausnahme: Grad III oder IV Anämie durch ein akutes durch Imatinib bedingtes Ereignis, wie z.B. schwere gastrointestinale Blutung, z.B. eines Magen-Darm-Ulkus)</w:t>
            </w:r>
          </w:p>
        </w:tc>
      </w:tr>
      <w:tr w:rsidR="005754D0" w:rsidRPr="00945E91" w14:paraId="7A753AD0" w14:textId="77777777" w:rsidTr="005754D0">
        <w:trPr>
          <w:trHeight w:val="441"/>
        </w:trPr>
        <w:tc>
          <w:tcPr>
            <w:tcW w:w="1844" w:type="dxa"/>
          </w:tcPr>
          <w:p w14:paraId="284C0081" w14:textId="77777777" w:rsidR="005754D0" w:rsidRPr="00945E91" w:rsidRDefault="005754D0" w:rsidP="005754D0">
            <w:pPr>
              <w:pStyle w:val="TableParagraph"/>
              <w:ind w:left="107"/>
              <w:rPr>
                <w:rFonts w:asciiTheme="minorHAnsi" w:hAnsiTheme="minorHAnsi" w:cstheme="minorHAnsi"/>
                <w:sz w:val="18"/>
                <w:szCs w:val="18"/>
              </w:rPr>
            </w:pPr>
            <w:r w:rsidRPr="00945E91">
              <w:rPr>
                <w:rFonts w:asciiTheme="minorHAnsi" w:hAnsiTheme="minorHAnsi" w:cstheme="minorHAnsi"/>
                <w:sz w:val="18"/>
                <w:szCs w:val="18"/>
              </w:rPr>
              <w:t>Neutropenie und Thrombopenie</w:t>
            </w:r>
          </w:p>
        </w:tc>
        <w:tc>
          <w:tcPr>
            <w:tcW w:w="8080" w:type="dxa"/>
          </w:tcPr>
          <w:p w14:paraId="06BC221C" w14:textId="794F56FB"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 xml:space="preserve">In der Induktionstherapie möglichst keine Dosismodifikation </w:t>
            </w:r>
            <w:r w:rsidR="00A13BB5" w:rsidRPr="00945E91">
              <w:rPr>
                <w:rFonts w:asciiTheme="minorHAnsi" w:hAnsiTheme="minorHAnsi" w:cstheme="minorHAnsi"/>
                <w:sz w:val="18"/>
                <w:szCs w:val="18"/>
              </w:rPr>
              <w:t>von Imatinib</w:t>
            </w:r>
            <w:r w:rsidRPr="00945E91">
              <w:rPr>
                <w:rFonts w:asciiTheme="minorHAnsi" w:hAnsiTheme="minorHAnsi" w:cstheme="minorHAnsi"/>
                <w:sz w:val="18"/>
                <w:szCs w:val="18"/>
              </w:rPr>
              <w:t xml:space="preserve"> bei Auftreten von hämatologischer Toxizität (jeden Grades)</w:t>
            </w:r>
          </w:p>
        </w:tc>
      </w:tr>
    </w:tbl>
    <w:tbl>
      <w:tblPr>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7948"/>
        <w:gridCol w:w="142"/>
      </w:tblGrid>
      <w:tr w:rsidR="005754D0" w:rsidRPr="00945E91" w14:paraId="7DFD664C" w14:textId="77777777" w:rsidTr="005754D0">
        <w:trPr>
          <w:trHeight w:val="123"/>
        </w:trPr>
        <w:tc>
          <w:tcPr>
            <w:tcW w:w="9924" w:type="dxa"/>
            <w:gridSpan w:val="3"/>
            <w:shd w:val="clear" w:color="auto" w:fill="D9D9D9" w:themeFill="background1" w:themeFillShade="D9"/>
          </w:tcPr>
          <w:p w14:paraId="7E5E2D51" w14:textId="77777777" w:rsidR="005754D0" w:rsidRPr="00945E91" w:rsidRDefault="005754D0" w:rsidP="00595E61">
            <w:pPr>
              <w:pStyle w:val="TableParagraph"/>
              <w:rPr>
                <w:rFonts w:asciiTheme="minorHAnsi" w:hAnsiTheme="minorHAnsi" w:cstheme="minorHAnsi"/>
                <w:b/>
                <w:sz w:val="18"/>
                <w:szCs w:val="18"/>
              </w:rPr>
            </w:pPr>
            <w:r w:rsidRPr="00945E91">
              <w:rPr>
                <w:rFonts w:asciiTheme="minorHAnsi" w:hAnsiTheme="minorHAnsi" w:cstheme="minorHAnsi"/>
                <w:b/>
                <w:sz w:val="18"/>
                <w:szCs w:val="18"/>
              </w:rPr>
              <w:t>In/nach Konsolidierung I</w:t>
            </w:r>
          </w:p>
        </w:tc>
      </w:tr>
      <w:tr w:rsidR="005754D0" w:rsidRPr="00945E91" w14:paraId="06A7C06C" w14:textId="77777777" w:rsidTr="00595E61">
        <w:trPr>
          <w:gridAfter w:val="1"/>
          <w:wAfter w:w="142" w:type="dxa"/>
          <w:trHeight w:val="874"/>
        </w:trPr>
        <w:tc>
          <w:tcPr>
            <w:tcW w:w="1834" w:type="dxa"/>
          </w:tcPr>
          <w:p w14:paraId="7D4A64C5" w14:textId="77777777" w:rsidR="005754D0" w:rsidRPr="00945E91" w:rsidRDefault="005754D0" w:rsidP="00595E61">
            <w:pPr>
              <w:pStyle w:val="TableParagraph"/>
              <w:rPr>
                <w:rFonts w:asciiTheme="minorHAnsi" w:hAnsiTheme="minorHAnsi" w:cstheme="minorHAnsi"/>
                <w:sz w:val="18"/>
                <w:szCs w:val="18"/>
              </w:rPr>
            </w:pPr>
            <w:r w:rsidRPr="00945E91">
              <w:rPr>
                <w:rFonts w:asciiTheme="minorHAnsi" w:hAnsiTheme="minorHAnsi" w:cstheme="minorHAnsi"/>
                <w:sz w:val="18"/>
                <w:szCs w:val="18"/>
              </w:rPr>
              <w:t>Nicht-hämatologische Toxizität ≥ Grad II</w:t>
            </w:r>
          </w:p>
          <w:p w14:paraId="2A08E0D0" w14:textId="77777777" w:rsidR="005754D0" w:rsidRPr="00945E91" w:rsidRDefault="005754D0" w:rsidP="00595E61">
            <w:pPr>
              <w:pStyle w:val="TableParagraph"/>
              <w:rPr>
                <w:rFonts w:asciiTheme="minorHAnsi" w:hAnsiTheme="minorHAnsi" w:cstheme="minorHAnsi"/>
                <w:sz w:val="18"/>
                <w:szCs w:val="18"/>
              </w:rPr>
            </w:pPr>
            <w:r w:rsidRPr="00945E91">
              <w:rPr>
                <w:rFonts w:asciiTheme="minorHAnsi" w:hAnsiTheme="minorHAnsi" w:cstheme="minorHAnsi"/>
                <w:sz w:val="18"/>
                <w:szCs w:val="18"/>
              </w:rPr>
              <w:t>für mehr als 4 Tage</w:t>
            </w:r>
          </w:p>
        </w:tc>
        <w:tc>
          <w:tcPr>
            <w:tcW w:w="7948" w:type="dxa"/>
          </w:tcPr>
          <w:p w14:paraId="31A56028"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Pause nach ärztlichem Ermessen</w:t>
            </w:r>
          </w:p>
          <w:p w14:paraId="3066BB25" w14:textId="77777777" w:rsidR="005754D0" w:rsidRPr="00945E91" w:rsidRDefault="005754D0" w:rsidP="00D11A8E">
            <w:pPr>
              <w:pStyle w:val="TableParagraph"/>
              <w:numPr>
                <w:ilvl w:val="0"/>
                <w:numId w:val="32"/>
              </w:numPr>
              <w:tabs>
                <w:tab w:val="left" w:pos="283"/>
              </w:tabs>
              <w:ind w:left="283" w:right="99" w:hanging="142"/>
              <w:jc w:val="both"/>
              <w:rPr>
                <w:rFonts w:asciiTheme="minorHAnsi" w:hAnsiTheme="minorHAnsi" w:cstheme="minorHAnsi"/>
                <w:sz w:val="18"/>
                <w:szCs w:val="18"/>
              </w:rPr>
            </w:pPr>
            <w:r w:rsidRPr="00945E91">
              <w:rPr>
                <w:rFonts w:asciiTheme="minorHAnsi" w:hAnsiTheme="minorHAnsi" w:cstheme="minorHAnsi"/>
                <w:sz w:val="18"/>
                <w:szCs w:val="18"/>
              </w:rPr>
              <w:t>Wiederbeginn nach Rückbildung der Toxizität auf ≤ Grad I mit 600 mg oder 400 mg.</w:t>
            </w:r>
          </w:p>
          <w:p w14:paraId="70264165" w14:textId="77777777" w:rsidR="005754D0" w:rsidRPr="00945E91" w:rsidRDefault="005754D0" w:rsidP="00D11A8E">
            <w:pPr>
              <w:pStyle w:val="TableParagraph"/>
              <w:numPr>
                <w:ilvl w:val="0"/>
                <w:numId w:val="32"/>
              </w:numPr>
              <w:tabs>
                <w:tab w:val="left" w:pos="283"/>
              </w:tabs>
              <w:ind w:left="283" w:right="101" w:hanging="142"/>
              <w:jc w:val="both"/>
              <w:rPr>
                <w:rFonts w:asciiTheme="minorHAnsi" w:hAnsiTheme="minorHAnsi" w:cstheme="minorHAnsi"/>
                <w:sz w:val="18"/>
                <w:szCs w:val="18"/>
              </w:rPr>
            </w:pPr>
            <w:r w:rsidRPr="00945E91">
              <w:rPr>
                <w:rFonts w:asciiTheme="minorHAnsi" w:hAnsiTheme="minorHAnsi" w:cstheme="minorHAnsi"/>
                <w:sz w:val="18"/>
                <w:szCs w:val="18"/>
              </w:rPr>
              <w:t>Bei neuerlicher Grad II Toxizität unter reduzierter Dosierung kann Imatinib nach Ermessen des Arztes erneut pausiert werden</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bis</w:t>
            </w:r>
            <w:r w:rsidRPr="00945E91">
              <w:rPr>
                <w:rFonts w:asciiTheme="minorHAnsi" w:hAnsiTheme="minorHAnsi" w:cstheme="minorHAnsi"/>
                <w:spacing w:val="28"/>
                <w:sz w:val="18"/>
                <w:szCs w:val="18"/>
              </w:rPr>
              <w:t xml:space="preserve"> </w:t>
            </w:r>
            <w:r w:rsidRPr="00945E91">
              <w:rPr>
                <w:rFonts w:asciiTheme="minorHAnsi" w:hAnsiTheme="minorHAnsi" w:cstheme="minorHAnsi"/>
                <w:sz w:val="18"/>
                <w:szCs w:val="18"/>
              </w:rPr>
              <w:t>zur</w:t>
            </w:r>
            <w:r w:rsidRPr="00945E91">
              <w:rPr>
                <w:rFonts w:asciiTheme="minorHAnsi" w:hAnsiTheme="minorHAnsi" w:cstheme="minorHAnsi"/>
                <w:spacing w:val="25"/>
                <w:sz w:val="18"/>
                <w:szCs w:val="18"/>
              </w:rPr>
              <w:t xml:space="preserve"> </w:t>
            </w:r>
            <w:r w:rsidRPr="00945E91">
              <w:rPr>
                <w:rFonts w:asciiTheme="minorHAnsi" w:hAnsiTheme="minorHAnsi" w:cstheme="minorHAnsi"/>
                <w:sz w:val="18"/>
                <w:szCs w:val="18"/>
              </w:rPr>
              <w:t>Toxizitätsrückbildung</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auf</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w:t>
            </w:r>
            <w:r w:rsidRPr="00945E91">
              <w:rPr>
                <w:rFonts w:asciiTheme="minorHAnsi" w:hAnsiTheme="minorHAnsi" w:cstheme="minorHAnsi"/>
                <w:spacing w:val="26"/>
                <w:sz w:val="18"/>
                <w:szCs w:val="18"/>
              </w:rPr>
              <w:t xml:space="preserve"> </w:t>
            </w:r>
            <w:r w:rsidRPr="00945E91">
              <w:rPr>
                <w:rFonts w:asciiTheme="minorHAnsi" w:hAnsiTheme="minorHAnsi" w:cstheme="minorHAnsi"/>
                <w:sz w:val="18"/>
                <w:szCs w:val="18"/>
              </w:rPr>
              <w:t>Grad</w:t>
            </w:r>
            <w:r w:rsidRPr="00945E91">
              <w:rPr>
                <w:rFonts w:asciiTheme="minorHAnsi" w:hAnsiTheme="minorHAnsi" w:cstheme="minorHAnsi"/>
                <w:spacing w:val="30"/>
                <w:sz w:val="18"/>
                <w:szCs w:val="18"/>
              </w:rPr>
              <w:t xml:space="preserve"> </w:t>
            </w:r>
            <w:r w:rsidRPr="00945E91">
              <w:rPr>
                <w:rFonts w:asciiTheme="minorHAnsi" w:hAnsiTheme="minorHAnsi" w:cstheme="minorHAnsi"/>
                <w:sz w:val="18"/>
                <w:szCs w:val="18"/>
              </w:rPr>
              <w:t>I.</w:t>
            </w:r>
            <w:r w:rsidRPr="00945E91">
              <w:rPr>
                <w:rFonts w:asciiTheme="minorHAnsi" w:hAnsiTheme="minorHAnsi" w:cstheme="minorHAnsi"/>
                <w:spacing w:val="24"/>
                <w:sz w:val="18"/>
                <w:szCs w:val="18"/>
              </w:rPr>
              <w:t xml:space="preserve"> </w:t>
            </w:r>
            <w:r w:rsidRPr="00945E91">
              <w:rPr>
                <w:rFonts w:asciiTheme="minorHAnsi" w:hAnsiTheme="minorHAnsi" w:cstheme="minorHAnsi"/>
                <w:sz w:val="18"/>
                <w:szCs w:val="18"/>
              </w:rPr>
              <w:t>Wiederbeginn mit 300 mg/Tag.</w:t>
            </w:r>
          </w:p>
        </w:tc>
      </w:tr>
      <w:tr w:rsidR="005754D0" w:rsidRPr="00945E91" w14:paraId="5A437FB3" w14:textId="77777777" w:rsidTr="00595E61">
        <w:trPr>
          <w:gridAfter w:val="1"/>
          <w:wAfter w:w="142" w:type="dxa"/>
          <w:trHeight w:val="844"/>
        </w:trPr>
        <w:tc>
          <w:tcPr>
            <w:tcW w:w="1834" w:type="dxa"/>
          </w:tcPr>
          <w:p w14:paraId="6C8DA51B" w14:textId="77777777" w:rsidR="005754D0" w:rsidRPr="00945E91" w:rsidRDefault="005754D0" w:rsidP="00595E61">
            <w:pPr>
              <w:pStyle w:val="TableParagraph"/>
              <w:rPr>
                <w:rFonts w:asciiTheme="minorHAnsi" w:hAnsiTheme="minorHAnsi" w:cstheme="minorHAnsi"/>
                <w:sz w:val="18"/>
                <w:szCs w:val="18"/>
              </w:rPr>
            </w:pPr>
            <w:r w:rsidRPr="00945E91">
              <w:rPr>
                <w:rFonts w:asciiTheme="minorHAnsi" w:hAnsiTheme="minorHAnsi" w:cstheme="minorHAnsi"/>
                <w:sz w:val="18"/>
                <w:szCs w:val="18"/>
              </w:rPr>
              <w:t xml:space="preserve">Nicht- hämatologische Toxizität </w:t>
            </w:r>
          </w:p>
          <w:p w14:paraId="1103EDA7" w14:textId="77777777" w:rsidR="005754D0" w:rsidRPr="00945E91" w:rsidRDefault="005754D0" w:rsidP="00595E61">
            <w:pPr>
              <w:pStyle w:val="TableParagraph"/>
              <w:rPr>
                <w:rFonts w:asciiTheme="minorHAnsi" w:hAnsiTheme="minorHAnsi" w:cstheme="minorHAnsi"/>
                <w:sz w:val="18"/>
                <w:szCs w:val="18"/>
              </w:rPr>
            </w:pPr>
            <w:r w:rsidRPr="00945E91">
              <w:rPr>
                <w:rFonts w:asciiTheme="minorHAnsi" w:hAnsiTheme="minorHAnsi" w:cstheme="minorHAnsi"/>
                <w:sz w:val="18"/>
                <w:szCs w:val="18"/>
              </w:rPr>
              <w:t>≥ Grad III/IV</w:t>
            </w:r>
          </w:p>
        </w:tc>
        <w:tc>
          <w:tcPr>
            <w:tcW w:w="7948" w:type="dxa"/>
          </w:tcPr>
          <w:p w14:paraId="5EC0E86C"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Imatinib Pause, bis Toxizität auf ≤ Grad I</w:t>
            </w:r>
          </w:p>
          <w:p w14:paraId="29A15F63"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Wiederbeginn mit 400 mg/Tag und schrittweiser Erhöhung</w:t>
            </w:r>
          </w:p>
          <w:p w14:paraId="2ED51EE0"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Falls erneut Grad III/IV Toxizität, Imatinib Pause, bis Toxizität auf ≤ Grad 1, Wiederbeginn 300 mg/Tag</w:t>
            </w:r>
          </w:p>
          <w:p w14:paraId="410E3CE9"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Eine weitere Dosisreduktion bei erneutem Auftreten einer Grad III/IV Toxizität ist nicht vorgesehen.</w:t>
            </w:r>
          </w:p>
        </w:tc>
      </w:tr>
      <w:tr w:rsidR="005754D0" w:rsidRPr="00945E91" w14:paraId="2162B548" w14:textId="77777777" w:rsidTr="00595E61">
        <w:trPr>
          <w:gridAfter w:val="1"/>
          <w:wAfter w:w="142" w:type="dxa"/>
          <w:trHeight w:val="659"/>
        </w:trPr>
        <w:tc>
          <w:tcPr>
            <w:tcW w:w="1834" w:type="dxa"/>
          </w:tcPr>
          <w:p w14:paraId="6A86D3AF" w14:textId="77777777" w:rsidR="005754D0" w:rsidRPr="00945E91" w:rsidRDefault="005754D0" w:rsidP="00595E61">
            <w:pPr>
              <w:pStyle w:val="TableParagraph"/>
              <w:rPr>
                <w:rFonts w:asciiTheme="minorHAnsi" w:hAnsiTheme="minorHAnsi" w:cstheme="minorHAnsi"/>
                <w:sz w:val="18"/>
                <w:szCs w:val="18"/>
              </w:rPr>
            </w:pPr>
            <w:r w:rsidRPr="00945E91">
              <w:rPr>
                <w:rFonts w:asciiTheme="minorHAnsi" w:hAnsiTheme="minorHAnsi" w:cstheme="minorHAnsi"/>
                <w:sz w:val="18"/>
                <w:szCs w:val="18"/>
              </w:rPr>
              <w:t>Hämatologische Toxizität Anämie</w:t>
            </w:r>
          </w:p>
        </w:tc>
        <w:tc>
          <w:tcPr>
            <w:tcW w:w="7948" w:type="dxa"/>
          </w:tcPr>
          <w:p w14:paraId="5173E2B9"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Gabe von Transfusionen nach Ermessen des Arztes</w:t>
            </w:r>
          </w:p>
          <w:p w14:paraId="65CDC09A" w14:textId="77777777" w:rsidR="005754D0" w:rsidRPr="00945E91" w:rsidRDefault="005754D0" w:rsidP="00D11A8E">
            <w:pPr>
              <w:pStyle w:val="TableParagraph"/>
              <w:numPr>
                <w:ilvl w:val="0"/>
                <w:numId w:val="32"/>
              </w:numPr>
              <w:tabs>
                <w:tab w:val="left" w:pos="283"/>
              </w:tabs>
              <w:spacing w:before="2"/>
              <w:ind w:left="283" w:hanging="142"/>
              <w:rPr>
                <w:rFonts w:asciiTheme="minorHAnsi" w:hAnsiTheme="minorHAnsi" w:cstheme="minorHAnsi"/>
                <w:sz w:val="18"/>
                <w:szCs w:val="18"/>
              </w:rPr>
            </w:pPr>
            <w:r w:rsidRPr="00945E91">
              <w:rPr>
                <w:rFonts w:asciiTheme="minorHAnsi" w:hAnsiTheme="minorHAnsi" w:cstheme="minorHAnsi"/>
                <w:sz w:val="18"/>
                <w:szCs w:val="18"/>
              </w:rPr>
              <w:t>Keine Imatinib-Dosisreduktionen aufgrund von Anämie (Ausnahme: Grad III oder IV Anämie durch ein akutes durch Imatinib bedingtes Ereignis, wie z.B. schwere gastrointestinale Blutung, z.B. eines Magen-Darm-Ulkus)</w:t>
            </w:r>
          </w:p>
        </w:tc>
      </w:tr>
      <w:tr w:rsidR="005754D0" w:rsidRPr="00945E91" w14:paraId="2CE696BB" w14:textId="77777777" w:rsidTr="00595E61">
        <w:trPr>
          <w:gridAfter w:val="1"/>
          <w:wAfter w:w="142" w:type="dxa"/>
          <w:trHeight w:hRule="exact" w:val="1134"/>
        </w:trPr>
        <w:tc>
          <w:tcPr>
            <w:tcW w:w="1834" w:type="dxa"/>
          </w:tcPr>
          <w:p w14:paraId="62D13CC2" w14:textId="6379C442" w:rsidR="005754D0" w:rsidRPr="00945E91" w:rsidRDefault="005754D0" w:rsidP="00595E61">
            <w:pPr>
              <w:pStyle w:val="TableParagraph"/>
              <w:spacing w:before="57"/>
              <w:ind w:right="398"/>
              <w:rPr>
                <w:rFonts w:asciiTheme="minorHAnsi" w:hAnsiTheme="minorHAnsi" w:cstheme="minorHAnsi"/>
                <w:sz w:val="18"/>
                <w:szCs w:val="18"/>
              </w:rPr>
            </w:pPr>
            <w:r w:rsidRPr="00945E91">
              <w:rPr>
                <w:rFonts w:asciiTheme="minorHAnsi" w:hAnsiTheme="minorHAnsi" w:cstheme="minorHAnsi"/>
                <w:sz w:val="18"/>
                <w:szCs w:val="18"/>
              </w:rPr>
              <w:t>Neutropenie und</w:t>
            </w:r>
            <w:r w:rsidR="00D41337" w:rsidRPr="00945E91">
              <w:rPr>
                <w:rFonts w:asciiTheme="minorHAnsi" w:hAnsiTheme="minorHAnsi" w:cstheme="minorHAnsi"/>
                <w:sz w:val="18"/>
                <w:szCs w:val="18"/>
              </w:rPr>
              <w:t xml:space="preserve"> T</w:t>
            </w:r>
            <w:r w:rsidRPr="00945E91">
              <w:rPr>
                <w:rFonts w:asciiTheme="minorHAnsi" w:hAnsiTheme="minorHAnsi" w:cstheme="minorHAnsi"/>
                <w:sz w:val="18"/>
                <w:szCs w:val="18"/>
              </w:rPr>
              <w:t>hrombopenie nach Induktion in CR</w:t>
            </w:r>
          </w:p>
        </w:tc>
        <w:tc>
          <w:tcPr>
            <w:tcW w:w="7948" w:type="dxa"/>
          </w:tcPr>
          <w:p w14:paraId="1014C1C3"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Bei Grad III/IV Thrombopenie oder Neutropenie: Imatinib Pause bis Zytopenie ≤ Grad I; dann Fortführung Imatinib in vorheriger Dosis, sofern klinische Situation stabil</w:t>
            </w:r>
          </w:p>
          <w:p w14:paraId="0759FCCE" w14:textId="3B1C869E" w:rsidR="005754D0" w:rsidRPr="00945E91" w:rsidRDefault="005754D0" w:rsidP="00D11A8E">
            <w:pPr>
              <w:pStyle w:val="TableParagraph"/>
              <w:numPr>
                <w:ilvl w:val="0"/>
                <w:numId w:val="32"/>
              </w:numPr>
              <w:tabs>
                <w:tab w:val="left" w:pos="283"/>
              </w:tabs>
              <w:spacing w:before="5"/>
              <w:ind w:left="283" w:hanging="142"/>
              <w:rPr>
                <w:rFonts w:asciiTheme="minorHAnsi" w:hAnsiTheme="minorHAnsi" w:cstheme="minorHAnsi"/>
                <w:sz w:val="18"/>
                <w:szCs w:val="18"/>
              </w:rPr>
            </w:pPr>
            <w:r w:rsidRPr="00945E91">
              <w:rPr>
                <w:rFonts w:asciiTheme="minorHAnsi" w:hAnsiTheme="minorHAnsi" w:cstheme="minorHAnsi"/>
                <w:sz w:val="18"/>
                <w:szCs w:val="18"/>
              </w:rPr>
              <w:t xml:space="preserve">Bei Wiederauftreten Grad III/IV Thrombo- oder Neutropenie: </w:t>
            </w:r>
            <w:r w:rsidR="00A13BB5">
              <w:rPr>
                <w:rFonts w:asciiTheme="minorHAnsi" w:hAnsiTheme="minorHAnsi" w:cstheme="minorHAnsi"/>
                <w:sz w:val="18"/>
                <w:szCs w:val="18"/>
              </w:rPr>
              <w:t>P</w:t>
            </w:r>
            <w:r w:rsidRPr="00945E91">
              <w:rPr>
                <w:rFonts w:asciiTheme="minorHAnsi" w:hAnsiTheme="minorHAnsi" w:cstheme="minorHAnsi"/>
                <w:sz w:val="18"/>
                <w:szCs w:val="18"/>
              </w:rPr>
              <w:t>ause</w:t>
            </w:r>
            <w:r w:rsidR="00A13BB5">
              <w:rPr>
                <w:rFonts w:asciiTheme="minorHAnsi" w:hAnsiTheme="minorHAnsi" w:cstheme="minorHAnsi"/>
                <w:sz w:val="18"/>
                <w:szCs w:val="18"/>
              </w:rPr>
              <w:t xml:space="preserve"> von Imatinib</w:t>
            </w:r>
            <w:r w:rsidRPr="00945E91">
              <w:rPr>
                <w:rFonts w:asciiTheme="minorHAnsi" w:hAnsiTheme="minorHAnsi" w:cstheme="minorHAnsi"/>
                <w:sz w:val="18"/>
                <w:szCs w:val="18"/>
              </w:rPr>
              <w:t xml:space="preserve"> bis Zytopenie ≤ Grad I; dann Fortführung Imatinib um 1 Dosisstufe reduziert</w:t>
            </w:r>
          </w:p>
          <w:p w14:paraId="22442FB2" w14:textId="77777777" w:rsidR="005754D0" w:rsidRPr="00945E91" w:rsidRDefault="005754D0" w:rsidP="00D11A8E">
            <w:pPr>
              <w:pStyle w:val="TableParagraph"/>
              <w:numPr>
                <w:ilvl w:val="0"/>
                <w:numId w:val="32"/>
              </w:numPr>
              <w:tabs>
                <w:tab w:val="left" w:pos="283"/>
              </w:tabs>
              <w:spacing w:before="22"/>
              <w:ind w:left="283" w:hanging="142"/>
              <w:rPr>
                <w:rFonts w:asciiTheme="minorHAnsi" w:hAnsiTheme="minorHAnsi" w:cstheme="minorHAnsi"/>
                <w:sz w:val="18"/>
                <w:szCs w:val="18"/>
              </w:rPr>
            </w:pPr>
            <w:r w:rsidRPr="00945E91">
              <w:rPr>
                <w:rFonts w:asciiTheme="minorHAnsi" w:hAnsiTheme="minorHAnsi" w:cstheme="minorHAnsi"/>
                <w:sz w:val="18"/>
                <w:szCs w:val="18"/>
              </w:rPr>
              <w:t>Bei Infektionen während der Neutropenie kann nach Ermessen des Arztes G-CSF gegeben werden</w:t>
            </w:r>
          </w:p>
        </w:tc>
      </w:tr>
      <w:tr w:rsidR="005754D0" w:rsidRPr="00945E91" w14:paraId="1B5F59E4" w14:textId="77777777" w:rsidTr="00595E61">
        <w:trPr>
          <w:gridAfter w:val="1"/>
          <w:wAfter w:w="142" w:type="dxa"/>
          <w:trHeight w:val="995"/>
        </w:trPr>
        <w:tc>
          <w:tcPr>
            <w:tcW w:w="1834" w:type="dxa"/>
          </w:tcPr>
          <w:p w14:paraId="25316052" w14:textId="77777777" w:rsidR="005754D0" w:rsidRPr="00945E91" w:rsidRDefault="005754D0" w:rsidP="00595E61">
            <w:pPr>
              <w:pStyle w:val="TableParagraph"/>
              <w:spacing w:before="58"/>
              <w:ind w:right="238"/>
              <w:rPr>
                <w:rFonts w:asciiTheme="minorHAnsi" w:hAnsiTheme="minorHAnsi" w:cstheme="minorHAnsi"/>
                <w:sz w:val="18"/>
                <w:szCs w:val="18"/>
              </w:rPr>
            </w:pPr>
            <w:r w:rsidRPr="00945E91">
              <w:rPr>
                <w:rFonts w:asciiTheme="minorHAnsi" w:hAnsiTheme="minorHAnsi" w:cstheme="minorHAnsi"/>
                <w:sz w:val="18"/>
                <w:szCs w:val="18"/>
              </w:rPr>
              <w:t>Neutropenie und Thrombopenie während und nach Konsolidierung I</w:t>
            </w:r>
          </w:p>
        </w:tc>
        <w:tc>
          <w:tcPr>
            <w:tcW w:w="7948" w:type="dxa"/>
          </w:tcPr>
          <w:p w14:paraId="72490234"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Keine Unterbrechung aufgrund von Hämatotoxizität während und im direkten Anschluss an die Chemotherapie, unabhängig vom Ausmaß der Zytopenie</w:t>
            </w:r>
          </w:p>
          <w:p w14:paraId="75E66B9D" w14:textId="77777777" w:rsidR="005754D0" w:rsidRPr="00945E91" w:rsidRDefault="005754D0" w:rsidP="00D11A8E">
            <w:pPr>
              <w:pStyle w:val="TableParagraph"/>
              <w:numPr>
                <w:ilvl w:val="0"/>
                <w:numId w:val="32"/>
              </w:numPr>
              <w:tabs>
                <w:tab w:val="left" w:pos="283"/>
              </w:tabs>
              <w:ind w:left="283" w:hanging="142"/>
              <w:rPr>
                <w:rFonts w:asciiTheme="minorHAnsi" w:hAnsiTheme="minorHAnsi" w:cstheme="minorHAnsi"/>
                <w:sz w:val="18"/>
                <w:szCs w:val="18"/>
              </w:rPr>
            </w:pPr>
            <w:r w:rsidRPr="00945E91">
              <w:rPr>
                <w:rFonts w:asciiTheme="minorHAnsi" w:hAnsiTheme="minorHAnsi" w:cstheme="minorHAnsi"/>
                <w:sz w:val="18"/>
                <w:szCs w:val="18"/>
              </w:rPr>
              <w:t>Bei unerwartet langer Zytopeniedauer nach Kons. I, die als durch Imatinib verstärkt gewertet wird, sollte Imatinib pausiert werden, bis sich die Zytopenie auf ≤ Grad I gebessert hat, dann Fortführung in bisheriger Dosierung</w:t>
            </w:r>
          </w:p>
          <w:p w14:paraId="23BB6770" w14:textId="77777777" w:rsidR="005754D0" w:rsidRPr="00945E91" w:rsidRDefault="005754D0" w:rsidP="00D11A8E">
            <w:pPr>
              <w:pStyle w:val="TableParagraph"/>
              <w:numPr>
                <w:ilvl w:val="0"/>
                <w:numId w:val="32"/>
              </w:numPr>
              <w:tabs>
                <w:tab w:val="left" w:pos="283"/>
              </w:tabs>
              <w:spacing w:before="12" w:line="230" w:lineRule="exact"/>
              <w:ind w:left="283" w:hanging="142"/>
              <w:rPr>
                <w:rFonts w:asciiTheme="minorHAnsi" w:hAnsiTheme="minorHAnsi" w:cstheme="minorHAnsi"/>
                <w:sz w:val="18"/>
                <w:szCs w:val="18"/>
              </w:rPr>
            </w:pPr>
            <w:r w:rsidRPr="00945E91">
              <w:rPr>
                <w:rFonts w:asciiTheme="minorHAnsi" w:hAnsiTheme="minorHAnsi" w:cstheme="minorHAnsi"/>
                <w:sz w:val="18"/>
                <w:szCs w:val="18"/>
              </w:rPr>
              <w:t>Bei Patienten, die nach Konsolidierung I eine hämatologische Regeneration erreicht haben, anschließend jedoch erneut unter Imatinib eine Grad III/IV Neutropenie/Thrombopenie entwickeln, sollte zunächst ein Rezidiv der Leukämie ausgeschlossen werden. Bestätigt sich die CR, sollte Imatinib unterbrochen werden, bis sich die Zytopenie auf ≤ Grad I gebessert hat. Bei klinisch stabiler Situation wird Imatinib dann in der vorherigen Dosierung fortgeführt.</w:t>
            </w:r>
          </w:p>
          <w:p w14:paraId="677C01D6" w14:textId="5AA4CB19" w:rsidR="005754D0" w:rsidRPr="00945E91" w:rsidRDefault="005754D0" w:rsidP="00D11A8E">
            <w:pPr>
              <w:pStyle w:val="TableParagraph"/>
              <w:numPr>
                <w:ilvl w:val="0"/>
                <w:numId w:val="32"/>
              </w:numPr>
              <w:tabs>
                <w:tab w:val="left" w:pos="283"/>
              </w:tabs>
              <w:spacing w:before="12" w:line="230" w:lineRule="exact"/>
              <w:ind w:left="283" w:hanging="142"/>
              <w:rPr>
                <w:rFonts w:asciiTheme="minorHAnsi" w:hAnsiTheme="minorHAnsi" w:cstheme="minorHAnsi"/>
                <w:sz w:val="18"/>
                <w:szCs w:val="18"/>
              </w:rPr>
            </w:pPr>
            <w:r w:rsidRPr="00945E91">
              <w:rPr>
                <w:rFonts w:asciiTheme="minorHAnsi" w:hAnsiTheme="minorHAnsi" w:cstheme="minorHAnsi"/>
                <w:sz w:val="18"/>
                <w:szCs w:val="18"/>
              </w:rPr>
              <w:t xml:space="preserve">Bei erneutem Wiederauftreten der hämatologischen Toxizität: </w:t>
            </w:r>
            <w:r w:rsidR="00A13BB5">
              <w:rPr>
                <w:rFonts w:asciiTheme="minorHAnsi" w:hAnsiTheme="minorHAnsi" w:cstheme="minorHAnsi"/>
                <w:sz w:val="18"/>
                <w:szCs w:val="18"/>
              </w:rPr>
              <w:t xml:space="preserve">Pause von </w:t>
            </w:r>
            <w:r w:rsidRPr="00945E91">
              <w:rPr>
                <w:rFonts w:asciiTheme="minorHAnsi" w:hAnsiTheme="minorHAnsi" w:cstheme="minorHAnsi"/>
                <w:sz w:val="18"/>
                <w:szCs w:val="18"/>
              </w:rPr>
              <w:t>Imatini</w:t>
            </w:r>
            <w:r w:rsidR="00A13BB5">
              <w:rPr>
                <w:rFonts w:asciiTheme="minorHAnsi" w:hAnsiTheme="minorHAnsi" w:cstheme="minorHAnsi"/>
                <w:sz w:val="18"/>
                <w:szCs w:val="18"/>
              </w:rPr>
              <w:t>b</w:t>
            </w:r>
            <w:r w:rsidRPr="00945E91">
              <w:rPr>
                <w:rFonts w:asciiTheme="minorHAnsi" w:hAnsiTheme="minorHAnsi" w:cstheme="minorHAnsi"/>
                <w:sz w:val="18"/>
                <w:szCs w:val="18"/>
              </w:rPr>
              <w:t xml:space="preserve"> bis Toxizität ≤ Grad I und Wiederbeginn um eine Dosisstufe reduziert</w:t>
            </w:r>
          </w:p>
        </w:tc>
      </w:tr>
    </w:tbl>
    <w:p w14:paraId="34084FED"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2A46F8C7" w14:textId="425D6F91" w:rsidR="00D41337" w:rsidRPr="00945E91" w:rsidRDefault="000C7408" w:rsidP="000C7408">
      <w:pPr>
        <w:pStyle w:val="berschrift3"/>
        <w:rPr>
          <w:rFonts w:asciiTheme="minorHAnsi" w:hAnsiTheme="minorHAnsi" w:cstheme="minorHAnsi"/>
          <w:lang w:val="de-DE"/>
        </w:rPr>
      </w:pPr>
      <w:bookmarkStart w:id="49" w:name="_Toc74412410"/>
      <w:r w:rsidRPr="00945E91">
        <w:rPr>
          <w:rFonts w:asciiTheme="minorHAnsi" w:hAnsiTheme="minorHAnsi" w:cstheme="minorHAnsi"/>
          <w:lang w:val="de-DE"/>
        </w:rPr>
        <w:lastRenderedPageBreak/>
        <w:t xml:space="preserve">3.4.2. </w:t>
      </w:r>
      <w:r w:rsidR="005754D0" w:rsidRPr="00945E91">
        <w:rPr>
          <w:rFonts w:asciiTheme="minorHAnsi" w:hAnsiTheme="minorHAnsi" w:cstheme="minorHAnsi"/>
          <w:lang w:val="de-DE"/>
        </w:rPr>
        <w:t>B-Vorläufer-ALL, T-ALL und B-/T-LBL beim jüngeren Erwachsenen (25-55a)</w:t>
      </w:r>
      <w:bookmarkEnd w:id="49"/>
      <w:r w:rsidR="005754D0" w:rsidRPr="00945E91">
        <w:rPr>
          <w:rFonts w:asciiTheme="minorHAnsi" w:hAnsiTheme="minorHAnsi" w:cstheme="minorHAnsi"/>
          <w:lang w:val="de-DE"/>
        </w:rPr>
        <w:t xml:space="preserve"> </w:t>
      </w:r>
    </w:p>
    <w:p w14:paraId="1F94D995"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2C6BF256"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Therapie erfolgt in 4 Stratifikationsgruppen:</w:t>
      </w:r>
    </w:p>
    <w:p w14:paraId="443C927A"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Standardrisiko</w:t>
      </w:r>
    </w:p>
    <w:p w14:paraId="62CC25DD"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Hochrisiko</w:t>
      </w:r>
    </w:p>
    <w:p w14:paraId="4CD57D6E" w14:textId="1A021F15"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B</w:t>
      </w:r>
      <w:r w:rsidR="00A13BB5">
        <w:rPr>
          <w:rFonts w:asciiTheme="minorHAnsi" w:hAnsiTheme="minorHAnsi" w:cstheme="minorHAnsi"/>
          <w:lang w:val="de-DE"/>
        </w:rPr>
        <w:t>CR</w:t>
      </w:r>
      <w:r w:rsidRPr="00945E91">
        <w:rPr>
          <w:rFonts w:asciiTheme="minorHAnsi" w:hAnsiTheme="minorHAnsi" w:cstheme="minorHAnsi"/>
          <w:lang w:val="de-DE"/>
        </w:rPr>
        <w:t>-</w:t>
      </w:r>
      <w:r w:rsidR="00A13BB5">
        <w:rPr>
          <w:rFonts w:asciiTheme="minorHAnsi" w:hAnsiTheme="minorHAnsi" w:cstheme="minorHAnsi"/>
          <w:lang w:val="de-DE"/>
        </w:rPr>
        <w:t>ABL</w:t>
      </w:r>
      <w:r w:rsidRPr="00945E91">
        <w:rPr>
          <w:rFonts w:asciiTheme="minorHAnsi" w:hAnsiTheme="minorHAnsi" w:cstheme="minorHAnsi"/>
          <w:lang w:val="de-DE"/>
        </w:rPr>
        <w:t xml:space="preserve"> pos ALL (PH) (Höchstrisiko)</w:t>
      </w:r>
    </w:p>
    <w:p w14:paraId="3539BF40"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Lymphoblastisches NHL (Therapie analog zu Standardrisiko mit Modifikationen)</w:t>
      </w:r>
    </w:p>
    <w:p w14:paraId="036ACF5F" w14:textId="77777777" w:rsidR="005754D0" w:rsidRPr="00945E91" w:rsidRDefault="005754D0" w:rsidP="005754D0">
      <w:pPr>
        <w:pStyle w:val="Textkrper-Einzug2"/>
        <w:spacing w:after="0" w:line="276" w:lineRule="auto"/>
        <w:ind w:left="0"/>
        <w:jc w:val="left"/>
        <w:rPr>
          <w:rFonts w:asciiTheme="minorHAnsi" w:hAnsiTheme="minorHAnsi" w:cstheme="minorHAnsi"/>
          <w:sz w:val="24"/>
          <w:lang w:val="de-DE"/>
        </w:rPr>
      </w:pPr>
    </w:p>
    <w:p w14:paraId="33A2302D"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 xml:space="preserve">Patienten mit Hochrisiko ALL sowie Patienten mit Ph/BCR-ABL-positiver ALL werden einer SZT zugeführt, während bei Patienten mit Standardrisiko die Chemotherapie mit alternierenden Konsolidationszyklen über ein Jahr fortgeführt wird. Standardrisiko-Patienten mit schlechtem Therapieansprechen, bei denen eine Intensivierung mittels SZT sinnvoll erscheint, werden anhand des MRD-Verlaufs identifiziert. Aufgrund der großen prognostischen Bedeutung der MRD auch für die Stammzelltransplantation soll bei Patienten, die nach Konsolidation I ein molekulares Therapieversagen zeigen unabhängig von der Risikogruppe vor der SZT eine möglichst zielgerichtete Therapie (Blinatumomab, Nelarabin) durchgeführt werden, um ein Frührezidiv zu vermeiden und die Ergebnisse der SZT zu verbessern. </w:t>
      </w:r>
    </w:p>
    <w:p w14:paraId="701EFED1"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70229B46" w14:textId="77777777" w:rsidR="005754D0" w:rsidRPr="00945E91" w:rsidRDefault="005754D0" w:rsidP="005754D0">
      <w:pPr>
        <w:pStyle w:val="Textkrper-Einzug2"/>
        <w:spacing w:after="0" w:line="276" w:lineRule="auto"/>
        <w:ind w:left="0"/>
        <w:jc w:val="left"/>
        <w:rPr>
          <w:rFonts w:asciiTheme="minorHAnsi" w:hAnsiTheme="minorHAnsi" w:cstheme="minorHAnsi"/>
          <w:sz w:val="24"/>
          <w:lang w:val="de-DE"/>
        </w:rPr>
      </w:pPr>
      <w:r w:rsidRPr="00945E91">
        <w:rPr>
          <w:rFonts w:asciiTheme="minorHAnsi" w:hAnsiTheme="minorHAnsi" w:cstheme="minorHAnsi"/>
          <w:lang w:val="de-DE"/>
        </w:rPr>
        <w:t xml:space="preserve">Bei </w:t>
      </w:r>
      <w:r w:rsidRPr="00945E91">
        <w:rPr>
          <w:rFonts w:asciiTheme="minorHAnsi" w:hAnsiTheme="minorHAnsi" w:cstheme="minorHAnsi"/>
          <w:b/>
          <w:lang w:val="de-DE"/>
        </w:rPr>
        <w:t>Patienten ohne geeigneten Spender nach Konsolidation I</w:t>
      </w:r>
      <w:r w:rsidRPr="00945E91">
        <w:rPr>
          <w:rFonts w:asciiTheme="minorHAnsi" w:hAnsiTheme="minorHAnsi" w:cstheme="minorHAnsi"/>
          <w:lang w:val="de-DE"/>
        </w:rPr>
        <w:t xml:space="preserve"> kann eine Stammzellapherese durchgeführt werden. Nach einer weiteren, ggf. subgruppenspezifischen Konsolidation II und Bestätigung der molekularen Remission kann im Anschluss eine autologe SZT durchgeführt werden.</w:t>
      </w:r>
      <w:r w:rsidRPr="00945E91">
        <w:rPr>
          <w:rFonts w:asciiTheme="minorHAnsi" w:hAnsiTheme="minorHAnsi" w:cstheme="minorHAnsi"/>
          <w:sz w:val="24"/>
          <w:lang w:val="de-DE"/>
        </w:rPr>
        <w:t xml:space="preserve"> </w:t>
      </w:r>
      <w:r w:rsidRPr="00945E91">
        <w:rPr>
          <w:rFonts w:asciiTheme="minorHAnsi" w:hAnsiTheme="minorHAnsi" w:cstheme="minorHAnsi"/>
          <w:lang w:val="de-DE"/>
        </w:rPr>
        <w:t>Alternativ können MRD-negative Patienten ohne Spender auch mit der Standardrisiko- Chemotherapie weiterbehandelt werden.</w:t>
      </w:r>
    </w:p>
    <w:p w14:paraId="7AABB64D"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287D9B24"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Gabe von Rituximab erfolgt in Abhängigkeit von der CD20-Expression. Bei CD20-negativer ALL (definiert &lt;20% Expression) soll nach Empfehlungen der GMALL-Studiengruppe außerhalb von Studien kein Rituximab appliziert werden, da die Relevanz erst geprüft werden muss.</w:t>
      </w:r>
    </w:p>
    <w:p w14:paraId="75B56E98" w14:textId="77777777" w:rsidR="005754D0" w:rsidRPr="00945E91" w:rsidRDefault="005754D0" w:rsidP="005754D0">
      <w:pPr>
        <w:spacing w:line="240" w:lineRule="auto"/>
        <w:jc w:val="left"/>
        <w:rPr>
          <w:rFonts w:asciiTheme="minorHAnsi" w:hAnsiTheme="minorHAnsi" w:cstheme="minorHAnsi"/>
          <w:lang w:val="de-DE"/>
        </w:rPr>
      </w:pPr>
    </w:p>
    <w:p w14:paraId="4C60B81A" w14:textId="5E6F320F" w:rsidR="005754D0" w:rsidRPr="00945E91" w:rsidRDefault="005754D0" w:rsidP="005754D0">
      <w:pPr>
        <w:pStyle w:val="Textkrper-Einzug2"/>
        <w:spacing w:before="120" w:after="0" w:line="276" w:lineRule="auto"/>
        <w:ind w:left="0"/>
        <w:jc w:val="left"/>
        <w:rPr>
          <w:rFonts w:asciiTheme="minorHAnsi" w:hAnsiTheme="minorHAnsi" w:cstheme="minorHAnsi"/>
          <w:lang w:val="de-DE"/>
        </w:rPr>
      </w:pPr>
      <w:r w:rsidRPr="00945E91">
        <w:rPr>
          <w:rFonts w:asciiTheme="minorHAnsi" w:hAnsiTheme="minorHAnsi" w:cstheme="minorHAnsi"/>
          <w:b/>
          <w:u w:val="single"/>
          <w:lang w:val="de-DE"/>
        </w:rPr>
        <w:t>ZNS-Bestrahlung (24 Gy)</w:t>
      </w:r>
      <w:r w:rsidRPr="00945E91">
        <w:rPr>
          <w:rFonts w:asciiTheme="minorHAnsi" w:hAnsiTheme="minorHAnsi" w:cstheme="minorHAnsi"/>
          <w:sz w:val="18"/>
          <w:lang w:val="de-DE"/>
        </w:rPr>
        <w:t xml:space="preserve"> </w:t>
      </w:r>
      <w:r w:rsidRPr="00945E91">
        <w:rPr>
          <w:rFonts w:asciiTheme="minorHAnsi" w:hAnsiTheme="minorHAnsi" w:cstheme="minorHAnsi"/>
          <w:lang w:val="de-DE"/>
        </w:rPr>
        <w:t>in der Induktionsphase II bei allen Patienten (18-55 Jahre) mit Ph- ALL Einzelfallentscheidung bei Ph+ ALL mit gesichertem ZNS-Befall. Die ZNS-Prophylaxe ist effektiv: ZNS-Rezidivrate &lt; 2% (überwiegend bei T-ALL). Die Schädelbestrahlung erfolgt parallel zur CHT und i.t-Triple-Prophylaxe/Therapie möglichst ohne Unterbrechung; bei Zytopenie Unterbrechung der Chemotherapie und Fortsetzung der ZNS-Bestrahlung. Durchführung auch bei geplanter Stammzelltransplantation mit Ganzkörperbestrahlung!</w:t>
      </w:r>
    </w:p>
    <w:p w14:paraId="35839317"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Bei Patienten mit Therapieversagen (weniger als gute PR) nach Induktionsphase I wird die ZNS-Bestrahlung ggf. verschoben, damit die Chemotherapie zeitnah durchgeführt werden kann. Da diese Patienten dann per definitionem der Hochrisiko-Gruppe angehören, kann die Schädelbestrahlung ggf. im Zusammenhang mit der Ganzkörperbestrahlung vor Stammzelltransplantation nachgeholt werden.</w:t>
      </w:r>
    </w:p>
    <w:p w14:paraId="13AEA470"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2DE71051"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r w:rsidRPr="00945E91">
        <w:rPr>
          <w:rFonts w:asciiTheme="minorHAnsi" w:hAnsiTheme="minorHAnsi" w:cstheme="minorHAnsi"/>
          <w:b/>
          <w:lang w:val="de-DE"/>
        </w:rPr>
        <w:lastRenderedPageBreak/>
        <w:t>Übersichtsplan für das 1. Jahr für jüngere Patienten (25-55 Jahre)</w:t>
      </w:r>
    </w:p>
    <w:p w14:paraId="1469ACAD"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08DA1FEB" wp14:editId="3307271B">
            <wp:extent cx="5996940" cy="4123019"/>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8172" cy="4137616"/>
                    </a:xfrm>
                    <a:prstGeom prst="rect">
                      <a:avLst/>
                    </a:prstGeom>
                    <a:noFill/>
                  </pic:spPr>
                </pic:pic>
              </a:graphicData>
            </a:graphic>
          </wp:inline>
        </w:drawing>
      </w:r>
      <w:r w:rsidRPr="00945E91">
        <w:rPr>
          <w:rFonts w:asciiTheme="minorHAnsi" w:hAnsiTheme="minorHAnsi" w:cstheme="minorHAnsi"/>
          <w:lang w:val="de-DE"/>
        </w:rPr>
        <w:t xml:space="preserve"> In Abweichung vom Original-GMALL-Therapieprotokoll ist bei Patienten mit B-ALL/LBL bei MRD-Positivität oder positiver Zytogenetik nach Konsolidierung 1 eine zielgerichtete Therapie gefolgt von Stammzelltransplantation vorgesehen (gelb markierte Kästchen).</w:t>
      </w:r>
    </w:p>
    <w:p w14:paraId="1187FCD4"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28FB15BA" w14:textId="37776E9C" w:rsidR="005754D0" w:rsidRPr="00945E91" w:rsidRDefault="005754D0" w:rsidP="005754D0">
      <w:pPr>
        <w:pStyle w:val="Textkrper-Einzug2"/>
        <w:spacing w:after="0" w:line="276" w:lineRule="auto"/>
        <w:ind w:left="0"/>
        <w:jc w:val="left"/>
        <w:rPr>
          <w:rFonts w:asciiTheme="minorHAnsi" w:hAnsiTheme="minorHAnsi" w:cstheme="minorHAnsi"/>
          <w:b/>
          <w:lang w:val="de-DE"/>
        </w:rPr>
      </w:pPr>
      <w:r w:rsidRPr="00945E91">
        <w:rPr>
          <w:rFonts w:asciiTheme="minorHAnsi" w:hAnsiTheme="minorHAnsi" w:cstheme="minorHAnsi"/>
          <w:b/>
          <w:lang w:val="de-DE"/>
        </w:rPr>
        <w:t>Übersichtsplan 2. Therapiejahr/Erhaltungstherapie für Patienten (25-55 Jahre) mit Standardrisiko-ALL</w:t>
      </w:r>
      <w:r w:rsidR="00DB23B1">
        <w:rPr>
          <w:rFonts w:asciiTheme="minorHAnsi" w:hAnsiTheme="minorHAnsi" w:cstheme="minorHAnsi"/>
          <w:b/>
          <w:lang w:val="de-DE"/>
        </w:rPr>
        <w:t xml:space="preserve"> (beim LBL endet die Therapie nach 41 Wochen und entfällt die orale Erhaltungstherapie im 2. Jahr)</w:t>
      </w:r>
    </w:p>
    <w:p w14:paraId="437D49B3" w14:textId="77777777" w:rsidR="005754D0" w:rsidRPr="00945E91" w:rsidRDefault="005754D0" w:rsidP="005754D0">
      <w:pPr>
        <w:pStyle w:val="Textkrper-Einzug2"/>
        <w:spacing w:after="0" w:line="276" w:lineRule="auto"/>
        <w:ind w:left="0"/>
        <w:jc w:val="left"/>
        <w:rPr>
          <w:rFonts w:asciiTheme="minorHAnsi" w:hAnsiTheme="minorHAnsi" w:cstheme="minorHAnsi"/>
          <w:b/>
          <w:u w:val="single"/>
          <w:lang w:val="de-DE"/>
        </w:rPr>
      </w:pPr>
      <w:r w:rsidRPr="00945E91">
        <w:rPr>
          <w:rFonts w:asciiTheme="minorHAnsi" w:hAnsiTheme="minorHAnsi" w:cstheme="minorHAnsi"/>
          <w:b/>
          <w:noProof/>
          <w:lang w:eastAsia="de-AT"/>
        </w:rPr>
        <w:drawing>
          <wp:inline distT="0" distB="0" distL="0" distR="0" wp14:anchorId="3473FB25" wp14:editId="60768717">
            <wp:extent cx="5760720" cy="2549897"/>
            <wp:effectExtent l="152400" t="152400" r="201930" b="1936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696" cy="2554313"/>
                    </a:xfrm>
                    <a:prstGeom prst="rect">
                      <a:avLst/>
                    </a:prstGeom>
                    <a:solidFill>
                      <a:srgbClr val="FFFFFF">
                        <a:shade val="85000"/>
                      </a:srgbClr>
                    </a:solidFill>
                    <a:ln w="190500" cap="rnd">
                      <a:solidFill>
                        <a:srgbClr val="FFFFFF"/>
                      </a:solidFill>
                    </a:ln>
                    <a:effectLst>
                      <a:outerShdw blurRad="50800" dist="38100" dir="2700000" algn="tl"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813CA8" w14:textId="77777777" w:rsidR="005754D0" w:rsidRPr="00945E91" w:rsidRDefault="005754D0" w:rsidP="005754D0">
      <w:pPr>
        <w:pStyle w:val="Textkrper"/>
        <w:spacing w:before="3" w:line="276" w:lineRule="auto"/>
        <w:jc w:val="left"/>
        <w:rPr>
          <w:rFonts w:asciiTheme="minorHAnsi" w:hAnsiTheme="minorHAnsi" w:cstheme="minorHAnsi"/>
          <w:lang w:val="de-DE"/>
        </w:rPr>
      </w:pPr>
      <w:r w:rsidRPr="00945E91">
        <w:rPr>
          <w:rFonts w:asciiTheme="minorHAnsi" w:hAnsiTheme="minorHAnsi" w:cstheme="minorHAnsi"/>
          <w:lang w:val="de-DE"/>
        </w:rPr>
        <w:t>Die Detailpläne zu den einzelnen Protokollphasen und der Übersichtsplan für die Erhaltungstherapie (Seite 20) finden sich im Protokoll.</w:t>
      </w:r>
    </w:p>
    <w:p w14:paraId="5100D0B2"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r w:rsidRPr="00945E91">
        <w:rPr>
          <w:rFonts w:asciiTheme="minorHAnsi" w:hAnsiTheme="minorHAnsi" w:cstheme="minorHAnsi"/>
          <w:b/>
          <w:lang w:val="de-DE"/>
        </w:rPr>
        <w:lastRenderedPageBreak/>
        <w:t>Verlaufskontrollen und Therapieplanung für jüngere Patienten (25-55 Jahre)</w:t>
      </w:r>
    </w:p>
    <w:p w14:paraId="27532A70" w14:textId="77777777" w:rsidR="005754D0" w:rsidRPr="00945E91" w:rsidRDefault="005754D0" w:rsidP="005754D0">
      <w:pPr>
        <w:pStyle w:val="Textkrper-Einzug2"/>
        <w:spacing w:after="60" w:line="276" w:lineRule="auto"/>
        <w:ind w:left="0"/>
        <w:jc w:val="left"/>
        <w:rPr>
          <w:rFonts w:asciiTheme="minorHAnsi" w:hAnsiTheme="minorHAnsi" w:cstheme="minorHAnsi"/>
          <w:sz w:val="20"/>
          <w:lang w:val="de-DE"/>
        </w:rPr>
      </w:pPr>
    </w:p>
    <w:p w14:paraId="72177C13" w14:textId="012A0D4F" w:rsidR="005754D0" w:rsidRPr="00595E61" w:rsidRDefault="005754D0" w:rsidP="005754D0">
      <w:pPr>
        <w:pStyle w:val="Textkrper-Einzug2"/>
        <w:spacing w:after="6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Die Beurteilung des Therapieansprechens ist in Kapitel 3.6 abgebildet.</w:t>
      </w:r>
    </w:p>
    <w:p w14:paraId="09FFCA0F" w14:textId="6AE04396" w:rsidR="005754D0" w:rsidRPr="00595E61" w:rsidRDefault="005754D0" w:rsidP="00D11A8E">
      <w:pPr>
        <w:pStyle w:val="Textkrper-Einzug2"/>
        <w:numPr>
          <w:ilvl w:val="0"/>
          <w:numId w:val="28"/>
        </w:numPr>
        <w:spacing w:after="60" w:line="276" w:lineRule="auto"/>
        <w:ind w:left="357" w:hanging="357"/>
        <w:jc w:val="left"/>
        <w:rPr>
          <w:rFonts w:asciiTheme="minorHAnsi" w:hAnsiTheme="minorHAnsi" w:cstheme="minorHAnsi"/>
          <w:szCs w:val="22"/>
          <w:lang w:val="de-DE"/>
        </w:rPr>
      </w:pPr>
      <w:r w:rsidRPr="00595E61">
        <w:rPr>
          <w:rFonts w:asciiTheme="minorHAnsi" w:hAnsiTheme="minorHAnsi" w:cstheme="minorHAnsi"/>
          <w:szCs w:val="22"/>
          <w:lang w:val="de-DE"/>
        </w:rPr>
        <w:t>Die Persistenz der MRD gilt als relevantester ungünstiger Prognosefaktor bei der ALL. Die MRD-Bestimmungen sind konsequent und zeitnah bei allen Patienten durchzuführen. Die beiden entscheidenden Zeitpunkte für die MRD-Bestimmung werden nicht mehr als fester Zeitpunkt im Therapieablauf definiert, sondern von der Regeneration abhängig gemacht. Die entsprechenden Punktionen sollen jeweils so früh wie möglich bei Regeneration durchgeführt werden (vor und nach Konsolidation I). Bei IKZF1 Deletion können Proben im Verlauf an das LabDia geschickt werden (nur nach Rücksprache, kein Routineverfahren, nur falls kein anderer MRD Marker vorhanden ist).</w:t>
      </w:r>
    </w:p>
    <w:p w14:paraId="34F75D51" w14:textId="77777777" w:rsidR="005754D0" w:rsidRPr="00595E61" w:rsidRDefault="005754D0" w:rsidP="00D11A8E">
      <w:pPr>
        <w:pStyle w:val="Textkrper-Einzug2"/>
        <w:numPr>
          <w:ilvl w:val="0"/>
          <w:numId w:val="28"/>
        </w:numPr>
        <w:spacing w:after="0" w:line="276" w:lineRule="auto"/>
        <w:jc w:val="left"/>
        <w:rPr>
          <w:rFonts w:asciiTheme="minorHAnsi" w:hAnsiTheme="minorHAnsi" w:cstheme="minorHAnsi"/>
          <w:szCs w:val="22"/>
          <w:lang w:val="de-DE"/>
        </w:rPr>
      </w:pPr>
      <w:r w:rsidRPr="00595E61">
        <w:rPr>
          <w:rFonts w:asciiTheme="minorHAnsi" w:hAnsiTheme="minorHAnsi" w:cstheme="minorHAnsi"/>
          <w:szCs w:val="22"/>
          <w:lang w:val="de-DE"/>
        </w:rPr>
        <w:t xml:space="preserve">Bei LBL: Verlaufskontrolle mittels PET-CT. Es erfolgt </w:t>
      </w:r>
      <w:r w:rsidRPr="00595E61">
        <w:rPr>
          <w:rFonts w:asciiTheme="minorHAnsi" w:hAnsiTheme="minorHAnsi" w:cstheme="minorHAnsi"/>
          <w:b/>
          <w:szCs w:val="22"/>
          <w:lang w:val="de-DE"/>
        </w:rPr>
        <w:t>keine</w:t>
      </w:r>
      <w:r w:rsidRPr="00595E61">
        <w:rPr>
          <w:rFonts w:asciiTheme="minorHAnsi" w:hAnsiTheme="minorHAnsi" w:cstheme="minorHAnsi"/>
          <w:szCs w:val="22"/>
          <w:lang w:val="de-DE"/>
        </w:rPr>
        <w:t xml:space="preserve"> Stratifikation nach konventionellen Prognosefaktoren; Patienten mit B- oder T- lymphoblastischen Lymphomen (KM-Befall &lt;25%) werden analog zu der Standardrisiko- Therapie behandelt.</w:t>
      </w:r>
    </w:p>
    <w:p w14:paraId="10C3CB4A" w14:textId="77777777" w:rsidR="005754D0" w:rsidRPr="00945E91" w:rsidRDefault="005754D0" w:rsidP="005754D0">
      <w:pPr>
        <w:pStyle w:val="Textkrper-Einzug2"/>
        <w:spacing w:after="60" w:line="276" w:lineRule="auto"/>
        <w:ind w:left="357"/>
        <w:jc w:val="left"/>
        <w:rPr>
          <w:rFonts w:asciiTheme="minorHAnsi" w:hAnsiTheme="minorHAnsi" w:cstheme="minorHAnsi"/>
          <w:lang w:val="de-DE"/>
        </w:rPr>
      </w:pPr>
    </w:p>
    <w:p w14:paraId="425A87B6" w14:textId="57A71F89"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 xml:space="preserve">Die Therapieplanung für eine Stammzelltransplantation erfolgt (1) </w:t>
      </w:r>
      <w:r w:rsidR="00A13BB5">
        <w:rPr>
          <w:rFonts w:asciiTheme="minorHAnsi" w:hAnsiTheme="minorHAnsi" w:cstheme="minorHAnsi"/>
          <w:lang w:val="de-DE"/>
        </w:rPr>
        <w:t xml:space="preserve">nach </w:t>
      </w:r>
      <w:r w:rsidRPr="00945E91">
        <w:rPr>
          <w:rFonts w:asciiTheme="minorHAnsi" w:hAnsiTheme="minorHAnsi" w:cstheme="minorHAnsi"/>
          <w:lang w:val="de-DE"/>
        </w:rPr>
        <w:t>de</w:t>
      </w:r>
      <w:r w:rsidR="00A13BB5">
        <w:rPr>
          <w:rFonts w:asciiTheme="minorHAnsi" w:hAnsiTheme="minorHAnsi" w:cstheme="minorHAnsi"/>
          <w:lang w:val="de-DE"/>
        </w:rPr>
        <w:t>r</w:t>
      </w:r>
      <w:r w:rsidRPr="00945E91">
        <w:rPr>
          <w:rFonts w:asciiTheme="minorHAnsi" w:hAnsiTheme="minorHAnsi" w:cstheme="minorHAnsi"/>
          <w:lang w:val="de-DE"/>
        </w:rPr>
        <w:t xml:space="preserve"> </w:t>
      </w:r>
      <w:r w:rsidR="00A13BB5">
        <w:rPr>
          <w:rFonts w:asciiTheme="minorHAnsi" w:hAnsiTheme="minorHAnsi" w:cstheme="minorHAnsi"/>
          <w:lang w:val="de-DE"/>
        </w:rPr>
        <w:t>entitätsspezifischen</w:t>
      </w:r>
      <w:r w:rsidRPr="00945E91">
        <w:rPr>
          <w:rFonts w:asciiTheme="minorHAnsi" w:hAnsiTheme="minorHAnsi" w:cstheme="minorHAnsi"/>
          <w:lang w:val="de-DE"/>
        </w:rPr>
        <w:t xml:space="preserve"> Risiko</w:t>
      </w:r>
      <w:r w:rsidR="00A13BB5">
        <w:rPr>
          <w:rFonts w:asciiTheme="minorHAnsi" w:hAnsiTheme="minorHAnsi" w:cstheme="minorHAnsi"/>
          <w:lang w:val="de-DE"/>
        </w:rPr>
        <w:t>einschätzung</w:t>
      </w:r>
      <w:r w:rsidRPr="00945E91">
        <w:rPr>
          <w:rFonts w:asciiTheme="minorHAnsi" w:hAnsiTheme="minorHAnsi" w:cstheme="minorHAnsi"/>
          <w:lang w:val="de-DE"/>
        </w:rPr>
        <w:t xml:space="preserve"> und (2) </w:t>
      </w:r>
      <w:r w:rsidR="00A13BB5">
        <w:rPr>
          <w:rFonts w:asciiTheme="minorHAnsi" w:hAnsiTheme="minorHAnsi" w:cstheme="minorHAnsi"/>
          <w:lang w:val="de-DE"/>
        </w:rPr>
        <w:t>gemäß dem</w:t>
      </w:r>
      <w:r w:rsidRPr="00945E91">
        <w:rPr>
          <w:rFonts w:asciiTheme="minorHAnsi" w:hAnsiTheme="minorHAnsi" w:cstheme="minorHAnsi"/>
          <w:lang w:val="de-DE"/>
        </w:rPr>
        <w:t xml:space="preserve"> molekulare</w:t>
      </w:r>
      <w:r w:rsidR="00A13BB5">
        <w:rPr>
          <w:rFonts w:asciiTheme="minorHAnsi" w:hAnsiTheme="minorHAnsi" w:cstheme="minorHAnsi"/>
          <w:lang w:val="de-DE"/>
        </w:rPr>
        <w:t>n</w:t>
      </w:r>
      <w:r w:rsidRPr="00945E91">
        <w:rPr>
          <w:rFonts w:asciiTheme="minorHAnsi" w:hAnsiTheme="minorHAnsi" w:cstheme="minorHAnsi"/>
          <w:lang w:val="de-DE"/>
        </w:rPr>
        <w:t xml:space="preserve"> Ansprechen vor und nach Konsolidierung I (Stratifizierung II)</w:t>
      </w:r>
      <w:r w:rsidR="00F2483C">
        <w:rPr>
          <w:rFonts w:asciiTheme="minorHAnsi" w:hAnsiTheme="minorHAnsi" w:cstheme="minorHAnsi"/>
          <w:lang w:val="de-DE"/>
        </w:rPr>
        <w:t>.</w:t>
      </w:r>
    </w:p>
    <w:p w14:paraId="261522F1"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843"/>
        <w:gridCol w:w="4110"/>
      </w:tblGrid>
      <w:tr w:rsidR="005754D0" w:rsidRPr="00945E91" w14:paraId="4F48AED5" w14:textId="77777777" w:rsidTr="005754D0">
        <w:trPr>
          <w:trHeight w:val="462"/>
        </w:trPr>
        <w:tc>
          <w:tcPr>
            <w:tcW w:w="1985" w:type="dxa"/>
          </w:tcPr>
          <w:p w14:paraId="13EA3884" w14:textId="77777777" w:rsidR="005754D0" w:rsidRPr="00945E91" w:rsidRDefault="005754D0" w:rsidP="005754D0">
            <w:pPr>
              <w:spacing w:line="225" w:lineRule="exact"/>
              <w:ind w:left="107"/>
              <w:jc w:val="left"/>
              <w:rPr>
                <w:rFonts w:asciiTheme="minorHAnsi" w:eastAsia="Arial" w:hAnsiTheme="minorHAnsi" w:cstheme="minorHAnsi"/>
                <w:b/>
                <w:sz w:val="20"/>
                <w:lang w:val="de-DE" w:bidi="de-DE"/>
              </w:rPr>
            </w:pPr>
            <w:r w:rsidRPr="00945E91">
              <w:rPr>
                <w:rFonts w:asciiTheme="minorHAnsi" w:eastAsia="Arial" w:hAnsiTheme="minorHAnsi" w:cstheme="minorHAnsi"/>
                <w:b/>
                <w:sz w:val="20"/>
                <w:lang w:val="de-DE" w:bidi="de-DE"/>
              </w:rPr>
              <w:t>Risikogruppe</w:t>
            </w:r>
          </w:p>
        </w:tc>
        <w:tc>
          <w:tcPr>
            <w:tcW w:w="1701" w:type="dxa"/>
          </w:tcPr>
          <w:p w14:paraId="1B86E5F0" w14:textId="77777777" w:rsidR="005754D0" w:rsidRPr="00945E91" w:rsidRDefault="005754D0" w:rsidP="005754D0">
            <w:pPr>
              <w:spacing w:line="225" w:lineRule="exact"/>
              <w:ind w:left="105"/>
              <w:jc w:val="left"/>
              <w:rPr>
                <w:rFonts w:asciiTheme="minorHAnsi" w:eastAsia="Arial" w:hAnsiTheme="minorHAnsi" w:cstheme="minorHAnsi"/>
                <w:b/>
                <w:sz w:val="20"/>
                <w:lang w:val="de-DE" w:bidi="de-DE"/>
              </w:rPr>
            </w:pPr>
            <w:r w:rsidRPr="00945E91">
              <w:rPr>
                <w:rFonts w:asciiTheme="minorHAnsi" w:eastAsia="Arial" w:hAnsiTheme="minorHAnsi" w:cstheme="minorHAnsi"/>
                <w:b/>
                <w:sz w:val="20"/>
                <w:lang w:val="de-DE" w:bidi="de-DE"/>
              </w:rPr>
              <w:t>MRD vor Kons I</w:t>
            </w:r>
          </w:p>
        </w:tc>
        <w:tc>
          <w:tcPr>
            <w:tcW w:w="1843" w:type="dxa"/>
          </w:tcPr>
          <w:p w14:paraId="212FF4B1" w14:textId="77777777" w:rsidR="005754D0" w:rsidRPr="00945E91" w:rsidRDefault="005754D0" w:rsidP="005754D0">
            <w:pPr>
              <w:spacing w:line="225" w:lineRule="exact"/>
              <w:ind w:left="108"/>
              <w:jc w:val="left"/>
              <w:rPr>
                <w:rFonts w:asciiTheme="minorHAnsi" w:eastAsia="Arial" w:hAnsiTheme="minorHAnsi" w:cstheme="minorHAnsi"/>
                <w:b/>
                <w:sz w:val="20"/>
                <w:lang w:val="de-DE" w:bidi="de-DE"/>
              </w:rPr>
            </w:pPr>
            <w:r w:rsidRPr="00945E91">
              <w:rPr>
                <w:rFonts w:asciiTheme="minorHAnsi" w:eastAsia="Arial" w:hAnsiTheme="minorHAnsi" w:cstheme="minorHAnsi"/>
                <w:b/>
                <w:sz w:val="20"/>
                <w:lang w:val="de-DE" w:bidi="de-DE"/>
              </w:rPr>
              <w:t>MRD nach Kons I</w:t>
            </w:r>
          </w:p>
        </w:tc>
        <w:tc>
          <w:tcPr>
            <w:tcW w:w="4110" w:type="dxa"/>
          </w:tcPr>
          <w:p w14:paraId="47CAEF3C" w14:textId="77777777" w:rsidR="005754D0" w:rsidRPr="00945E91" w:rsidRDefault="005754D0" w:rsidP="005754D0">
            <w:pPr>
              <w:spacing w:line="225" w:lineRule="exact"/>
              <w:ind w:left="108"/>
              <w:jc w:val="left"/>
              <w:rPr>
                <w:rFonts w:asciiTheme="minorHAnsi" w:eastAsia="Arial" w:hAnsiTheme="minorHAnsi" w:cstheme="minorHAnsi"/>
                <w:b/>
                <w:sz w:val="20"/>
                <w:lang w:val="de-DE" w:bidi="de-DE"/>
              </w:rPr>
            </w:pPr>
            <w:r w:rsidRPr="00945E91">
              <w:rPr>
                <w:rFonts w:asciiTheme="minorHAnsi" w:eastAsia="Arial" w:hAnsiTheme="minorHAnsi" w:cstheme="minorHAnsi"/>
                <w:b/>
                <w:sz w:val="20"/>
                <w:lang w:val="de-DE" w:bidi="de-DE"/>
              </w:rPr>
              <w:t>Therapie</w:t>
            </w:r>
          </w:p>
        </w:tc>
      </w:tr>
      <w:tr w:rsidR="005754D0" w:rsidRPr="00945E91" w14:paraId="551A44AB" w14:textId="77777777" w:rsidTr="005754D0">
        <w:trPr>
          <w:trHeight w:val="350"/>
        </w:trPr>
        <w:tc>
          <w:tcPr>
            <w:tcW w:w="1985" w:type="dxa"/>
            <w:vMerge w:val="restart"/>
            <w:vAlign w:val="center"/>
          </w:tcPr>
          <w:p w14:paraId="3267F9A5" w14:textId="77777777" w:rsidR="005754D0" w:rsidRPr="00945E91" w:rsidRDefault="005754D0" w:rsidP="005754D0">
            <w:pPr>
              <w:spacing w:before="117" w:line="213" w:lineRule="exact"/>
              <w:ind w:left="107"/>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Standardrisiko</w:t>
            </w:r>
          </w:p>
        </w:tc>
        <w:tc>
          <w:tcPr>
            <w:tcW w:w="1701" w:type="dxa"/>
          </w:tcPr>
          <w:p w14:paraId="59E107BB" w14:textId="77777777" w:rsidR="005754D0" w:rsidRPr="00945E91" w:rsidRDefault="005754D0" w:rsidP="005754D0">
            <w:pPr>
              <w:spacing w:before="117" w:line="213"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28F27424" w14:textId="77777777" w:rsidR="005754D0" w:rsidRPr="00945E91" w:rsidRDefault="005754D0" w:rsidP="005754D0">
            <w:pPr>
              <w:spacing w:before="117"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Pr>
          <w:p w14:paraId="785E4F6F" w14:textId="77777777" w:rsidR="005754D0" w:rsidRPr="00945E91" w:rsidRDefault="005754D0" w:rsidP="005754D0">
            <w:pPr>
              <w:spacing w:before="117"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SR-Therapie</w:t>
            </w:r>
          </w:p>
        </w:tc>
      </w:tr>
      <w:tr w:rsidR="005754D0" w:rsidRPr="00945E91" w14:paraId="2E3BFB8F" w14:textId="77777777" w:rsidTr="005754D0">
        <w:trPr>
          <w:trHeight w:val="230"/>
        </w:trPr>
        <w:tc>
          <w:tcPr>
            <w:tcW w:w="1985" w:type="dxa"/>
            <w:vMerge/>
            <w:vAlign w:val="center"/>
          </w:tcPr>
          <w:p w14:paraId="6BC92AF6"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1F820D37"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Pr>
          <w:p w14:paraId="5B41B58B"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Pr>
          <w:p w14:paraId="02DE890A"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SR-Therapie</w:t>
            </w:r>
          </w:p>
        </w:tc>
      </w:tr>
      <w:tr w:rsidR="005754D0" w:rsidRPr="00945E91" w14:paraId="6B016ADF" w14:textId="77777777" w:rsidTr="005754D0">
        <w:trPr>
          <w:trHeight w:val="230"/>
        </w:trPr>
        <w:tc>
          <w:tcPr>
            <w:tcW w:w="1985" w:type="dxa"/>
            <w:vMerge/>
            <w:vAlign w:val="center"/>
          </w:tcPr>
          <w:p w14:paraId="4E2E55E6"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62A224D4"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016BD5C6"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Pr>
          <w:p w14:paraId="20F4D0F8"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w:t>
            </w:r>
          </w:p>
        </w:tc>
      </w:tr>
      <w:tr w:rsidR="005754D0" w:rsidRPr="00945E91" w14:paraId="12178B3F" w14:textId="77777777" w:rsidTr="005754D0">
        <w:trPr>
          <w:trHeight w:val="230"/>
        </w:trPr>
        <w:tc>
          <w:tcPr>
            <w:tcW w:w="1985" w:type="dxa"/>
            <w:vMerge/>
            <w:vAlign w:val="center"/>
          </w:tcPr>
          <w:p w14:paraId="306DDBDF"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0198B6A2"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Pr>
          <w:p w14:paraId="5AA3164E"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Pr>
          <w:p w14:paraId="3D9B83AE"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w:t>
            </w:r>
          </w:p>
        </w:tc>
      </w:tr>
      <w:tr w:rsidR="005754D0" w:rsidRPr="00945E91" w14:paraId="1649D810" w14:textId="77777777" w:rsidTr="005754D0">
        <w:trPr>
          <w:trHeight w:val="229"/>
        </w:trPr>
        <w:tc>
          <w:tcPr>
            <w:tcW w:w="1985" w:type="dxa"/>
            <w:vMerge/>
            <w:tcBorders>
              <w:bottom w:val="double" w:sz="1" w:space="0" w:color="000000"/>
            </w:tcBorders>
            <w:vAlign w:val="center"/>
          </w:tcPr>
          <w:p w14:paraId="2C45ABFB"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Borders>
              <w:bottom w:val="double" w:sz="1" w:space="0" w:color="000000"/>
            </w:tcBorders>
          </w:tcPr>
          <w:p w14:paraId="07E38997" w14:textId="77777777" w:rsidR="005754D0" w:rsidRPr="00945E91" w:rsidRDefault="005754D0" w:rsidP="005754D0">
            <w:pPr>
              <w:spacing w:line="240" w:lineRule="auto"/>
              <w:jc w:val="left"/>
              <w:rPr>
                <w:rFonts w:asciiTheme="minorHAnsi" w:eastAsia="Arial" w:hAnsiTheme="minorHAnsi" w:cstheme="minorHAnsi"/>
                <w:sz w:val="16"/>
                <w:lang w:val="de-DE" w:bidi="de-DE"/>
              </w:rPr>
            </w:pPr>
          </w:p>
        </w:tc>
        <w:tc>
          <w:tcPr>
            <w:tcW w:w="1843" w:type="dxa"/>
            <w:tcBorders>
              <w:bottom w:val="double" w:sz="1" w:space="0" w:color="000000"/>
            </w:tcBorders>
          </w:tcPr>
          <w:p w14:paraId="3F220B52"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MolNE</w:t>
            </w:r>
          </w:p>
        </w:tc>
        <w:tc>
          <w:tcPr>
            <w:tcW w:w="4110" w:type="dxa"/>
            <w:tcBorders>
              <w:bottom w:val="double" w:sz="1" w:space="0" w:color="000000"/>
            </w:tcBorders>
          </w:tcPr>
          <w:p w14:paraId="18191BBD"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SR-Therapie</w:t>
            </w:r>
          </w:p>
        </w:tc>
      </w:tr>
      <w:tr w:rsidR="005754D0" w:rsidRPr="00945E91" w14:paraId="009A2BC3" w14:textId="77777777" w:rsidTr="005754D0">
        <w:trPr>
          <w:trHeight w:val="349"/>
        </w:trPr>
        <w:tc>
          <w:tcPr>
            <w:tcW w:w="1985" w:type="dxa"/>
            <w:vMerge w:val="restart"/>
            <w:tcBorders>
              <w:top w:val="double" w:sz="1" w:space="0" w:color="000000"/>
            </w:tcBorders>
            <w:vAlign w:val="center"/>
          </w:tcPr>
          <w:p w14:paraId="29F28C58" w14:textId="77777777" w:rsidR="005754D0" w:rsidRPr="00945E91" w:rsidRDefault="005754D0" w:rsidP="005754D0">
            <w:pPr>
              <w:spacing w:before="116" w:line="213" w:lineRule="exact"/>
              <w:ind w:left="107"/>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Hochrisiko</w:t>
            </w:r>
          </w:p>
        </w:tc>
        <w:tc>
          <w:tcPr>
            <w:tcW w:w="1701" w:type="dxa"/>
            <w:tcBorders>
              <w:top w:val="double" w:sz="1" w:space="0" w:color="000000"/>
            </w:tcBorders>
          </w:tcPr>
          <w:p w14:paraId="58FEDE17" w14:textId="77777777" w:rsidR="005754D0" w:rsidRPr="00945E91" w:rsidRDefault="005754D0" w:rsidP="005754D0">
            <w:pPr>
              <w:spacing w:before="116" w:line="213"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Borders>
              <w:top w:val="double" w:sz="1" w:space="0" w:color="000000"/>
            </w:tcBorders>
          </w:tcPr>
          <w:p w14:paraId="449AF531" w14:textId="77777777" w:rsidR="005754D0" w:rsidRPr="00945E91" w:rsidRDefault="005754D0" w:rsidP="005754D0">
            <w:pPr>
              <w:spacing w:before="116"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Borders>
              <w:top w:val="double" w:sz="1" w:space="0" w:color="000000"/>
            </w:tcBorders>
          </w:tcPr>
          <w:p w14:paraId="07BD34AB" w14:textId="77777777" w:rsidR="005754D0" w:rsidRPr="00945E91" w:rsidRDefault="005754D0" w:rsidP="005754D0">
            <w:pPr>
              <w:spacing w:before="116"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08EBC7B5" w14:textId="77777777" w:rsidTr="005754D0">
        <w:trPr>
          <w:trHeight w:val="230"/>
        </w:trPr>
        <w:tc>
          <w:tcPr>
            <w:tcW w:w="1985" w:type="dxa"/>
            <w:vMerge/>
            <w:vAlign w:val="center"/>
          </w:tcPr>
          <w:p w14:paraId="358D8EB0"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12A7CE48"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4AA16504"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Pr>
          <w:p w14:paraId="2CAD2185"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0B357D9A" w14:textId="77777777" w:rsidTr="005754D0">
        <w:trPr>
          <w:trHeight w:val="230"/>
        </w:trPr>
        <w:tc>
          <w:tcPr>
            <w:tcW w:w="1985" w:type="dxa"/>
            <w:vMerge/>
            <w:vAlign w:val="center"/>
          </w:tcPr>
          <w:p w14:paraId="58591CCE"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6DB2F18F"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04E9FC48"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Pr>
          <w:p w14:paraId="1F7FF70D"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w:t>
            </w:r>
          </w:p>
        </w:tc>
      </w:tr>
      <w:tr w:rsidR="005754D0" w:rsidRPr="00945E91" w14:paraId="243772C3" w14:textId="77777777" w:rsidTr="005754D0">
        <w:trPr>
          <w:trHeight w:val="230"/>
        </w:trPr>
        <w:tc>
          <w:tcPr>
            <w:tcW w:w="1985" w:type="dxa"/>
            <w:vMerge/>
            <w:vAlign w:val="center"/>
          </w:tcPr>
          <w:p w14:paraId="1E202230"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Pr>
          <w:p w14:paraId="51CC497A" w14:textId="77777777" w:rsidR="005754D0" w:rsidRPr="00945E91" w:rsidRDefault="005754D0" w:rsidP="005754D0">
            <w:pPr>
              <w:spacing w:line="240" w:lineRule="auto"/>
              <w:jc w:val="left"/>
              <w:rPr>
                <w:rFonts w:asciiTheme="minorHAnsi" w:eastAsia="Arial" w:hAnsiTheme="minorHAnsi" w:cstheme="minorHAnsi"/>
                <w:sz w:val="16"/>
                <w:lang w:val="de-DE" w:bidi="de-DE"/>
              </w:rPr>
            </w:pPr>
          </w:p>
        </w:tc>
        <w:tc>
          <w:tcPr>
            <w:tcW w:w="1843" w:type="dxa"/>
          </w:tcPr>
          <w:p w14:paraId="252BB672"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MolNE*</w:t>
            </w:r>
          </w:p>
        </w:tc>
        <w:tc>
          <w:tcPr>
            <w:tcW w:w="4110" w:type="dxa"/>
          </w:tcPr>
          <w:p w14:paraId="19030730"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435EC0F9" w14:textId="77777777" w:rsidTr="005754D0">
        <w:trPr>
          <w:trHeight w:val="229"/>
        </w:trPr>
        <w:tc>
          <w:tcPr>
            <w:tcW w:w="1985" w:type="dxa"/>
            <w:vMerge/>
            <w:tcBorders>
              <w:bottom w:val="double" w:sz="1" w:space="0" w:color="000000"/>
            </w:tcBorders>
            <w:vAlign w:val="center"/>
          </w:tcPr>
          <w:p w14:paraId="7E3A70C3" w14:textId="77777777" w:rsidR="005754D0" w:rsidRPr="00945E91" w:rsidRDefault="005754D0" w:rsidP="005754D0">
            <w:pPr>
              <w:spacing w:line="210" w:lineRule="exact"/>
              <w:ind w:left="107"/>
              <w:jc w:val="left"/>
              <w:rPr>
                <w:rFonts w:asciiTheme="minorHAnsi" w:eastAsia="Arial" w:hAnsiTheme="minorHAnsi" w:cstheme="minorHAnsi"/>
                <w:sz w:val="20"/>
                <w:lang w:val="de-DE" w:bidi="de-DE"/>
              </w:rPr>
            </w:pPr>
          </w:p>
        </w:tc>
        <w:tc>
          <w:tcPr>
            <w:tcW w:w="1701" w:type="dxa"/>
            <w:tcBorders>
              <w:bottom w:val="double" w:sz="1" w:space="0" w:color="000000"/>
            </w:tcBorders>
          </w:tcPr>
          <w:p w14:paraId="2304E573"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Borders>
              <w:bottom w:val="double" w:sz="1" w:space="0" w:color="000000"/>
            </w:tcBorders>
          </w:tcPr>
          <w:p w14:paraId="0DE322F4"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Borders>
              <w:bottom w:val="double" w:sz="1" w:space="0" w:color="000000"/>
            </w:tcBorders>
          </w:tcPr>
          <w:p w14:paraId="5DC0AAA1"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w:t>
            </w:r>
          </w:p>
        </w:tc>
      </w:tr>
      <w:tr w:rsidR="005754D0" w:rsidRPr="00945E91" w14:paraId="2C3A32F9" w14:textId="77777777" w:rsidTr="005754D0">
        <w:trPr>
          <w:trHeight w:val="352"/>
        </w:trPr>
        <w:tc>
          <w:tcPr>
            <w:tcW w:w="1985" w:type="dxa"/>
            <w:vMerge w:val="restart"/>
            <w:tcBorders>
              <w:top w:val="double" w:sz="1" w:space="0" w:color="000000"/>
            </w:tcBorders>
            <w:vAlign w:val="center"/>
          </w:tcPr>
          <w:p w14:paraId="251DEC2C" w14:textId="77777777" w:rsidR="005754D0" w:rsidRPr="00945E91" w:rsidRDefault="005754D0" w:rsidP="005754D0">
            <w:pPr>
              <w:spacing w:before="119" w:line="213" w:lineRule="exact"/>
              <w:ind w:left="107"/>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Ph/bcr-abl positiv</w:t>
            </w:r>
          </w:p>
        </w:tc>
        <w:tc>
          <w:tcPr>
            <w:tcW w:w="1701" w:type="dxa"/>
            <w:tcBorders>
              <w:top w:val="double" w:sz="1" w:space="0" w:color="000000"/>
            </w:tcBorders>
          </w:tcPr>
          <w:p w14:paraId="07FA140D" w14:textId="77777777" w:rsidR="005754D0" w:rsidRPr="00945E91" w:rsidRDefault="005754D0" w:rsidP="005754D0">
            <w:pPr>
              <w:spacing w:before="119" w:line="213"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Borders>
              <w:top w:val="double" w:sz="1" w:space="0" w:color="000000"/>
            </w:tcBorders>
          </w:tcPr>
          <w:p w14:paraId="1FDFF5D1" w14:textId="77777777" w:rsidR="005754D0" w:rsidRPr="00945E91" w:rsidRDefault="005754D0" w:rsidP="005754D0">
            <w:pPr>
              <w:spacing w:before="119"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Borders>
              <w:top w:val="double" w:sz="1" w:space="0" w:color="000000"/>
            </w:tcBorders>
          </w:tcPr>
          <w:p w14:paraId="6DE60427" w14:textId="77777777" w:rsidR="005754D0" w:rsidRPr="00945E91" w:rsidRDefault="005754D0" w:rsidP="005754D0">
            <w:pPr>
              <w:spacing w:before="119" w:line="213"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4791D3AC" w14:textId="77777777" w:rsidTr="005754D0">
        <w:trPr>
          <w:trHeight w:val="230"/>
        </w:trPr>
        <w:tc>
          <w:tcPr>
            <w:tcW w:w="1985" w:type="dxa"/>
            <w:vMerge/>
          </w:tcPr>
          <w:p w14:paraId="4FC23606" w14:textId="77777777" w:rsidR="005754D0" w:rsidRPr="00945E91" w:rsidRDefault="005754D0" w:rsidP="005754D0">
            <w:pPr>
              <w:spacing w:line="240" w:lineRule="auto"/>
              <w:ind w:left="107"/>
              <w:jc w:val="left"/>
              <w:rPr>
                <w:rFonts w:asciiTheme="minorHAnsi" w:eastAsia="Arial" w:hAnsiTheme="minorHAnsi" w:cstheme="minorHAnsi"/>
                <w:sz w:val="20"/>
                <w:lang w:val="de-DE" w:bidi="de-DE"/>
              </w:rPr>
            </w:pPr>
          </w:p>
        </w:tc>
        <w:tc>
          <w:tcPr>
            <w:tcW w:w="1701" w:type="dxa"/>
          </w:tcPr>
          <w:p w14:paraId="689F6D87" w14:textId="77777777" w:rsidR="005754D0" w:rsidRPr="00945E91" w:rsidRDefault="005754D0" w:rsidP="005754D0">
            <w:pPr>
              <w:spacing w:line="210"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4739BCB8"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4110" w:type="dxa"/>
          </w:tcPr>
          <w:p w14:paraId="0D09AF2C" w14:textId="77777777" w:rsidR="005754D0" w:rsidRPr="00945E91" w:rsidRDefault="005754D0" w:rsidP="005754D0">
            <w:pPr>
              <w:spacing w:line="210"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2F73EDB8" w14:textId="77777777" w:rsidTr="005754D0">
        <w:trPr>
          <w:trHeight w:val="458"/>
        </w:trPr>
        <w:tc>
          <w:tcPr>
            <w:tcW w:w="1985" w:type="dxa"/>
            <w:vMerge/>
          </w:tcPr>
          <w:p w14:paraId="4072392A" w14:textId="77777777" w:rsidR="005754D0" w:rsidRPr="00945E91" w:rsidRDefault="005754D0" w:rsidP="005754D0">
            <w:pPr>
              <w:spacing w:line="240" w:lineRule="auto"/>
              <w:ind w:left="107"/>
              <w:jc w:val="left"/>
              <w:rPr>
                <w:rFonts w:asciiTheme="minorHAnsi" w:eastAsia="Arial" w:hAnsiTheme="minorHAnsi" w:cstheme="minorHAnsi"/>
                <w:sz w:val="20"/>
                <w:lang w:val="de-DE" w:bidi="de-DE"/>
              </w:rPr>
            </w:pPr>
          </w:p>
        </w:tc>
        <w:tc>
          <w:tcPr>
            <w:tcW w:w="1701" w:type="dxa"/>
          </w:tcPr>
          <w:p w14:paraId="7907C543" w14:textId="77777777" w:rsidR="005754D0" w:rsidRPr="00945E91" w:rsidRDefault="005754D0" w:rsidP="005754D0">
            <w:pPr>
              <w:spacing w:line="227" w:lineRule="exact"/>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1843" w:type="dxa"/>
          </w:tcPr>
          <w:p w14:paraId="3A27A6B5" w14:textId="77777777" w:rsidR="005754D0" w:rsidRPr="00945E91" w:rsidRDefault="005754D0" w:rsidP="005754D0">
            <w:pPr>
              <w:spacing w:line="227"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Pr>
          <w:p w14:paraId="1E3341E7" w14:textId="77777777" w:rsidR="005754D0" w:rsidRPr="00945E91" w:rsidRDefault="005754D0" w:rsidP="005754D0">
            <w:pPr>
              <w:spacing w:line="230" w:lineRule="exact"/>
              <w:ind w:left="108" w:right="542"/>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 oder SZT direkt</w:t>
            </w:r>
          </w:p>
        </w:tc>
      </w:tr>
      <w:tr w:rsidR="005754D0" w:rsidRPr="00945E91" w14:paraId="10CF7A81" w14:textId="77777777" w:rsidTr="005754D0">
        <w:trPr>
          <w:trHeight w:val="228"/>
        </w:trPr>
        <w:tc>
          <w:tcPr>
            <w:tcW w:w="1985" w:type="dxa"/>
            <w:vMerge/>
          </w:tcPr>
          <w:p w14:paraId="0D738B88" w14:textId="77777777" w:rsidR="005754D0" w:rsidRPr="00945E91" w:rsidRDefault="005754D0" w:rsidP="005754D0">
            <w:pPr>
              <w:spacing w:line="240" w:lineRule="auto"/>
              <w:ind w:left="107"/>
              <w:jc w:val="left"/>
              <w:rPr>
                <w:rFonts w:asciiTheme="minorHAnsi" w:eastAsia="Arial" w:hAnsiTheme="minorHAnsi" w:cstheme="minorHAnsi"/>
                <w:sz w:val="20"/>
                <w:lang w:val="de-DE" w:bidi="de-DE"/>
              </w:rPr>
            </w:pPr>
          </w:p>
        </w:tc>
        <w:tc>
          <w:tcPr>
            <w:tcW w:w="1701" w:type="dxa"/>
          </w:tcPr>
          <w:p w14:paraId="24BC9229" w14:textId="77777777" w:rsidR="005754D0" w:rsidRPr="00945E91" w:rsidRDefault="005754D0" w:rsidP="005754D0">
            <w:pPr>
              <w:spacing w:line="240" w:lineRule="auto"/>
              <w:jc w:val="left"/>
              <w:rPr>
                <w:rFonts w:asciiTheme="minorHAnsi" w:eastAsia="Arial" w:hAnsiTheme="minorHAnsi" w:cstheme="minorHAnsi"/>
                <w:sz w:val="16"/>
                <w:lang w:val="de-DE" w:bidi="de-DE"/>
              </w:rPr>
            </w:pPr>
          </w:p>
        </w:tc>
        <w:tc>
          <w:tcPr>
            <w:tcW w:w="1843" w:type="dxa"/>
          </w:tcPr>
          <w:p w14:paraId="713FF9BF" w14:textId="77777777" w:rsidR="005754D0" w:rsidRPr="00945E91" w:rsidRDefault="005754D0" w:rsidP="005754D0">
            <w:pPr>
              <w:spacing w:line="208"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MolNE*</w:t>
            </w:r>
          </w:p>
        </w:tc>
        <w:tc>
          <w:tcPr>
            <w:tcW w:w="4110" w:type="dxa"/>
          </w:tcPr>
          <w:p w14:paraId="3E5CFFD6" w14:textId="77777777" w:rsidR="005754D0" w:rsidRPr="00945E91" w:rsidRDefault="005754D0" w:rsidP="005754D0">
            <w:pPr>
              <w:spacing w:line="208" w:lineRule="exact"/>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SZT</w:t>
            </w:r>
          </w:p>
        </w:tc>
      </w:tr>
      <w:tr w:rsidR="005754D0" w:rsidRPr="00945E91" w14:paraId="50E2CE51" w14:textId="77777777" w:rsidTr="005754D0">
        <w:trPr>
          <w:trHeight w:val="460"/>
        </w:trPr>
        <w:tc>
          <w:tcPr>
            <w:tcW w:w="1985" w:type="dxa"/>
            <w:vMerge/>
          </w:tcPr>
          <w:p w14:paraId="029B5E77" w14:textId="77777777" w:rsidR="005754D0" w:rsidRPr="00945E91" w:rsidRDefault="005754D0" w:rsidP="005754D0">
            <w:pPr>
              <w:spacing w:line="240" w:lineRule="auto"/>
              <w:ind w:left="107"/>
              <w:jc w:val="left"/>
              <w:rPr>
                <w:rFonts w:asciiTheme="minorHAnsi" w:eastAsia="Arial" w:hAnsiTheme="minorHAnsi" w:cstheme="minorHAnsi"/>
                <w:sz w:val="20"/>
                <w:lang w:val="de-DE" w:bidi="de-DE"/>
              </w:rPr>
            </w:pPr>
          </w:p>
        </w:tc>
        <w:tc>
          <w:tcPr>
            <w:tcW w:w="1701" w:type="dxa"/>
          </w:tcPr>
          <w:p w14:paraId="1D83A62B" w14:textId="77777777" w:rsidR="005754D0" w:rsidRPr="00945E91" w:rsidRDefault="005754D0" w:rsidP="005754D0">
            <w:pPr>
              <w:spacing w:line="240" w:lineRule="auto"/>
              <w:ind w:left="105"/>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Molekulare CR</w:t>
            </w:r>
          </w:p>
        </w:tc>
        <w:tc>
          <w:tcPr>
            <w:tcW w:w="1843" w:type="dxa"/>
          </w:tcPr>
          <w:p w14:paraId="5E8A762B" w14:textId="77777777" w:rsidR="005754D0" w:rsidRPr="00945E91" w:rsidRDefault="005754D0" w:rsidP="005754D0">
            <w:pPr>
              <w:spacing w:line="240" w:lineRule="auto"/>
              <w:ind w:left="108"/>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MolFAIL</w:t>
            </w:r>
          </w:p>
        </w:tc>
        <w:tc>
          <w:tcPr>
            <w:tcW w:w="4110" w:type="dxa"/>
          </w:tcPr>
          <w:p w14:paraId="00E44975" w14:textId="77777777" w:rsidR="005754D0" w:rsidRPr="00945E91" w:rsidRDefault="005754D0" w:rsidP="005754D0">
            <w:pPr>
              <w:spacing w:before="5" w:line="228" w:lineRule="exact"/>
              <w:ind w:left="108" w:right="542"/>
              <w:jc w:val="left"/>
              <w:rPr>
                <w:rFonts w:asciiTheme="minorHAnsi" w:eastAsia="Arial" w:hAnsiTheme="minorHAnsi" w:cstheme="minorHAnsi"/>
                <w:sz w:val="20"/>
                <w:lang w:val="de-DE" w:bidi="de-DE"/>
              </w:rPr>
            </w:pPr>
            <w:r w:rsidRPr="00945E91">
              <w:rPr>
                <w:rFonts w:asciiTheme="minorHAnsi" w:eastAsia="Arial" w:hAnsiTheme="minorHAnsi" w:cstheme="minorHAnsi"/>
                <w:sz w:val="20"/>
                <w:lang w:val="de-DE" w:bidi="de-DE"/>
              </w:rPr>
              <w:t xml:space="preserve">Subgruppen-spezifische Kons. II </w:t>
            </w:r>
            <w:r w:rsidRPr="00945E91">
              <w:rPr>
                <w:rFonts w:asciiTheme="minorHAnsi" w:eastAsia="Arial" w:hAnsiTheme="minorHAnsi" w:cstheme="minorHAnsi"/>
                <w:sz w:val="20"/>
                <w:lang w:val="de-DE" w:bidi="de-DE"/>
              </w:rPr>
              <w:sym w:font="Wingdings" w:char="F0E0"/>
            </w:r>
            <w:r w:rsidRPr="00945E91">
              <w:rPr>
                <w:rFonts w:asciiTheme="minorHAnsi" w:eastAsia="Arial" w:hAnsiTheme="minorHAnsi" w:cstheme="minorHAnsi"/>
                <w:sz w:val="20"/>
                <w:lang w:val="de-DE" w:bidi="de-DE"/>
              </w:rPr>
              <w:t xml:space="preserve"> SZT oder SZT direkt</w:t>
            </w:r>
          </w:p>
        </w:tc>
      </w:tr>
    </w:tbl>
    <w:p w14:paraId="2811D7D7" w14:textId="77777777" w:rsidR="005754D0" w:rsidRPr="00945E91" w:rsidRDefault="005754D0" w:rsidP="005754D0">
      <w:pPr>
        <w:widowControl w:val="0"/>
        <w:autoSpaceDE w:val="0"/>
        <w:autoSpaceDN w:val="0"/>
        <w:spacing w:before="6" w:line="240" w:lineRule="auto"/>
        <w:jc w:val="left"/>
        <w:rPr>
          <w:rFonts w:asciiTheme="minorHAnsi" w:hAnsiTheme="minorHAnsi" w:cstheme="minorHAnsi"/>
          <w:sz w:val="20"/>
          <w:lang w:val="de-DE"/>
        </w:rPr>
      </w:pPr>
      <w:r w:rsidRPr="00945E91">
        <w:rPr>
          <w:rFonts w:asciiTheme="minorHAnsi" w:hAnsiTheme="minorHAnsi" w:cstheme="minorHAnsi"/>
          <w:sz w:val="20"/>
          <w:lang w:val="de-DE"/>
        </w:rPr>
        <w:t xml:space="preserve">MolNE: </w:t>
      </w:r>
      <w:r w:rsidRPr="00945E91">
        <w:rPr>
          <w:rFonts w:asciiTheme="minorHAnsi" w:hAnsiTheme="minorHAnsi" w:cstheme="minorHAnsi"/>
          <w:sz w:val="20"/>
          <w:lang w:val="de-DE"/>
        </w:rPr>
        <w:tab/>
        <w:t xml:space="preserve"> kein MRD-Befund vorhanden</w:t>
      </w:r>
    </w:p>
    <w:p w14:paraId="4F920CF3" w14:textId="77777777" w:rsidR="005754D0" w:rsidRPr="00945E91" w:rsidRDefault="005754D0" w:rsidP="005754D0">
      <w:pPr>
        <w:widowControl w:val="0"/>
        <w:autoSpaceDE w:val="0"/>
        <w:autoSpaceDN w:val="0"/>
        <w:spacing w:before="6" w:line="240" w:lineRule="auto"/>
        <w:jc w:val="left"/>
        <w:rPr>
          <w:rFonts w:asciiTheme="minorHAnsi" w:hAnsiTheme="minorHAnsi" w:cstheme="minorHAnsi"/>
          <w:sz w:val="20"/>
          <w:lang w:val="de-DE"/>
        </w:rPr>
      </w:pPr>
      <w:r w:rsidRPr="00945E91">
        <w:rPr>
          <w:rFonts w:asciiTheme="minorHAnsi" w:hAnsiTheme="minorHAnsi" w:cstheme="minorHAnsi"/>
          <w:sz w:val="20"/>
          <w:lang w:val="de-DE"/>
        </w:rPr>
        <w:t>MolFAIL: Patienten ohne molekulare Remission</w:t>
      </w:r>
    </w:p>
    <w:p w14:paraId="3107A8CF" w14:textId="77777777" w:rsidR="005754D0" w:rsidRPr="00945E91" w:rsidRDefault="005754D0" w:rsidP="005754D0">
      <w:pPr>
        <w:spacing w:line="240" w:lineRule="auto"/>
        <w:jc w:val="left"/>
        <w:rPr>
          <w:rFonts w:asciiTheme="minorHAnsi" w:hAnsiTheme="minorHAnsi" w:cstheme="minorHAnsi"/>
          <w:b/>
          <w:sz w:val="14"/>
          <w:lang w:val="de-DE"/>
        </w:rPr>
      </w:pPr>
    </w:p>
    <w:p w14:paraId="0DE3E192"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1FB923B6" w14:textId="283CDFE0" w:rsidR="005754D0" w:rsidRPr="00945E91" w:rsidRDefault="005754D0" w:rsidP="005754D0">
      <w:pPr>
        <w:pStyle w:val="berschrift3"/>
        <w:rPr>
          <w:rFonts w:asciiTheme="minorHAnsi" w:hAnsiTheme="minorHAnsi" w:cstheme="minorHAnsi"/>
          <w:lang w:val="de-DE"/>
        </w:rPr>
      </w:pPr>
      <w:bookmarkStart w:id="50" w:name="_Toc74412411"/>
      <w:r w:rsidRPr="00945E91">
        <w:rPr>
          <w:rFonts w:asciiTheme="minorHAnsi" w:hAnsiTheme="minorHAnsi" w:cstheme="minorHAnsi"/>
          <w:lang w:val="de-DE"/>
        </w:rPr>
        <w:lastRenderedPageBreak/>
        <w:t>3.4.3</w:t>
      </w:r>
      <w:r w:rsidR="000C7408" w:rsidRPr="00945E91">
        <w:rPr>
          <w:rFonts w:asciiTheme="minorHAnsi" w:hAnsiTheme="minorHAnsi" w:cstheme="minorHAnsi"/>
          <w:lang w:val="de-DE"/>
        </w:rPr>
        <w:t>.</w:t>
      </w:r>
      <w:r w:rsidR="00FC64BB" w:rsidRPr="00945E91">
        <w:rPr>
          <w:rFonts w:asciiTheme="minorHAnsi" w:hAnsiTheme="minorHAnsi" w:cstheme="minorHAnsi"/>
          <w:lang w:val="de-DE"/>
        </w:rPr>
        <w:t xml:space="preserve"> </w:t>
      </w:r>
      <w:r w:rsidRPr="00945E91">
        <w:rPr>
          <w:rFonts w:asciiTheme="minorHAnsi" w:hAnsiTheme="minorHAnsi" w:cstheme="minorHAnsi"/>
          <w:lang w:val="de-DE"/>
        </w:rPr>
        <w:t>B-Vorläufer-ALL, T-ALL und B-/T-LBL beim älteren Erwachsenen (56-75a)</w:t>
      </w:r>
      <w:bookmarkEnd w:id="50"/>
      <w:r w:rsidRPr="00945E91">
        <w:rPr>
          <w:rFonts w:asciiTheme="minorHAnsi" w:hAnsiTheme="minorHAnsi" w:cstheme="minorHAnsi"/>
          <w:lang w:val="de-DE"/>
        </w:rPr>
        <w:t xml:space="preserve"> </w:t>
      </w:r>
    </w:p>
    <w:p w14:paraId="1C9BAFFF"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1BBB89EE"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 xml:space="preserve">Die Therapie erfolgt in 4 Stratifikationsgruppen: </w:t>
      </w:r>
    </w:p>
    <w:p w14:paraId="04A71D19"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Standardrisiko</w:t>
      </w:r>
    </w:p>
    <w:p w14:paraId="1A13ECF3"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Hochrisiko</w:t>
      </w:r>
    </w:p>
    <w:p w14:paraId="0975E7D8" w14:textId="3E597360"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B</w:t>
      </w:r>
      <w:r w:rsidR="00F2483C">
        <w:rPr>
          <w:rFonts w:asciiTheme="minorHAnsi" w:hAnsiTheme="minorHAnsi" w:cstheme="minorHAnsi"/>
          <w:lang w:val="de-DE"/>
        </w:rPr>
        <w:t>CR</w:t>
      </w:r>
      <w:r w:rsidRPr="00945E91">
        <w:rPr>
          <w:rFonts w:asciiTheme="minorHAnsi" w:hAnsiTheme="minorHAnsi" w:cstheme="minorHAnsi"/>
          <w:lang w:val="de-DE"/>
        </w:rPr>
        <w:t>-</w:t>
      </w:r>
      <w:r w:rsidR="00F2483C">
        <w:rPr>
          <w:rFonts w:asciiTheme="minorHAnsi" w:hAnsiTheme="minorHAnsi" w:cstheme="minorHAnsi"/>
          <w:lang w:val="de-DE"/>
        </w:rPr>
        <w:t>ABL</w:t>
      </w:r>
      <w:r w:rsidRPr="00945E91">
        <w:rPr>
          <w:rFonts w:asciiTheme="minorHAnsi" w:hAnsiTheme="minorHAnsi" w:cstheme="minorHAnsi"/>
          <w:lang w:val="de-DE"/>
        </w:rPr>
        <w:t xml:space="preserve"> pos</w:t>
      </w:r>
      <w:r w:rsidR="00F2483C">
        <w:rPr>
          <w:rFonts w:asciiTheme="minorHAnsi" w:hAnsiTheme="minorHAnsi" w:cstheme="minorHAnsi"/>
          <w:lang w:val="de-DE"/>
        </w:rPr>
        <w:t>itive</w:t>
      </w:r>
      <w:r w:rsidRPr="00945E91">
        <w:rPr>
          <w:rFonts w:asciiTheme="minorHAnsi" w:hAnsiTheme="minorHAnsi" w:cstheme="minorHAnsi"/>
          <w:lang w:val="de-DE"/>
        </w:rPr>
        <w:t xml:space="preserve"> ALL (PH) (Höchstrisiko)</w:t>
      </w:r>
    </w:p>
    <w:p w14:paraId="0B4BFA7A" w14:textId="77777777" w:rsidR="005754D0" w:rsidRPr="00945E91" w:rsidRDefault="005754D0" w:rsidP="00D11A8E">
      <w:pPr>
        <w:pStyle w:val="Textkrper-Einzug2"/>
        <w:numPr>
          <w:ilvl w:val="0"/>
          <w:numId w:val="4"/>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Lymphoblastisches NHL (Therapie analog zu Standardrisiko mit Modifikationen)</w:t>
      </w:r>
    </w:p>
    <w:p w14:paraId="7CD4C5DA" w14:textId="77777777" w:rsidR="005754D0" w:rsidRPr="00945E91" w:rsidRDefault="005754D0" w:rsidP="005754D0">
      <w:pPr>
        <w:pStyle w:val="Textkrper-Einzug2"/>
        <w:spacing w:line="276" w:lineRule="auto"/>
        <w:ind w:left="0"/>
        <w:jc w:val="left"/>
        <w:rPr>
          <w:rFonts w:asciiTheme="minorHAnsi" w:hAnsiTheme="minorHAnsi" w:cstheme="minorHAnsi"/>
          <w:lang w:val="de-DE"/>
        </w:rPr>
      </w:pPr>
    </w:p>
    <w:p w14:paraId="09B72A7E"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konzeptionellen Unterschiede zwischen der Empfehlung für ältere und der für jüngere Patienten werden auf folgende Aspekte reduziert:</w:t>
      </w:r>
    </w:p>
    <w:p w14:paraId="52E5E5A2" w14:textId="77777777" w:rsidR="005754D0" w:rsidRPr="00945E91" w:rsidRDefault="005754D0" w:rsidP="005754D0">
      <w:pPr>
        <w:pStyle w:val="Textkrper-Einzug2"/>
        <w:spacing w:after="0" w:line="276" w:lineRule="auto"/>
        <w:jc w:val="left"/>
        <w:rPr>
          <w:rFonts w:asciiTheme="minorHAnsi" w:hAnsiTheme="minorHAnsi" w:cstheme="minorHAnsi"/>
          <w:lang w:val="de-DE"/>
        </w:rPr>
      </w:pPr>
      <w:r w:rsidRPr="00945E91">
        <w:rPr>
          <w:rFonts w:asciiTheme="minorHAnsi" w:hAnsiTheme="minorHAnsi" w:cstheme="minorHAnsi"/>
          <w:lang w:val="de-DE"/>
        </w:rPr>
        <w:t>-</w:t>
      </w:r>
      <w:r w:rsidRPr="00945E91">
        <w:rPr>
          <w:rFonts w:asciiTheme="minorHAnsi" w:hAnsiTheme="minorHAnsi" w:cstheme="minorHAnsi"/>
          <w:lang w:val="de-DE"/>
        </w:rPr>
        <w:tab/>
        <w:t>Keine Asparaginase in Induktion</w:t>
      </w:r>
    </w:p>
    <w:p w14:paraId="58A76B17" w14:textId="77777777" w:rsidR="005754D0" w:rsidRPr="00945E91" w:rsidRDefault="005754D0" w:rsidP="005754D0">
      <w:pPr>
        <w:pStyle w:val="Textkrper-Einzug2"/>
        <w:spacing w:after="0" w:line="276" w:lineRule="auto"/>
        <w:jc w:val="left"/>
        <w:rPr>
          <w:rFonts w:asciiTheme="minorHAnsi" w:hAnsiTheme="minorHAnsi" w:cstheme="minorHAnsi"/>
          <w:lang w:val="de-DE"/>
        </w:rPr>
      </w:pPr>
      <w:r w:rsidRPr="00945E91">
        <w:rPr>
          <w:rFonts w:asciiTheme="minorHAnsi" w:hAnsiTheme="minorHAnsi" w:cstheme="minorHAnsi"/>
          <w:lang w:val="de-DE"/>
        </w:rPr>
        <w:t>-</w:t>
      </w:r>
      <w:r w:rsidRPr="00945E91">
        <w:rPr>
          <w:rFonts w:asciiTheme="minorHAnsi" w:hAnsiTheme="minorHAnsi" w:cstheme="minorHAnsi"/>
          <w:lang w:val="de-DE"/>
        </w:rPr>
        <w:tab/>
        <w:t>Keine Schädelbestrahlung (weder prophylaktisch noch therapeutisch)</w:t>
      </w:r>
    </w:p>
    <w:p w14:paraId="29C43922"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w:t>
      </w:r>
      <w:r w:rsidRPr="00945E91">
        <w:rPr>
          <w:rFonts w:asciiTheme="minorHAnsi" w:hAnsiTheme="minorHAnsi" w:cstheme="minorHAnsi"/>
          <w:lang w:val="de-DE"/>
        </w:rPr>
        <w:tab/>
        <w:t>Keine intensive Konsolidation I</w:t>
      </w:r>
    </w:p>
    <w:p w14:paraId="67D096C7"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483550CB"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Gabe von Rituximab erfolgt in Abhängigkeit von der CD20-Expression. Bei CD20-negativer ALL (definiert &lt;20% Expression) soll nach Empfehlungen der GMALL-Studiengruppe außerhalb von Studien kein Rituximab appliziert werden, da die Relevanz erst geprüft werden muss.</w:t>
      </w:r>
    </w:p>
    <w:p w14:paraId="4069694B"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26F92B27" w14:textId="77777777" w:rsidR="005754D0" w:rsidRPr="00595E61" w:rsidRDefault="005754D0" w:rsidP="005754D0">
      <w:pPr>
        <w:spacing w:line="240" w:lineRule="auto"/>
        <w:jc w:val="left"/>
        <w:rPr>
          <w:rFonts w:asciiTheme="minorHAnsi" w:hAnsiTheme="minorHAnsi" w:cstheme="minorHAnsi"/>
          <w:b/>
          <w:szCs w:val="22"/>
          <w:lang w:val="de-DE"/>
        </w:rPr>
      </w:pPr>
      <w:r w:rsidRPr="00595E61">
        <w:rPr>
          <w:rFonts w:asciiTheme="minorHAnsi" w:hAnsiTheme="minorHAnsi" w:cstheme="minorHAnsi"/>
          <w:b/>
          <w:szCs w:val="22"/>
          <w:lang w:val="de-DE"/>
        </w:rPr>
        <w:t>Empfehlung für ältere Patienten (55-75a), die für eine allogene SZT geeignet erscheinen</w:t>
      </w:r>
    </w:p>
    <w:p w14:paraId="3FF946E4" w14:textId="09B565BC" w:rsidR="005754D0" w:rsidRPr="00595E61" w:rsidRDefault="005754D0" w:rsidP="005754D0">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Patienten im Alter über dem 55. Lebensjahr sollten auch bei biologisch sehr gutem AZ mit dem altersentsprechenden Protokoll gehandelt werden, jedoch sollte eine Stammzelltransplantation in das Behandlungskonzept integriert werden, wenn die prinzipiellen Kriterien wie beispielsweise eine Hoch-/Höchstrisikosituation vorliegt und ein passender Spender vorhanden ist. Standardrisiko-Patienten mit schlechtem Therapieansprechen, bei denen eine Intensivierung mittels SZT sinnvoll erscheint, können anhand des MRD-Verlaufs identifiziert</w:t>
      </w:r>
      <w:r w:rsidR="008C3804" w:rsidRPr="00595E61">
        <w:rPr>
          <w:rFonts w:asciiTheme="minorHAnsi" w:hAnsiTheme="minorHAnsi" w:cstheme="minorHAnsi"/>
          <w:szCs w:val="22"/>
          <w:lang w:val="de-DE"/>
        </w:rPr>
        <w:t xml:space="preserve"> werden</w:t>
      </w:r>
      <w:r w:rsidRPr="00595E61">
        <w:rPr>
          <w:rFonts w:asciiTheme="minorHAnsi" w:hAnsiTheme="minorHAnsi" w:cstheme="minorHAnsi"/>
          <w:szCs w:val="22"/>
          <w:lang w:val="de-DE"/>
        </w:rPr>
        <w:t>. Aufgrund der prädiktiven Bedeutung der MRD soll bei Patienten, die nach Konsolidierung 2 ein molekulares Therapieversagen zeigen, unabhängig von der Risikogruppe vor der SZT eine möglichst zielgerichtete Therapie (Blinatumomab, Nelarabin) durchgeführt werden, um ein Frührezidiv zu vermeiden und die Ergebnisse der SZT zu verbessern. Die Empfehlungen zur Stammzelltransplantation entsprechen denen von Patienten im Alter von 18-55 Jahren (siehe Tabelle Seite</w:t>
      </w:r>
      <w:r w:rsidR="00DB23B1" w:rsidRPr="00595E61">
        <w:rPr>
          <w:rFonts w:asciiTheme="minorHAnsi" w:hAnsiTheme="minorHAnsi" w:cstheme="minorHAnsi"/>
          <w:szCs w:val="22"/>
          <w:lang w:val="de-DE"/>
        </w:rPr>
        <w:t xml:space="preserve"> 10).</w:t>
      </w:r>
      <w:r w:rsidRPr="00595E61">
        <w:rPr>
          <w:rFonts w:asciiTheme="minorHAnsi" w:hAnsiTheme="minorHAnsi" w:cstheme="minorHAnsi"/>
          <w:szCs w:val="22"/>
          <w:lang w:val="de-DE"/>
        </w:rPr>
        <w:t xml:space="preserve"> </w:t>
      </w:r>
    </w:p>
    <w:p w14:paraId="59217CDB" w14:textId="77777777" w:rsidR="005754D0" w:rsidRPr="00595E61" w:rsidRDefault="005754D0" w:rsidP="005754D0">
      <w:pPr>
        <w:pStyle w:val="Textkrper-Einzug2"/>
        <w:spacing w:after="0" w:line="276" w:lineRule="auto"/>
        <w:ind w:left="0"/>
        <w:jc w:val="left"/>
        <w:rPr>
          <w:rFonts w:asciiTheme="minorHAnsi" w:hAnsiTheme="minorHAnsi" w:cstheme="minorHAnsi"/>
          <w:szCs w:val="22"/>
          <w:lang w:val="de-DE"/>
        </w:rPr>
      </w:pPr>
    </w:p>
    <w:p w14:paraId="7CBD1543" w14:textId="5824BD8F" w:rsidR="005754D0" w:rsidRPr="00945E91" w:rsidRDefault="005754D0" w:rsidP="00595E61">
      <w:pPr>
        <w:pStyle w:val="Textkrper-Einzug2"/>
        <w:spacing w:after="0" w:line="276" w:lineRule="auto"/>
        <w:ind w:left="0"/>
        <w:jc w:val="left"/>
        <w:rPr>
          <w:rFonts w:asciiTheme="minorHAnsi" w:hAnsiTheme="minorHAnsi" w:cstheme="minorHAnsi"/>
          <w:i/>
          <w:sz w:val="20"/>
          <w:lang w:val="de-DE"/>
        </w:rPr>
      </w:pPr>
      <w:r w:rsidRPr="00595E61">
        <w:rPr>
          <w:rFonts w:asciiTheme="minorHAnsi" w:hAnsiTheme="minorHAnsi" w:cstheme="minorHAnsi"/>
          <w:szCs w:val="22"/>
          <w:lang w:val="de-DE"/>
        </w:rPr>
        <w:t>Diese Empfehlung beruht auf einer Analyse der bisherigen GMALL-Studien (Auszug aus der ALL-Konsensusempfehlung):</w:t>
      </w:r>
      <w:r w:rsidRPr="00595E61">
        <w:rPr>
          <w:rFonts w:asciiTheme="minorHAnsi" w:hAnsiTheme="minorHAnsi" w:cstheme="minorHAnsi"/>
          <w:i/>
          <w:szCs w:val="22"/>
          <w:lang w:val="de-DE"/>
        </w:rPr>
        <w:t xml:space="preserve"> „In den bisherigen GMALL-Studien galt die Empfehlung, dass Patienten in der Altersgruppe von &gt; 55-65 Jahren je nach biologischem Alter gemäß den Empfehlungen für jüngere (18-55 Jahre) oder ältere Patienten behandelt werden sollen. Auswertungen der Altersgruppe von 56-65 Jahren, die entweder nach Empfehlung für jüngere (N=166; ‚Gruppe 1‘) oder ältere (N=136, ‚Gruppe 2‘) Patienten behandelt wurden, haben gezeigt, dass die Remissionsraten mit 81% versus 80% sowie die Raten der Frühmortalität mit 12% versus 11% etwa vergleichbar sind. Dabei ist zu berücksichtigen, dass das mediane Alter in Gruppe 1 mit 58 Jahren niedriger war als in Gruppe 2 mit 62 Jahren. Der Anteil der über 60-</w:t>
      </w:r>
      <w:r w:rsidR="00F2483C" w:rsidRPr="00595E61">
        <w:rPr>
          <w:rFonts w:asciiTheme="minorHAnsi" w:hAnsiTheme="minorHAnsi" w:cstheme="minorHAnsi"/>
          <w:i/>
          <w:szCs w:val="22"/>
          <w:lang w:val="de-DE"/>
        </w:rPr>
        <w:t>jährigen Patienten</w:t>
      </w:r>
      <w:r w:rsidRPr="00595E61">
        <w:rPr>
          <w:rFonts w:asciiTheme="minorHAnsi" w:hAnsiTheme="minorHAnsi" w:cstheme="minorHAnsi"/>
          <w:i/>
          <w:szCs w:val="22"/>
          <w:lang w:val="de-DE"/>
        </w:rPr>
        <w:t xml:space="preserve"> lag in Gruppe 1 bei 30% und in Gruppe 2 bei 68%. Weiterhin wurde in Gruppe 1 im Vergleich zu Gruppe 2 eine höhere Abbruchrate (21% versus 12%) und eine höhere Mortalität in CR (8% versus 1%) beobachtet. Die Überlebensraten nach 5 Jahren lagen bei 33% für Gruppe 1 und 27% für Gruppe 2. Ein Vorteil im Gesamtüberleben wurde für Gruppe 1 vor allem bei unter 60-jährigen Patienten und bei Hochrisiko-Patienten gezeigt. Die höhere Transplantationsrate in Gruppe 1 hatte hier einen </w:t>
      </w:r>
      <w:r w:rsidRPr="00595E61">
        <w:rPr>
          <w:rFonts w:asciiTheme="minorHAnsi" w:hAnsiTheme="minorHAnsi" w:cstheme="minorHAnsi"/>
          <w:i/>
          <w:szCs w:val="22"/>
          <w:lang w:val="de-DE"/>
        </w:rPr>
        <w:lastRenderedPageBreak/>
        <w:t>wesentlichen Anteil. Bei älteren Patienten treten häufiger Komplikationen der Asparaginase-Therapie in der Induktion auf. Daher erscheint es sinnvoll den Einsatz in die Konsolidation zu verschieben, wo die Verträglichkeit deutlich besser ist.“</w:t>
      </w:r>
      <w:r w:rsidRPr="00945E91">
        <w:rPr>
          <w:rFonts w:asciiTheme="minorHAnsi" w:hAnsiTheme="minorHAnsi" w:cstheme="minorHAnsi"/>
          <w:i/>
          <w:sz w:val="20"/>
          <w:lang w:val="de-DE"/>
        </w:rPr>
        <w:t xml:space="preserve"> </w:t>
      </w:r>
    </w:p>
    <w:p w14:paraId="7CE5AC96" w14:textId="77777777" w:rsidR="005754D0" w:rsidRPr="00945E91" w:rsidRDefault="005754D0" w:rsidP="005754D0">
      <w:pPr>
        <w:pStyle w:val="Textkrper-Einzug2"/>
        <w:spacing w:after="0" w:line="276" w:lineRule="auto"/>
        <w:ind w:left="0"/>
        <w:jc w:val="left"/>
        <w:rPr>
          <w:rFonts w:asciiTheme="minorHAnsi" w:hAnsiTheme="minorHAnsi" w:cstheme="minorHAnsi"/>
          <w:szCs w:val="22"/>
          <w:lang w:val="de-DE"/>
        </w:rPr>
      </w:pPr>
    </w:p>
    <w:p w14:paraId="121B036F" w14:textId="77777777" w:rsidR="005754D0" w:rsidRPr="00595E61" w:rsidRDefault="005754D0" w:rsidP="005754D0">
      <w:pPr>
        <w:spacing w:line="240" w:lineRule="auto"/>
        <w:jc w:val="left"/>
        <w:rPr>
          <w:rFonts w:asciiTheme="minorHAnsi" w:hAnsiTheme="minorHAnsi" w:cstheme="minorHAnsi"/>
          <w:b/>
          <w:szCs w:val="22"/>
          <w:lang w:val="de-DE"/>
        </w:rPr>
      </w:pPr>
      <w:r w:rsidRPr="00595E61">
        <w:rPr>
          <w:rFonts w:asciiTheme="minorHAnsi" w:hAnsiTheme="minorHAnsi" w:cstheme="minorHAnsi"/>
          <w:b/>
          <w:szCs w:val="22"/>
          <w:lang w:val="de-DE"/>
        </w:rPr>
        <w:t>Empfehlung für Patienten &gt;75a, die für eine intensivere Therapie geeignet erscheinen</w:t>
      </w:r>
    </w:p>
    <w:p w14:paraId="315F866D" w14:textId="77777777" w:rsidR="005754D0" w:rsidRPr="00595E61" w:rsidRDefault="005754D0" w:rsidP="005754D0">
      <w:pPr>
        <w:spacing w:line="240" w:lineRule="auto"/>
        <w:jc w:val="left"/>
        <w:rPr>
          <w:rFonts w:asciiTheme="minorHAnsi" w:hAnsiTheme="minorHAnsi" w:cstheme="minorHAnsi"/>
          <w:szCs w:val="22"/>
          <w:lang w:val="de-DE"/>
        </w:rPr>
      </w:pPr>
      <w:r w:rsidRPr="00595E61">
        <w:rPr>
          <w:rFonts w:asciiTheme="minorHAnsi" w:hAnsiTheme="minorHAnsi" w:cstheme="minorHAnsi"/>
          <w:szCs w:val="22"/>
          <w:lang w:val="de-DE"/>
        </w:rPr>
        <w:t>Wegen der stark steigenden Induktionsmortalität wird eine obere Altersgrenze von 75 Jahren für das Protokoll angenommen. Selbstverständlich muss die Entscheidung individuell getroffen werden.</w:t>
      </w:r>
    </w:p>
    <w:p w14:paraId="0D18C971" w14:textId="7A721629" w:rsidR="005754D0" w:rsidRPr="00595E61" w:rsidRDefault="005754D0" w:rsidP="005754D0">
      <w:pPr>
        <w:spacing w:line="240" w:lineRule="auto"/>
        <w:jc w:val="left"/>
        <w:rPr>
          <w:rFonts w:asciiTheme="minorHAnsi" w:hAnsiTheme="minorHAnsi" w:cstheme="minorHAnsi"/>
          <w:szCs w:val="22"/>
          <w:lang w:val="de-DE"/>
        </w:rPr>
      </w:pPr>
      <w:r w:rsidRPr="00595E61">
        <w:rPr>
          <w:rFonts w:asciiTheme="minorHAnsi" w:hAnsiTheme="minorHAnsi" w:cstheme="minorHAnsi"/>
          <w:szCs w:val="22"/>
          <w:lang w:val="de-DE"/>
        </w:rPr>
        <w:t xml:space="preserve">Im Rahmen des Protokolls ist keine prophylaktische Schädelbestrahlung vorgesehen (Vorgehen bei initialem ZNS-Befall s. Kapitel XV, 2 im </w:t>
      </w:r>
      <w:r w:rsidRPr="00595E61">
        <w:rPr>
          <w:rFonts w:asciiTheme="minorHAnsi" w:hAnsiTheme="minorHAnsi" w:cstheme="minorHAnsi"/>
          <w:i/>
          <w:szCs w:val="22"/>
          <w:lang w:val="de-DE"/>
        </w:rPr>
        <w:t>Konsensuspaper</w:t>
      </w:r>
      <w:r w:rsidR="00DB23B1" w:rsidRPr="00595E61">
        <w:rPr>
          <w:rFonts w:asciiTheme="minorHAnsi" w:hAnsiTheme="minorHAnsi" w:cstheme="minorHAnsi"/>
          <w:i/>
          <w:szCs w:val="22"/>
          <w:lang w:val="de-DE"/>
        </w:rPr>
        <w:t xml:space="preserve"> der GMALL für </w:t>
      </w:r>
      <w:r w:rsidR="00245044" w:rsidRPr="00595E61">
        <w:rPr>
          <w:rFonts w:asciiTheme="minorHAnsi" w:hAnsiTheme="minorHAnsi" w:cstheme="minorHAnsi"/>
          <w:i/>
          <w:szCs w:val="22"/>
          <w:lang w:val="de-DE"/>
        </w:rPr>
        <w:t>Patienten mit ALL/LBL bei älteren Patienten (&gt;55-75 Jahre)</w:t>
      </w:r>
      <w:r w:rsidR="00DB23B1" w:rsidRPr="00595E61">
        <w:rPr>
          <w:rFonts w:asciiTheme="minorHAnsi" w:hAnsiTheme="minorHAnsi" w:cstheme="minorHAnsi"/>
          <w:i/>
          <w:szCs w:val="22"/>
          <w:lang w:val="de-DE"/>
        </w:rPr>
        <w:t>, Version 2017</w:t>
      </w:r>
      <w:r w:rsidRPr="00595E61">
        <w:rPr>
          <w:rFonts w:asciiTheme="minorHAnsi" w:hAnsiTheme="minorHAnsi" w:cstheme="minorHAnsi"/>
          <w:szCs w:val="22"/>
          <w:lang w:val="de-DE"/>
        </w:rPr>
        <w:t>).</w:t>
      </w:r>
    </w:p>
    <w:p w14:paraId="0AF4A8F4" w14:textId="77777777" w:rsidR="005754D0" w:rsidRPr="00945E91" w:rsidRDefault="005754D0" w:rsidP="005754D0">
      <w:pPr>
        <w:spacing w:line="240" w:lineRule="auto"/>
        <w:jc w:val="left"/>
        <w:rPr>
          <w:rFonts w:asciiTheme="minorHAnsi" w:hAnsiTheme="minorHAnsi" w:cstheme="minorHAnsi"/>
          <w:lang w:val="de-DE"/>
        </w:rPr>
      </w:pPr>
    </w:p>
    <w:p w14:paraId="67025541"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Die intrathekale Prophylaxe wird zu folgenden Zeitpunkten durchgeführt:</w:t>
      </w:r>
    </w:p>
    <w:p w14:paraId="5F8D9CCA" w14:textId="77777777" w:rsidR="005754D0" w:rsidRPr="00945E91" w:rsidRDefault="005754D0" w:rsidP="005754D0">
      <w:pPr>
        <w:spacing w:line="240" w:lineRule="auto"/>
        <w:jc w:val="left"/>
        <w:rPr>
          <w:rFonts w:asciiTheme="minorHAnsi" w:hAnsiTheme="minorHAnsi" w:cstheme="minorHAnsi"/>
          <w:lang w:val="de-DE"/>
        </w:rPr>
      </w:pPr>
    </w:p>
    <w:p w14:paraId="56C4ED17" w14:textId="77777777" w:rsidR="005754D0" w:rsidRPr="00945E91" w:rsidRDefault="005754D0" w:rsidP="00D11A8E">
      <w:pPr>
        <w:pStyle w:val="Listenabsatz"/>
        <w:numPr>
          <w:ilvl w:val="0"/>
          <w:numId w:val="7"/>
        </w:numPr>
        <w:spacing w:line="240" w:lineRule="auto"/>
        <w:jc w:val="left"/>
        <w:rPr>
          <w:rFonts w:asciiTheme="minorHAnsi" w:hAnsiTheme="minorHAnsi" w:cstheme="minorHAnsi"/>
          <w:u w:val="single"/>
          <w:lang w:val="de-DE"/>
        </w:rPr>
      </w:pPr>
      <w:r w:rsidRPr="00945E91">
        <w:rPr>
          <w:rFonts w:asciiTheme="minorHAnsi" w:hAnsiTheme="minorHAnsi" w:cstheme="minorHAnsi"/>
          <w:u w:val="single"/>
          <w:lang w:val="de-DE"/>
        </w:rPr>
        <w:t>Methotrexat intrathekal</w:t>
      </w:r>
    </w:p>
    <w:p w14:paraId="5BC860EC"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Im Rahmen der Vorphase, an Tag 1, eine Gabe </w:t>
      </w:r>
    </w:p>
    <w:p w14:paraId="313B2835" w14:textId="77777777" w:rsidR="005754D0" w:rsidRPr="00945E91" w:rsidRDefault="005754D0" w:rsidP="005754D0">
      <w:pPr>
        <w:spacing w:line="240" w:lineRule="auto"/>
        <w:ind w:left="360"/>
        <w:jc w:val="left"/>
        <w:rPr>
          <w:rFonts w:asciiTheme="minorHAnsi" w:hAnsiTheme="minorHAnsi" w:cstheme="minorHAnsi"/>
          <w:u w:val="single"/>
          <w:lang w:val="de-DE"/>
        </w:rPr>
      </w:pPr>
    </w:p>
    <w:p w14:paraId="4582575D" w14:textId="77777777" w:rsidR="005754D0" w:rsidRPr="00945E91" w:rsidRDefault="005754D0" w:rsidP="00D11A8E">
      <w:pPr>
        <w:pStyle w:val="Listenabsatz"/>
        <w:numPr>
          <w:ilvl w:val="0"/>
          <w:numId w:val="7"/>
        </w:numPr>
        <w:spacing w:line="240" w:lineRule="auto"/>
        <w:jc w:val="left"/>
        <w:rPr>
          <w:rFonts w:asciiTheme="minorHAnsi" w:hAnsiTheme="minorHAnsi" w:cstheme="minorHAnsi"/>
          <w:u w:val="single"/>
          <w:lang w:val="de-DE"/>
        </w:rPr>
      </w:pPr>
      <w:r w:rsidRPr="00945E91">
        <w:rPr>
          <w:rFonts w:asciiTheme="minorHAnsi" w:hAnsiTheme="minorHAnsi" w:cstheme="minorHAnsi"/>
          <w:u w:val="single"/>
          <w:lang w:val="de-DE"/>
        </w:rPr>
        <w:t>Dreifachprophylaxe</w:t>
      </w:r>
    </w:p>
    <w:p w14:paraId="345E6A05"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In Induktion: an Tag 13, 21, 28, 35 i.th.</w:t>
      </w:r>
    </w:p>
    <w:p w14:paraId="2516167D"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In Konsolidation II (Woche 15), an Tag 15, i.th.</w:t>
      </w:r>
    </w:p>
    <w:p w14:paraId="5B6976A0"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In Reinduktion (Woche 24), an Tag 3, i.th.</w:t>
      </w:r>
    </w:p>
    <w:p w14:paraId="77F8C152"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während Konsolidierung III und Kons. V jeweils an Tag 0 oder Tag 1</w:t>
      </w:r>
    </w:p>
    <w:p w14:paraId="1D1D67E5"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nach Abschluss des ersten Therapiejahres in Woche 52, i.th.</w:t>
      </w:r>
    </w:p>
    <w:p w14:paraId="0C276E79" w14:textId="77777777" w:rsidR="005754D0" w:rsidRPr="00945E91" w:rsidRDefault="005754D0" w:rsidP="00D11A8E">
      <w:pPr>
        <w:pStyle w:val="Listenabsatz"/>
        <w:numPr>
          <w:ilvl w:val="1"/>
          <w:numId w:val="7"/>
        </w:numPr>
        <w:spacing w:line="240" w:lineRule="auto"/>
        <w:jc w:val="left"/>
        <w:rPr>
          <w:rFonts w:asciiTheme="minorHAnsi" w:hAnsiTheme="minorHAnsi" w:cstheme="minorHAnsi"/>
          <w:lang w:val="de-DE"/>
        </w:rPr>
      </w:pPr>
      <w:r w:rsidRPr="00945E91">
        <w:rPr>
          <w:rFonts w:asciiTheme="minorHAnsi" w:hAnsiTheme="minorHAnsi" w:cstheme="minorHAnsi"/>
          <w:lang w:val="de-DE"/>
        </w:rPr>
        <w:t>im Rahmen der Erhaltungstherapie, Monat 17 und 20, i.th.</w:t>
      </w:r>
    </w:p>
    <w:p w14:paraId="5FC5C6DC" w14:textId="77777777" w:rsidR="005754D0" w:rsidRPr="00945E91" w:rsidRDefault="005754D0" w:rsidP="00D11A8E">
      <w:pPr>
        <w:pStyle w:val="Listenabsatz"/>
        <w:numPr>
          <w:ilvl w:val="0"/>
          <w:numId w:val="7"/>
        </w:num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416ADAE3" w14:textId="77777777" w:rsidR="005754D0" w:rsidRPr="00945E91" w:rsidRDefault="005754D0" w:rsidP="005754D0">
      <w:pPr>
        <w:pStyle w:val="Textkrper-Einzug2"/>
        <w:spacing w:after="0" w:line="276" w:lineRule="auto"/>
        <w:ind w:left="0"/>
        <w:jc w:val="left"/>
        <w:rPr>
          <w:rFonts w:asciiTheme="minorHAnsi" w:hAnsiTheme="minorHAnsi" w:cstheme="minorHAnsi"/>
          <w:b/>
          <w:sz w:val="24"/>
          <w:lang w:val="de-DE"/>
        </w:rPr>
      </w:pPr>
      <w:r w:rsidRPr="00945E91">
        <w:rPr>
          <w:rFonts w:asciiTheme="minorHAnsi" w:hAnsiTheme="minorHAnsi" w:cstheme="minorHAnsi"/>
          <w:b/>
          <w:sz w:val="24"/>
          <w:lang w:val="de-DE"/>
        </w:rPr>
        <w:lastRenderedPageBreak/>
        <w:t>Übersichtsplan für ältere Patienten (56-75 Jahre) mit Ph-negativer ALL</w:t>
      </w:r>
    </w:p>
    <w:p w14:paraId="3B5BFEB2"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r w:rsidRPr="00945E91">
        <w:rPr>
          <w:rFonts w:asciiTheme="minorHAnsi" w:hAnsiTheme="minorHAnsi" w:cstheme="minorHAnsi"/>
          <w:b/>
          <w:noProof/>
          <w:lang w:eastAsia="de-AT"/>
        </w:rPr>
        <w:drawing>
          <wp:inline distT="0" distB="0" distL="0" distR="0" wp14:anchorId="3E297697" wp14:editId="7E5B4E03">
            <wp:extent cx="5037771" cy="37490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3290" cy="3760589"/>
                    </a:xfrm>
                    <a:prstGeom prst="rect">
                      <a:avLst/>
                    </a:prstGeom>
                    <a:noFill/>
                    <a:ln>
                      <a:noFill/>
                    </a:ln>
                  </pic:spPr>
                </pic:pic>
              </a:graphicData>
            </a:graphic>
          </wp:inline>
        </w:drawing>
      </w:r>
    </w:p>
    <w:p w14:paraId="5346D066"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5EB5BBCF" w14:textId="77777777" w:rsidR="005754D0" w:rsidRPr="00945E91" w:rsidRDefault="005754D0" w:rsidP="005754D0">
      <w:pPr>
        <w:pStyle w:val="Textkrper-Einzug2"/>
        <w:spacing w:after="0" w:line="276" w:lineRule="auto"/>
        <w:ind w:left="0"/>
        <w:jc w:val="left"/>
        <w:rPr>
          <w:rFonts w:asciiTheme="minorHAnsi" w:hAnsiTheme="minorHAnsi" w:cstheme="minorHAnsi"/>
          <w:b/>
          <w:sz w:val="24"/>
          <w:lang w:val="de-DE"/>
        </w:rPr>
      </w:pPr>
      <w:r w:rsidRPr="00945E91">
        <w:rPr>
          <w:rFonts w:asciiTheme="minorHAnsi" w:hAnsiTheme="minorHAnsi" w:cstheme="minorHAnsi"/>
          <w:b/>
          <w:sz w:val="24"/>
          <w:lang w:val="de-DE"/>
        </w:rPr>
        <w:t>Übersichtsplan für ältere Patienten (56-75 Jahre) mit Ph-positiver ALL</w:t>
      </w:r>
    </w:p>
    <w:p w14:paraId="7CF2DD78"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r w:rsidRPr="00945E91">
        <w:rPr>
          <w:rFonts w:asciiTheme="minorHAnsi" w:hAnsiTheme="minorHAnsi" w:cstheme="minorHAnsi"/>
          <w:b/>
          <w:noProof/>
          <w:lang w:eastAsia="de-AT"/>
        </w:rPr>
        <w:drawing>
          <wp:inline distT="0" distB="0" distL="0" distR="0" wp14:anchorId="2F373D52" wp14:editId="7BE62387">
            <wp:extent cx="5034003" cy="397256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107" cy="3976588"/>
                    </a:xfrm>
                    <a:prstGeom prst="rect">
                      <a:avLst/>
                    </a:prstGeom>
                    <a:noFill/>
                    <a:ln>
                      <a:noFill/>
                    </a:ln>
                  </pic:spPr>
                </pic:pic>
              </a:graphicData>
            </a:graphic>
          </wp:inline>
        </w:drawing>
      </w:r>
    </w:p>
    <w:p w14:paraId="0C274CAB" w14:textId="77777777" w:rsidR="005754D0" w:rsidRPr="00945E91" w:rsidRDefault="005754D0" w:rsidP="005754D0">
      <w:pPr>
        <w:pStyle w:val="Textkrper-Einzug2"/>
        <w:spacing w:after="60" w:line="276" w:lineRule="auto"/>
        <w:ind w:left="0"/>
        <w:jc w:val="left"/>
        <w:rPr>
          <w:rFonts w:asciiTheme="minorHAnsi" w:hAnsiTheme="minorHAnsi" w:cstheme="minorHAnsi"/>
          <w:sz w:val="20"/>
          <w:lang w:val="de-DE"/>
        </w:rPr>
      </w:pPr>
      <w:r w:rsidRPr="00945E91">
        <w:rPr>
          <w:rFonts w:asciiTheme="minorHAnsi" w:hAnsiTheme="minorHAnsi" w:cstheme="minorHAnsi"/>
          <w:lang w:val="de-DE"/>
        </w:rPr>
        <w:t xml:space="preserve">Detailpläne zu den einzelnen Protokollphasen und der Übersichtsplan für die Erhaltungstherapie finden sich im Protokoll. </w:t>
      </w:r>
      <w:r w:rsidRPr="00945E91">
        <w:rPr>
          <w:rFonts w:asciiTheme="minorHAnsi" w:hAnsiTheme="minorHAnsi" w:cstheme="minorHAnsi"/>
          <w:sz w:val="20"/>
          <w:lang w:val="de-DE"/>
        </w:rPr>
        <w:t>Das Therapieansprechen ist in Kapitel 3.6 abgebildet.</w:t>
      </w:r>
      <w:r w:rsidRPr="00945E91">
        <w:rPr>
          <w:rFonts w:asciiTheme="minorHAnsi" w:hAnsiTheme="minorHAnsi" w:cstheme="minorHAnsi"/>
          <w:sz w:val="24"/>
          <w:lang w:val="de-DE"/>
        </w:rPr>
        <w:br w:type="page"/>
      </w:r>
    </w:p>
    <w:p w14:paraId="5AB4EA33" w14:textId="7FE250A6" w:rsidR="005754D0" w:rsidRPr="00945E91" w:rsidRDefault="00FC64BB" w:rsidP="00FC64BB">
      <w:pPr>
        <w:pStyle w:val="berschrift3"/>
        <w:rPr>
          <w:rFonts w:asciiTheme="minorHAnsi" w:hAnsiTheme="minorHAnsi" w:cstheme="minorHAnsi"/>
          <w:lang w:val="de-DE"/>
        </w:rPr>
      </w:pPr>
      <w:bookmarkStart w:id="51" w:name="_Toc74412412"/>
      <w:r w:rsidRPr="00945E91">
        <w:rPr>
          <w:rFonts w:asciiTheme="minorHAnsi" w:hAnsiTheme="minorHAnsi" w:cstheme="minorHAnsi"/>
          <w:lang w:val="de-DE"/>
        </w:rPr>
        <w:lastRenderedPageBreak/>
        <w:t>3.4.</w:t>
      </w:r>
      <w:r w:rsidR="000C7408" w:rsidRPr="00945E91">
        <w:rPr>
          <w:rFonts w:asciiTheme="minorHAnsi" w:hAnsiTheme="minorHAnsi" w:cstheme="minorHAnsi"/>
          <w:lang w:val="de-DE"/>
        </w:rPr>
        <w:t>4.</w:t>
      </w:r>
      <w:r w:rsidRPr="00945E91">
        <w:rPr>
          <w:rFonts w:asciiTheme="minorHAnsi" w:hAnsiTheme="minorHAnsi" w:cstheme="minorHAnsi"/>
          <w:lang w:val="de-DE"/>
        </w:rPr>
        <w:t xml:space="preserve"> </w:t>
      </w:r>
      <w:r w:rsidR="005754D0" w:rsidRPr="00945E91">
        <w:rPr>
          <w:rFonts w:asciiTheme="minorHAnsi" w:hAnsiTheme="minorHAnsi" w:cstheme="minorHAnsi"/>
          <w:lang w:val="de-DE"/>
        </w:rPr>
        <w:t>B-Vorläufer-ALL, T-ALL und B-/T-LBL für gebrechliche Patienten („frail“)</w:t>
      </w:r>
      <w:bookmarkEnd w:id="51"/>
    </w:p>
    <w:p w14:paraId="5F21D8E0"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3089E2FE"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Therapieempfehlung ist für Patienten, die die folgenden Kriterien erfüllen, konzipiert:</w:t>
      </w:r>
    </w:p>
    <w:p w14:paraId="34D5E70B" w14:textId="77777777" w:rsidR="005754D0" w:rsidRPr="00945E91" w:rsidRDefault="005754D0" w:rsidP="00D11A8E">
      <w:pPr>
        <w:pStyle w:val="Textkrper-Einzug2"/>
        <w:numPr>
          <w:ilvl w:val="0"/>
          <w:numId w:val="7"/>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Erstdiagnose einer ALL (BCR-ABL-positiv oder negativ)</w:t>
      </w:r>
    </w:p>
    <w:p w14:paraId="0D0D5064" w14:textId="77777777" w:rsidR="005754D0" w:rsidRPr="00945E91" w:rsidRDefault="005754D0" w:rsidP="00D11A8E">
      <w:pPr>
        <w:pStyle w:val="Textkrper-Einzug2"/>
        <w:numPr>
          <w:ilvl w:val="0"/>
          <w:numId w:val="7"/>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„frail“ Patient (d.h. ältere Patienten, die aufgrund von Begleiterkrankungen, Multimorbidität, reduziertem Allgemeinzustand, Patientenwunsch, etc. für eine mäßig intensive Chemotherapie nicht in Frage kommen)</w:t>
      </w:r>
    </w:p>
    <w:p w14:paraId="52D1B311" w14:textId="77777777" w:rsidR="005754D0" w:rsidRPr="00945E91" w:rsidRDefault="005754D0" w:rsidP="005754D0">
      <w:pPr>
        <w:pStyle w:val="Textkrper-Einzug2"/>
        <w:spacing w:line="276" w:lineRule="auto"/>
        <w:ind w:left="0"/>
        <w:jc w:val="left"/>
        <w:rPr>
          <w:rFonts w:asciiTheme="minorHAnsi" w:hAnsiTheme="minorHAnsi" w:cstheme="minorHAnsi"/>
          <w:lang w:val="de-DE"/>
        </w:rPr>
      </w:pPr>
      <w:r w:rsidRPr="00945E91">
        <w:rPr>
          <w:rFonts w:asciiTheme="minorHAnsi" w:hAnsiTheme="minorHAnsi" w:cstheme="minorHAnsi"/>
          <w:lang w:val="de-DE"/>
        </w:rPr>
        <w:t>Ziel ist eine weitgehend ambulant durchzuführende Therapie. Prophylaxen sind durchzuführen.</w:t>
      </w:r>
    </w:p>
    <w:p w14:paraId="51CF697E" w14:textId="77777777" w:rsidR="005754D0" w:rsidRPr="00945E91" w:rsidRDefault="005754D0" w:rsidP="005754D0">
      <w:pPr>
        <w:pStyle w:val="Textkrper-Einzug2"/>
        <w:spacing w:line="276" w:lineRule="auto"/>
        <w:ind w:left="0"/>
        <w:jc w:val="left"/>
        <w:rPr>
          <w:rFonts w:asciiTheme="minorHAnsi" w:hAnsiTheme="minorHAnsi" w:cstheme="minorHAnsi"/>
          <w:b/>
          <w:lang w:val="de-DE"/>
        </w:rPr>
      </w:pPr>
      <w:r w:rsidRPr="00945E91">
        <w:rPr>
          <w:rFonts w:asciiTheme="minorHAnsi" w:hAnsiTheme="minorHAnsi" w:cstheme="minorHAnsi"/>
          <w:b/>
          <w:lang w:val="de-DE"/>
        </w:rPr>
        <w:t>Übersichtsplan für BCR-ABL-positive und -negative Patienten mit ALL</w:t>
      </w:r>
    </w:p>
    <w:p w14:paraId="1D0EEA35" w14:textId="77777777" w:rsidR="005754D0" w:rsidRPr="00945E91" w:rsidRDefault="005754D0" w:rsidP="005754D0">
      <w:pPr>
        <w:pStyle w:val="Textkrper-Einzug2"/>
        <w:spacing w:line="276" w:lineRule="auto"/>
        <w:ind w:left="0"/>
        <w:jc w:val="left"/>
        <w:rPr>
          <w:rFonts w:asciiTheme="minorHAnsi" w:hAnsiTheme="minorHAnsi" w:cstheme="minorHAnsi"/>
          <w:lang w:val="de-DE"/>
        </w:rPr>
      </w:pPr>
      <w:r w:rsidRPr="00945E91">
        <w:rPr>
          <w:rFonts w:asciiTheme="minorHAnsi" w:hAnsiTheme="minorHAnsi" w:cstheme="minorHAnsi"/>
          <w:noProof/>
          <w:lang w:eastAsia="de-AT"/>
        </w:rPr>
        <w:drawing>
          <wp:inline distT="0" distB="0" distL="0" distR="0" wp14:anchorId="0AAA1C22" wp14:editId="3B05E83E">
            <wp:extent cx="5734655" cy="332232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4590" cy="3328076"/>
                    </a:xfrm>
                    <a:prstGeom prst="rect">
                      <a:avLst/>
                    </a:prstGeom>
                    <a:noFill/>
                    <a:ln>
                      <a:noFill/>
                    </a:ln>
                  </pic:spPr>
                </pic:pic>
              </a:graphicData>
            </a:graphic>
          </wp:inline>
        </w:drawing>
      </w:r>
    </w:p>
    <w:p w14:paraId="603BA827"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Die Therapie besteht in der Induktionsphase aus wöchentlichem Vincristin (VCR) +/- Daunorubicin. Bei präexistenter oder beginnender Neurotoxizität kann auf Cyclophosphamid gewechselt werden.</w:t>
      </w:r>
    </w:p>
    <w:p w14:paraId="6BAEC325"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2A81609F" w14:textId="78F2BDAC"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b/>
          <w:lang w:val="de-DE"/>
        </w:rPr>
        <w:t>Rituximab:</w:t>
      </w:r>
      <w:r w:rsidRPr="00945E91">
        <w:rPr>
          <w:rFonts w:asciiTheme="minorHAnsi" w:hAnsiTheme="minorHAnsi" w:cstheme="minorHAnsi"/>
          <w:lang w:val="de-DE"/>
        </w:rPr>
        <w:t xml:space="preserve"> Die Gabe von Rituximab ist in der GMALL-Konsensusempfehlung nicht vorgesehen. Jedoch erscheint der Einsatz von Rituximab zumindest bei Ph/</w:t>
      </w:r>
      <w:r w:rsidR="00F2483C">
        <w:rPr>
          <w:rFonts w:asciiTheme="minorHAnsi" w:hAnsiTheme="minorHAnsi" w:cstheme="minorHAnsi"/>
          <w:lang w:val="de-DE"/>
        </w:rPr>
        <w:t>BCR-ABL</w:t>
      </w:r>
      <w:r w:rsidRPr="00945E91">
        <w:rPr>
          <w:rFonts w:asciiTheme="minorHAnsi" w:hAnsiTheme="minorHAnsi" w:cstheme="minorHAnsi"/>
          <w:lang w:val="de-DE"/>
        </w:rPr>
        <w:t xml:space="preserve"> negativen Patienten mit einer CD20-Expression von mindestens 20% auch in dieser Patientengruppe </w:t>
      </w:r>
      <w:r w:rsidR="00F2483C" w:rsidRPr="00945E91">
        <w:rPr>
          <w:rFonts w:asciiTheme="minorHAnsi" w:hAnsiTheme="minorHAnsi" w:cstheme="minorHAnsi"/>
          <w:lang w:val="de-DE"/>
        </w:rPr>
        <w:t>gerechtfertigt</w:t>
      </w:r>
      <w:r w:rsidRPr="00945E91">
        <w:rPr>
          <w:rFonts w:asciiTheme="minorHAnsi" w:hAnsiTheme="minorHAnsi" w:cstheme="minorHAnsi"/>
          <w:lang w:val="de-DE"/>
        </w:rPr>
        <w:t>. Vorgesehen ist eine 3-wöchentliche Applikation von 375 mg/m</w:t>
      </w:r>
      <w:r w:rsidRPr="00945E91">
        <w:rPr>
          <w:rFonts w:asciiTheme="minorHAnsi" w:hAnsiTheme="minorHAnsi" w:cstheme="minorHAnsi"/>
          <w:vertAlign w:val="superscript"/>
          <w:lang w:val="de-DE"/>
        </w:rPr>
        <w:t>2</w:t>
      </w:r>
      <w:r w:rsidRPr="00945E91">
        <w:rPr>
          <w:rFonts w:asciiTheme="minorHAnsi" w:hAnsiTheme="minorHAnsi" w:cstheme="minorHAnsi"/>
          <w:lang w:val="de-DE"/>
        </w:rPr>
        <w:t xml:space="preserve"> Rituximab. Die Therapie kann am Tag der Chemotherapie gegeben werden.</w:t>
      </w:r>
    </w:p>
    <w:p w14:paraId="4064891B"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6BECA660"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b/>
          <w:lang w:val="de-DE"/>
        </w:rPr>
        <w:t xml:space="preserve">Dexamethason: </w:t>
      </w:r>
      <w:r w:rsidRPr="00945E91">
        <w:rPr>
          <w:rFonts w:asciiTheme="minorHAnsi" w:hAnsiTheme="minorHAnsi" w:cstheme="minorHAnsi"/>
          <w:lang w:val="de-DE"/>
        </w:rPr>
        <w:t>Die Dexamethason-Gesamttagesdosis (40mg abs.) wird auf drei Tagesdosen verteilt gegeben. Es sollten regelmäßige Blutzuckermessungen durchgeführt werden.</w:t>
      </w:r>
    </w:p>
    <w:p w14:paraId="70B79B58"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4ECF8384"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b/>
          <w:lang w:val="de-DE"/>
        </w:rPr>
        <w:t>Daunorubicin:</w:t>
      </w:r>
      <w:r w:rsidRPr="00945E91">
        <w:rPr>
          <w:rFonts w:asciiTheme="minorHAnsi" w:hAnsiTheme="minorHAnsi" w:cstheme="minorHAnsi"/>
          <w:lang w:val="de-DE"/>
        </w:rPr>
        <w:t xml:space="preserve"> Daunorubicin an Tag 13 und 27 nur wenn EF &gt;50% und ausreichender Allgemeinzustand</w:t>
      </w:r>
    </w:p>
    <w:p w14:paraId="09F5453C"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216DBFF4" w14:textId="77777777" w:rsidR="005754D0" w:rsidRPr="00945E91" w:rsidRDefault="005754D0" w:rsidP="005754D0">
      <w:pPr>
        <w:pStyle w:val="Textkrper-Einzug2"/>
        <w:spacing w:after="60" w:line="276" w:lineRule="auto"/>
        <w:ind w:left="0"/>
        <w:jc w:val="left"/>
        <w:rPr>
          <w:rFonts w:asciiTheme="minorHAnsi" w:hAnsiTheme="minorHAnsi" w:cstheme="minorHAnsi"/>
          <w:b/>
          <w:lang w:val="de-DE"/>
        </w:rPr>
      </w:pPr>
      <w:r w:rsidRPr="00945E91">
        <w:rPr>
          <w:rFonts w:asciiTheme="minorHAnsi" w:hAnsiTheme="minorHAnsi" w:cstheme="minorHAnsi"/>
          <w:b/>
          <w:lang w:val="de-DE"/>
        </w:rPr>
        <w:t xml:space="preserve">Beurteilung des Therapieansprechens </w:t>
      </w:r>
    </w:p>
    <w:p w14:paraId="0A69AD1D" w14:textId="77777777" w:rsidR="005754D0" w:rsidRPr="00945E91" w:rsidRDefault="005754D0" w:rsidP="005754D0">
      <w:pPr>
        <w:pStyle w:val="Textkrper-Einzug2"/>
        <w:spacing w:after="60" w:line="276" w:lineRule="auto"/>
        <w:ind w:left="0"/>
        <w:jc w:val="left"/>
        <w:rPr>
          <w:rFonts w:asciiTheme="minorHAnsi" w:hAnsiTheme="minorHAnsi" w:cstheme="minorHAnsi"/>
          <w:lang w:val="de-DE"/>
        </w:rPr>
      </w:pPr>
      <w:r w:rsidRPr="00945E91">
        <w:rPr>
          <w:rFonts w:asciiTheme="minorHAnsi" w:hAnsiTheme="minorHAnsi" w:cstheme="minorHAnsi"/>
          <w:lang w:val="de-DE"/>
        </w:rPr>
        <w:t>Die erste Remissionskontrolle mittels KMP erfolgt an Tag 34 (Ende der Induktion)</w:t>
      </w:r>
    </w:p>
    <w:p w14:paraId="3E8D00AF" w14:textId="13D0F112" w:rsidR="005754D0" w:rsidRPr="00945E91" w:rsidRDefault="005754D0" w:rsidP="00FC64BB">
      <w:pPr>
        <w:pStyle w:val="Textkrper-Einzug2"/>
        <w:spacing w:after="60" w:line="276" w:lineRule="auto"/>
        <w:ind w:left="0"/>
        <w:jc w:val="left"/>
        <w:rPr>
          <w:rFonts w:asciiTheme="minorHAnsi" w:hAnsiTheme="minorHAnsi" w:cstheme="minorHAnsi"/>
          <w:lang w:val="de-DE"/>
        </w:rPr>
      </w:pPr>
      <w:r w:rsidRPr="00945E91">
        <w:rPr>
          <w:rFonts w:asciiTheme="minorHAnsi" w:hAnsiTheme="minorHAnsi" w:cstheme="minorHAnsi"/>
          <w:lang w:val="de-DE"/>
        </w:rPr>
        <w:t>Die Beurteilung des Therapieansprechens ist in Kapitel 3.6 abgebildet.</w:t>
      </w:r>
      <w:r w:rsidRPr="00945E91">
        <w:rPr>
          <w:rFonts w:asciiTheme="minorHAnsi" w:hAnsiTheme="minorHAnsi" w:cstheme="minorHAnsi"/>
          <w:b/>
          <w:lang w:val="de-DE"/>
        </w:rPr>
        <w:br w:type="page"/>
      </w:r>
    </w:p>
    <w:p w14:paraId="425FFF68" w14:textId="18C73FDA" w:rsidR="005754D0" w:rsidRPr="00945E91" w:rsidRDefault="00FC64BB" w:rsidP="00FC64BB">
      <w:pPr>
        <w:pStyle w:val="berschrift2"/>
        <w:ind w:left="708" w:hanging="708"/>
        <w:rPr>
          <w:rFonts w:asciiTheme="minorHAnsi" w:hAnsiTheme="minorHAnsi" w:cstheme="minorHAnsi"/>
          <w:lang w:val="de-DE"/>
        </w:rPr>
      </w:pPr>
      <w:bookmarkStart w:id="52" w:name="_Toc74412413"/>
      <w:r w:rsidRPr="00945E91">
        <w:rPr>
          <w:rFonts w:asciiTheme="minorHAnsi" w:hAnsiTheme="minorHAnsi" w:cstheme="minorHAnsi"/>
          <w:lang w:val="de-DE"/>
        </w:rPr>
        <w:lastRenderedPageBreak/>
        <w:t xml:space="preserve">3.5. </w:t>
      </w:r>
      <w:r w:rsidR="005754D0" w:rsidRPr="00945E91">
        <w:rPr>
          <w:rFonts w:asciiTheme="minorHAnsi" w:hAnsiTheme="minorHAnsi" w:cstheme="minorHAnsi"/>
          <w:lang w:val="de-DE"/>
        </w:rPr>
        <w:t>Rezidiv</w:t>
      </w:r>
      <w:bookmarkEnd w:id="52"/>
    </w:p>
    <w:p w14:paraId="77D61DB5"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6C3E9C4A" w14:textId="5C905E89" w:rsidR="005754D0" w:rsidRPr="00945E91" w:rsidRDefault="00FC64BB" w:rsidP="00FC64BB">
      <w:pPr>
        <w:pStyle w:val="berschrift3"/>
        <w:rPr>
          <w:rFonts w:asciiTheme="minorHAnsi" w:hAnsiTheme="minorHAnsi" w:cstheme="minorHAnsi"/>
          <w:lang w:val="de-DE"/>
        </w:rPr>
      </w:pPr>
      <w:bookmarkStart w:id="53" w:name="_Toc74412414"/>
      <w:r w:rsidRPr="00945E91">
        <w:rPr>
          <w:rFonts w:asciiTheme="minorHAnsi" w:hAnsiTheme="minorHAnsi" w:cstheme="minorHAnsi"/>
          <w:lang w:val="de-DE"/>
        </w:rPr>
        <w:t xml:space="preserve">3.5.1. </w:t>
      </w:r>
      <w:r w:rsidR="005754D0" w:rsidRPr="00945E91">
        <w:rPr>
          <w:rFonts w:asciiTheme="minorHAnsi" w:hAnsiTheme="minorHAnsi" w:cstheme="minorHAnsi"/>
          <w:lang w:val="de-DE"/>
        </w:rPr>
        <w:t>Zeitpunkt des Rezidivs</w:t>
      </w:r>
      <w:bookmarkEnd w:id="53"/>
    </w:p>
    <w:tbl>
      <w:tblPr>
        <w:tblW w:w="9497" w:type="dxa"/>
        <w:tblInd w:w="1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18"/>
        <w:gridCol w:w="8079"/>
      </w:tblGrid>
      <w:tr w:rsidR="005754D0" w:rsidRPr="00945E91" w14:paraId="5483B1C5" w14:textId="77777777" w:rsidTr="005754D0">
        <w:trPr>
          <w:trHeight w:val="375"/>
        </w:trPr>
        <w:tc>
          <w:tcPr>
            <w:tcW w:w="1418" w:type="dxa"/>
          </w:tcPr>
          <w:p w14:paraId="38FEC6AF" w14:textId="77777777" w:rsidR="005754D0" w:rsidRPr="00945E91" w:rsidRDefault="005754D0" w:rsidP="005754D0">
            <w:pPr>
              <w:widowControl w:val="0"/>
              <w:autoSpaceDE w:val="0"/>
              <w:autoSpaceDN w:val="0"/>
              <w:spacing w:line="240" w:lineRule="auto"/>
              <w:ind w:left="107"/>
              <w:jc w:val="left"/>
              <w:rPr>
                <w:rFonts w:asciiTheme="minorHAnsi" w:eastAsia="Arial" w:hAnsiTheme="minorHAnsi" w:cstheme="minorHAnsi"/>
                <w:b/>
                <w:w w:val="95"/>
                <w:sz w:val="20"/>
                <w:lang w:val="de-DE" w:bidi="de-DE"/>
              </w:rPr>
            </w:pPr>
            <w:r w:rsidRPr="00945E91">
              <w:rPr>
                <w:rFonts w:asciiTheme="minorHAnsi" w:eastAsia="Arial" w:hAnsiTheme="minorHAnsi" w:cstheme="minorHAnsi"/>
                <w:b/>
                <w:w w:val="95"/>
                <w:sz w:val="20"/>
                <w:lang w:val="de-DE" w:bidi="de-DE"/>
              </w:rPr>
              <w:t xml:space="preserve">Frührezidiv </w:t>
            </w:r>
          </w:p>
        </w:tc>
        <w:tc>
          <w:tcPr>
            <w:tcW w:w="8079" w:type="dxa"/>
          </w:tcPr>
          <w:p w14:paraId="2118EE89" w14:textId="77777777" w:rsidR="005754D0" w:rsidRPr="00945E91" w:rsidRDefault="005754D0" w:rsidP="005754D0">
            <w:pPr>
              <w:widowControl w:val="0"/>
              <w:autoSpaceDE w:val="0"/>
              <w:autoSpaceDN w:val="0"/>
              <w:spacing w:line="240" w:lineRule="auto"/>
              <w:ind w:left="107"/>
              <w:jc w:val="left"/>
              <w:rPr>
                <w:rFonts w:asciiTheme="minorHAnsi" w:eastAsia="Arial" w:hAnsiTheme="minorHAnsi" w:cstheme="minorHAnsi"/>
                <w:w w:val="95"/>
                <w:sz w:val="20"/>
                <w:lang w:val="de-DE" w:bidi="de-DE"/>
              </w:rPr>
            </w:pPr>
            <w:r w:rsidRPr="00945E91">
              <w:rPr>
                <w:rFonts w:asciiTheme="minorHAnsi" w:eastAsia="Arial" w:hAnsiTheme="minorHAnsi" w:cstheme="minorHAnsi"/>
                <w:w w:val="95"/>
                <w:sz w:val="20"/>
                <w:lang w:val="de-DE" w:bidi="de-DE"/>
              </w:rPr>
              <w:t xml:space="preserve">Patienten, die mindestens Induktion I und II sowie Konsolidation I erhalten haben und das Rezidiv innerhalb von 18 Monaten seit Erstdiagnose bzw. unter intensiver Therapie erlitten haben </w:t>
            </w:r>
          </w:p>
        </w:tc>
      </w:tr>
      <w:tr w:rsidR="005754D0" w:rsidRPr="00945E91" w14:paraId="013C1B41" w14:textId="77777777" w:rsidTr="005754D0">
        <w:trPr>
          <w:trHeight w:val="236"/>
        </w:trPr>
        <w:tc>
          <w:tcPr>
            <w:tcW w:w="1418" w:type="dxa"/>
          </w:tcPr>
          <w:p w14:paraId="5B47AEA7" w14:textId="77777777" w:rsidR="005754D0" w:rsidRPr="00945E91" w:rsidRDefault="005754D0" w:rsidP="005754D0">
            <w:pPr>
              <w:widowControl w:val="0"/>
              <w:autoSpaceDE w:val="0"/>
              <w:autoSpaceDN w:val="0"/>
              <w:spacing w:line="240" w:lineRule="auto"/>
              <w:ind w:left="107"/>
              <w:jc w:val="left"/>
              <w:rPr>
                <w:rFonts w:asciiTheme="minorHAnsi" w:eastAsia="Arial" w:hAnsiTheme="minorHAnsi" w:cstheme="minorHAnsi"/>
                <w:b/>
                <w:w w:val="95"/>
                <w:sz w:val="20"/>
                <w:lang w:val="de-DE" w:bidi="de-DE"/>
              </w:rPr>
            </w:pPr>
            <w:r w:rsidRPr="00945E91">
              <w:rPr>
                <w:rFonts w:asciiTheme="minorHAnsi" w:eastAsia="Arial" w:hAnsiTheme="minorHAnsi" w:cstheme="minorHAnsi"/>
                <w:b/>
                <w:w w:val="95"/>
                <w:sz w:val="20"/>
                <w:lang w:val="de-DE" w:bidi="de-DE"/>
              </w:rPr>
              <w:t xml:space="preserve">Spätrezidiv </w:t>
            </w:r>
          </w:p>
        </w:tc>
        <w:tc>
          <w:tcPr>
            <w:tcW w:w="8079" w:type="dxa"/>
          </w:tcPr>
          <w:p w14:paraId="68041F92" w14:textId="77777777" w:rsidR="005754D0" w:rsidRPr="00945E91" w:rsidRDefault="005754D0" w:rsidP="005754D0">
            <w:pPr>
              <w:widowControl w:val="0"/>
              <w:autoSpaceDE w:val="0"/>
              <w:autoSpaceDN w:val="0"/>
              <w:spacing w:line="240" w:lineRule="auto"/>
              <w:ind w:left="107"/>
              <w:jc w:val="left"/>
              <w:rPr>
                <w:rFonts w:asciiTheme="minorHAnsi" w:eastAsia="Arial" w:hAnsiTheme="minorHAnsi" w:cstheme="minorHAnsi"/>
                <w:w w:val="95"/>
                <w:sz w:val="20"/>
                <w:lang w:val="de-DE" w:bidi="de-DE"/>
              </w:rPr>
            </w:pPr>
            <w:r w:rsidRPr="00945E91">
              <w:rPr>
                <w:rFonts w:asciiTheme="minorHAnsi" w:eastAsia="Arial" w:hAnsiTheme="minorHAnsi" w:cstheme="minorHAnsi"/>
                <w:w w:val="95"/>
                <w:sz w:val="20"/>
                <w:lang w:val="de-DE" w:bidi="de-DE"/>
              </w:rPr>
              <w:t xml:space="preserve">Patienten, die ihr Rezidiv mehr als 18 Monate nach Erstdiagnose bzw. erst unter Erhaltungstherapie oder nach Therapieende erleiden </w:t>
            </w:r>
          </w:p>
        </w:tc>
      </w:tr>
    </w:tbl>
    <w:p w14:paraId="79EE3FB6"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440F24AD" w14:textId="0B5CE563" w:rsidR="005754D0" w:rsidRPr="00945E91" w:rsidRDefault="00FC64BB" w:rsidP="00FC64BB">
      <w:pPr>
        <w:pStyle w:val="berschrift3"/>
        <w:rPr>
          <w:rFonts w:asciiTheme="minorHAnsi" w:hAnsiTheme="minorHAnsi" w:cstheme="minorHAnsi"/>
          <w:lang w:val="de-DE"/>
        </w:rPr>
      </w:pPr>
      <w:bookmarkStart w:id="54" w:name="_Toc74412415"/>
      <w:r w:rsidRPr="00945E91">
        <w:rPr>
          <w:rFonts w:asciiTheme="minorHAnsi" w:hAnsiTheme="minorHAnsi" w:cstheme="minorHAnsi"/>
          <w:lang w:val="de-DE"/>
        </w:rPr>
        <w:t xml:space="preserve">3.5.2. </w:t>
      </w:r>
      <w:r w:rsidR="005754D0" w:rsidRPr="00945E91">
        <w:rPr>
          <w:rFonts w:asciiTheme="minorHAnsi" w:hAnsiTheme="minorHAnsi" w:cstheme="minorHAnsi"/>
          <w:lang w:val="de-DE"/>
        </w:rPr>
        <w:t>Rezidivdiagnose</w:t>
      </w:r>
      <w:bookmarkEnd w:id="54"/>
    </w:p>
    <w:tbl>
      <w:tblPr>
        <w:tblStyle w:val="TableNormal10"/>
        <w:tblW w:w="9492" w:type="dxa"/>
        <w:tblInd w:w="125"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1E0" w:firstRow="1" w:lastRow="1" w:firstColumn="1" w:lastColumn="1" w:noHBand="0" w:noVBand="0"/>
      </w:tblPr>
      <w:tblGrid>
        <w:gridCol w:w="1440"/>
        <w:gridCol w:w="8052"/>
      </w:tblGrid>
      <w:tr w:rsidR="005754D0" w:rsidRPr="00945E91" w14:paraId="795EAA2C" w14:textId="77777777" w:rsidTr="005754D0">
        <w:trPr>
          <w:trHeight w:val="1617"/>
        </w:trPr>
        <w:tc>
          <w:tcPr>
            <w:tcW w:w="1440" w:type="dxa"/>
          </w:tcPr>
          <w:p w14:paraId="13FED419" w14:textId="77777777" w:rsidR="005754D0" w:rsidRPr="00945E91" w:rsidRDefault="005754D0" w:rsidP="005754D0">
            <w:pPr>
              <w:spacing w:line="240" w:lineRule="auto"/>
              <w:ind w:left="107"/>
              <w:jc w:val="left"/>
              <w:rPr>
                <w:rFonts w:asciiTheme="minorHAnsi" w:eastAsia="Arial" w:hAnsiTheme="minorHAnsi" w:cstheme="minorHAnsi"/>
                <w:b/>
                <w:w w:val="95"/>
                <w:sz w:val="20"/>
                <w:szCs w:val="20"/>
                <w:lang w:val="de-DE" w:bidi="de-DE"/>
              </w:rPr>
            </w:pPr>
            <w:r w:rsidRPr="00945E91">
              <w:rPr>
                <w:rFonts w:asciiTheme="minorHAnsi" w:eastAsia="Arial" w:hAnsiTheme="minorHAnsi" w:cstheme="minorHAnsi"/>
                <w:b/>
                <w:w w:val="95"/>
                <w:sz w:val="20"/>
                <w:szCs w:val="20"/>
                <w:lang w:val="de-DE" w:bidi="de-DE"/>
              </w:rPr>
              <w:t>Zytologisch/</w:t>
            </w:r>
          </w:p>
          <w:p w14:paraId="321B6EFE" w14:textId="77777777" w:rsidR="005754D0" w:rsidRPr="00945E91" w:rsidRDefault="005754D0" w:rsidP="005754D0">
            <w:pPr>
              <w:spacing w:line="240" w:lineRule="auto"/>
              <w:ind w:left="107"/>
              <w:jc w:val="left"/>
              <w:rPr>
                <w:rFonts w:asciiTheme="minorHAnsi" w:eastAsia="Arial" w:hAnsiTheme="minorHAnsi" w:cstheme="minorHAnsi"/>
                <w:b/>
                <w:sz w:val="20"/>
                <w:szCs w:val="20"/>
                <w:lang w:val="de-DE" w:bidi="de-DE"/>
              </w:rPr>
            </w:pPr>
            <w:r w:rsidRPr="00945E91">
              <w:rPr>
                <w:rFonts w:asciiTheme="minorHAnsi" w:eastAsia="Arial" w:hAnsiTheme="minorHAnsi" w:cstheme="minorHAnsi"/>
                <w:b/>
                <w:w w:val="95"/>
                <w:sz w:val="20"/>
                <w:szCs w:val="20"/>
                <w:lang w:val="de-DE" w:bidi="de-DE"/>
              </w:rPr>
              <w:t>Typisierung</w:t>
            </w:r>
          </w:p>
        </w:tc>
        <w:tc>
          <w:tcPr>
            <w:tcW w:w="8052" w:type="dxa"/>
          </w:tcPr>
          <w:p w14:paraId="617DCAAE" w14:textId="77777777" w:rsidR="005754D0" w:rsidRPr="00945E91" w:rsidRDefault="005754D0" w:rsidP="00D11A8E">
            <w:pPr>
              <w:numPr>
                <w:ilvl w:val="0"/>
                <w:numId w:val="24"/>
              </w:numPr>
              <w:tabs>
                <w:tab w:val="left" w:pos="428"/>
              </w:tabs>
              <w:spacing w:line="240" w:lineRule="auto"/>
              <w:ind w:hanging="31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Blasten im peripheren</w:t>
            </w:r>
            <w:r w:rsidRPr="00945E91">
              <w:rPr>
                <w:rFonts w:asciiTheme="minorHAnsi" w:eastAsia="Arial" w:hAnsiTheme="minorHAnsi" w:cstheme="minorHAnsi"/>
                <w:spacing w:val="-41"/>
                <w:sz w:val="20"/>
                <w:szCs w:val="20"/>
                <w:lang w:val="de-DE" w:bidi="de-DE"/>
              </w:rPr>
              <w:t xml:space="preserve"> </w:t>
            </w:r>
            <w:r w:rsidRPr="00945E91">
              <w:rPr>
                <w:rFonts w:asciiTheme="minorHAnsi" w:eastAsia="Arial" w:hAnsiTheme="minorHAnsi" w:cstheme="minorHAnsi"/>
                <w:sz w:val="20"/>
                <w:szCs w:val="20"/>
                <w:lang w:val="de-DE" w:bidi="de-DE"/>
              </w:rPr>
              <w:t>Blut</w:t>
            </w:r>
          </w:p>
          <w:p w14:paraId="31D56F32" w14:textId="77777777" w:rsidR="005754D0" w:rsidRPr="00945E91" w:rsidRDefault="005754D0" w:rsidP="00D11A8E">
            <w:pPr>
              <w:numPr>
                <w:ilvl w:val="0"/>
                <w:numId w:val="24"/>
              </w:numPr>
              <w:tabs>
                <w:tab w:val="left" w:pos="428"/>
              </w:tabs>
              <w:spacing w:line="240" w:lineRule="auto"/>
              <w:ind w:right="94" w:hanging="317"/>
              <w:jc w:val="left"/>
              <w:rPr>
                <w:rFonts w:asciiTheme="minorHAnsi" w:eastAsia="Arial" w:hAnsiTheme="minorHAnsi" w:cstheme="minorHAnsi"/>
                <w:sz w:val="20"/>
                <w:szCs w:val="20"/>
                <w:lang w:val="de-DE" w:bidi="de-DE"/>
              </w:rPr>
            </w:pPr>
            <w:r w:rsidRPr="00945E91">
              <w:rPr>
                <w:rFonts w:asciiTheme="minorHAnsi" w:eastAsia="Arial" w:hAnsiTheme="minorHAnsi" w:cstheme="minorHAnsi"/>
                <w:w w:val="95"/>
                <w:sz w:val="20"/>
                <w:szCs w:val="20"/>
                <w:lang w:val="de-DE" w:bidi="de-DE"/>
              </w:rPr>
              <w:t>≥5-20</w:t>
            </w:r>
            <w:r w:rsidRPr="00945E91">
              <w:rPr>
                <w:rFonts w:asciiTheme="minorHAnsi" w:eastAsia="Arial" w:hAnsiTheme="minorHAnsi" w:cstheme="minorHAnsi"/>
                <w:spacing w:val="-23"/>
                <w:w w:val="95"/>
                <w:sz w:val="20"/>
                <w:szCs w:val="20"/>
                <w:lang w:val="de-DE" w:bidi="de-DE"/>
              </w:rPr>
              <w:t xml:space="preserve"> </w:t>
            </w:r>
            <w:r w:rsidRPr="00945E91">
              <w:rPr>
                <w:rFonts w:asciiTheme="minorHAnsi" w:eastAsia="Arial" w:hAnsiTheme="minorHAnsi" w:cstheme="minorHAnsi"/>
                <w:w w:val="95"/>
                <w:sz w:val="20"/>
                <w:szCs w:val="20"/>
                <w:lang w:val="de-DE" w:bidi="de-DE"/>
              </w:rPr>
              <w:t>%</w:t>
            </w:r>
            <w:r w:rsidRPr="00945E91">
              <w:rPr>
                <w:rFonts w:asciiTheme="minorHAnsi" w:eastAsia="Arial" w:hAnsiTheme="minorHAnsi" w:cstheme="minorHAnsi"/>
                <w:spacing w:val="-23"/>
                <w:w w:val="95"/>
                <w:sz w:val="20"/>
                <w:szCs w:val="20"/>
                <w:lang w:val="de-DE" w:bidi="de-DE"/>
              </w:rPr>
              <w:t xml:space="preserve"> </w:t>
            </w:r>
            <w:r w:rsidRPr="00945E91">
              <w:rPr>
                <w:rFonts w:asciiTheme="minorHAnsi" w:eastAsia="Arial" w:hAnsiTheme="minorHAnsi" w:cstheme="minorHAnsi"/>
                <w:w w:val="95"/>
                <w:sz w:val="20"/>
                <w:szCs w:val="20"/>
                <w:lang w:val="de-DE" w:bidi="de-DE"/>
              </w:rPr>
              <w:t>Blasten</w:t>
            </w:r>
            <w:r w:rsidRPr="00945E91">
              <w:rPr>
                <w:rFonts w:asciiTheme="minorHAnsi" w:eastAsia="Arial" w:hAnsiTheme="minorHAnsi" w:cstheme="minorHAnsi"/>
                <w:spacing w:val="-23"/>
                <w:w w:val="95"/>
                <w:sz w:val="20"/>
                <w:szCs w:val="20"/>
                <w:lang w:val="de-DE" w:bidi="de-DE"/>
              </w:rPr>
              <w:t xml:space="preserve"> </w:t>
            </w:r>
            <w:r w:rsidRPr="00945E91">
              <w:rPr>
                <w:rFonts w:asciiTheme="minorHAnsi" w:eastAsia="Arial" w:hAnsiTheme="minorHAnsi" w:cstheme="minorHAnsi"/>
                <w:w w:val="95"/>
                <w:sz w:val="20"/>
                <w:szCs w:val="20"/>
                <w:lang w:val="de-DE" w:bidi="de-DE"/>
              </w:rPr>
              <w:t>im</w:t>
            </w:r>
            <w:r w:rsidRPr="00945E91">
              <w:rPr>
                <w:rFonts w:asciiTheme="minorHAnsi" w:eastAsia="Arial" w:hAnsiTheme="minorHAnsi" w:cstheme="minorHAnsi"/>
                <w:spacing w:val="-24"/>
                <w:w w:val="95"/>
                <w:sz w:val="20"/>
                <w:szCs w:val="20"/>
                <w:lang w:val="de-DE" w:bidi="de-DE"/>
              </w:rPr>
              <w:t xml:space="preserve"> </w:t>
            </w:r>
            <w:r w:rsidRPr="00945E91">
              <w:rPr>
                <w:rFonts w:asciiTheme="minorHAnsi" w:eastAsia="Arial" w:hAnsiTheme="minorHAnsi" w:cstheme="minorHAnsi"/>
                <w:w w:val="95"/>
                <w:sz w:val="20"/>
                <w:szCs w:val="20"/>
                <w:lang w:val="de-DE" w:bidi="de-DE"/>
              </w:rPr>
              <w:t>Knochenmark</w:t>
            </w:r>
            <w:r w:rsidRPr="00945E91">
              <w:rPr>
                <w:rFonts w:asciiTheme="minorHAnsi" w:eastAsia="Arial" w:hAnsiTheme="minorHAnsi" w:cstheme="minorHAnsi"/>
                <w:spacing w:val="-24"/>
                <w:w w:val="95"/>
                <w:sz w:val="20"/>
                <w:szCs w:val="20"/>
                <w:lang w:val="de-DE" w:bidi="de-DE"/>
              </w:rPr>
              <w:t xml:space="preserve"> </w:t>
            </w:r>
            <w:r w:rsidRPr="00945E91">
              <w:rPr>
                <w:rFonts w:asciiTheme="minorHAnsi" w:eastAsia="Arial" w:hAnsiTheme="minorHAnsi" w:cstheme="minorHAnsi"/>
                <w:w w:val="95"/>
                <w:sz w:val="20"/>
                <w:szCs w:val="20"/>
                <w:lang w:val="de-DE" w:bidi="de-DE"/>
              </w:rPr>
              <w:t>(bei</w:t>
            </w:r>
            <w:r w:rsidRPr="00945E91">
              <w:rPr>
                <w:rFonts w:asciiTheme="minorHAnsi" w:eastAsia="Arial" w:hAnsiTheme="minorHAnsi" w:cstheme="minorHAnsi"/>
                <w:spacing w:val="-24"/>
                <w:w w:val="95"/>
                <w:sz w:val="20"/>
                <w:szCs w:val="20"/>
                <w:lang w:val="de-DE" w:bidi="de-DE"/>
              </w:rPr>
              <w:t xml:space="preserve"> </w:t>
            </w:r>
            <w:r w:rsidRPr="00945E91">
              <w:rPr>
                <w:rFonts w:asciiTheme="minorHAnsi" w:eastAsia="Arial" w:hAnsiTheme="minorHAnsi" w:cstheme="minorHAnsi"/>
                <w:w w:val="95"/>
                <w:sz w:val="20"/>
                <w:szCs w:val="20"/>
                <w:lang w:val="de-DE" w:bidi="de-DE"/>
              </w:rPr>
              <w:t>grenzwertigem</w:t>
            </w:r>
            <w:r w:rsidRPr="00945E91">
              <w:rPr>
                <w:rFonts w:asciiTheme="minorHAnsi" w:eastAsia="Arial" w:hAnsiTheme="minorHAnsi" w:cstheme="minorHAnsi"/>
                <w:spacing w:val="-22"/>
                <w:w w:val="95"/>
                <w:sz w:val="20"/>
                <w:szCs w:val="20"/>
                <w:lang w:val="de-DE" w:bidi="de-DE"/>
              </w:rPr>
              <w:t xml:space="preserve"> </w:t>
            </w:r>
            <w:r w:rsidRPr="00945E91">
              <w:rPr>
                <w:rFonts w:asciiTheme="minorHAnsi" w:eastAsia="Arial" w:hAnsiTheme="minorHAnsi" w:cstheme="minorHAnsi"/>
                <w:w w:val="95"/>
                <w:sz w:val="20"/>
                <w:szCs w:val="20"/>
                <w:lang w:val="de-DE" w:bidi="de-DE"/>
              </w:rPr>
              <w:t xml:space="preserve">Knochenmarkbefall </w:t>
            </w:r>
            <w:r w:rsidRPr="00945E91">
              <w:rPr>
                <w:rFonts w:asciiTheme="minorHAnsi" w:eastAsia="Arial" w:hAnsiTheme="minorHAnsi" w:cstheme="minorHAnsi"/>
                <w:sz w:val="20"/>
                <w:szCs w:val="20"/>
                <w:lang w:val="de-DE" w:bidi="de-DE"/>
              </w:rPr>
              <w:t>von 5-20% insbesondere in der Regeneration empfiehlt sich eine Wiederholung der Knochenmark-punktion und ein Abgleich mit Immunphänotypisierung und/oder</w:t>
            </w:r>
            <w:r w:rsidRPr="00945E91">
              <w:rPr>
                <w:rFonts w:asciiTheme="minorHAnsi" w:eastAsia="Arial" w:hAnsiTheme="minorHAnsi" w:cstheme="minorHAnsi"/>
                <w:spacing w:val="-40"/>
                <w:sz w:val="20"/>
                <w:szCs w:val="20"/>
                <w:lang w:val="de-DE" w:bidi="de-DE"/>
              </w:rPr>
              <w:t xml:space="preserve"> </w:t>
            </w:r>
            <w:r w:rsidRPr="00945E91">
              <w:rPr>
                <w:rFonts w:asciiTheme="minorHAnsi" w:eastAsia="Arial" w:hAnsiTheme="minorHAnsi" w:cstheme="minorHAnsi"/>
                <w:sz w:val="20"/>
                <w:szCs w:val="20"/>
                <w:lang w:val="de-DE" w:bidi="de-DE"/>
              </w:rPr>
              <w:t>MRD-Analyse)</w:t>
            </w:r>
          </w:p>
          <w:p w14:paraId="64179FE9" w14:textId="77777777" w:rsidR="005754D0" w:rsidRPr="00945E91" w:rsidRDefault="005754D0" w:rsidP="005754D0">
            <w:pPr>
              <w:spacing w:line="240" w:lineRule="auto"/>
              <w:ind w:left="110" w:right="83"/>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Cave:</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Der</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Rezidivnachweis</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durch</w:t>
            </w:r>
            <w:r w:rsidRPr="00945E91">
              <w:rPr>
                <w:rFonts w:asciiTheme="minorHAnsi" w:eastAsia="Arial" w:hAnsiTheme="minorHAnsi" w:cstheme="minorHAnsi"/>
                <w:spacing w:val="-11"/>
                <w:sz w:val="20"/>
                <w:szCs w:val="20"/>
                <w:lang w:val="de-DE" w:bidi="de-DE"/>
              </w:rPr>
              <w:t xml:space="preserve"> </w:t>
            </w:r>
            <w:r w:rsidRPr="00945E91">
              <w:rPr>
                <w:rFonts w:asciiTheme="minorHAnsi" w:eastAsia="Arial" w:hAnsiTheme="minorHAnsi" w:cstheme="minorHAnsi"/>
                <w:sz w:val="20"/>
                <w:szCs w:val="20"/>
                <w:lang w:val="de-DE" w:bidi="de-DE"/>
              </w:rPr>
              <w:t>Bestimmung</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des</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Blastenanteils</w:t>
            </w:r>
            <w:r w:rsidRPr="00945E91">
              <w:rPr>
                <w:rFonts w:asciiTheme="minorHAnsi" w:eastAsia="Arial" w:hAnsiTheme="minorHAnsi" w:cstheme="minorHAnsi"/>
                <w:spacing w:val="-10"/>
                <w:sz w:val="20"/>
                <w:szCs w:val="20"/>
                <w:lang w:val="de-DE" w:bidi="de-DE"/>
              </w:rPr>
              <w:t xml:space="preserve"> </w:t>
            </w:r>
            <w:r w:rsidRPr="00945E91">
              <w:rPr>
                <w:rFonts w:asciiTheme="minorHAnsi" w:eastAsia="Arial" w:hAnsiTheme="minorHAnsi" w:cstheme="minorHAnsi"/>
                <w:sz w:val="20"/>
                <w:szCs w:val="20"/>
                <w:lang w:val="de-DE" w:bidi="de-DE"/>
              </w:rPr>
              <w:t>erfolgt primär</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zytologisch</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w:t>
            </w:r>
            <w:r w:rsidRPr="00945E91">
              <w:rPr>
                <w:rFonts w:asciiTheme="minorHAnsi" w:eastAsia="Arial" w:hAnsiTheme="minorHAnsi" w:cstheme="minorHAnsi"/>
                <w:spacing w:val="-17"/>
                <w:sz w:val="20"/>
                <w:szCs w:val="20"/>
                <w:lang w:val="de-DE" w:bidi="de-DE"/>
              </w:rPr>
              <w:t xml:space="preserve"> </w:t>
            </w:r>
            <w:r w:rsidRPr="00945E91">
              <w:rPr>
                <w:rFonts w:asciiTheme="minorHAnsi" w:eastAsia="Arial" w:hAnsiTheme="minorHAnsi" w:cstheme="minorHAnsi"/>
                <w:sz w:val="20"/>
                <w:szCs w:val="20"/>
                <w:lang w:val="de-DE" w:bidi="de-DE"/>
              </w:rPr>
              <w:t>und</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wegen</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der</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fehlenden</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lang w:val="de-DE" w:bidi="de-DE"/>
              </w:rPr>
              <w:t>Standardisierung</w:t>
            </w:r>
            <w:r w:rsidRPr="00945E91">
              <w:rPr>
                <w:rFonts w:asciiTheme="minorHAnsi" w:eastAsia="Arial" w:hAnsiTheme="minorHAnsi" w:cstheme="minorHAnsi"/>
                <w:spacing w:val="-18"/>
                <w:sz w:val="20"/>
                <w:szCs w:val="20"/>
                <w:lang w:val="de-DE" w:bidi="de-DE"/>
              </w:rPr>
              <w:t xml:space="preserve"> </w:t>
            </w:r>
            <w:r w:rsidRPr="00945E91">
              <w:rPr>
                <w:rFonts w:asciiTheme="minorHAnsi" w:eastAsia="Arial" w:hAnsiTheme="minorHAnsi" w:cstheme="minorHAnsi"/>
                <w:sz w:val="20"/>
                <w:szCs w:val="20"/>
                <w:u w:val="single"/>
                <w:lang w:val="de-DE" w:bidi="de-DE"/>
              </w:rPr>
              <w:t>nicht</w:t>
            </w:r>
            <w:r w:rsidRPr="00945E91">
              <w:rPr>
                <w:rFonts w:asciiTheme="minorHAnsi" w:eastAsia="Arial" w:hAnsiTheme="minorHAnsi" w:cstheme="minorHAnsi"/>
                <w:spacing w:val="-17"/>
                <w:sz w:val="20"/>
                <w:szCs w:val="20"/>
                <w:lang w:val="de-DE" w:bidi="de-DE"/>
              </w:rPr>
              <w:t xml:space="preserve"> </w:t>
            </w:r>
            <w:r w:rsidRPr="00945E91">
              <w:rPr>
                <w:rFonts w:asciiTheme="minorHAnsi" w:eastAsia="Arial" w:hAnsiTheme="minorHAnsi" w:cstheme="minorHAnsi"/>
                <w:sz w:val="20"/>
                <w:szCs w:val="20"/>
                <w:lang w:val="de-DE" w:bidi="de-DE"/>
              </w:rPr>
              <w:t>mit Hilfe der Immunphänotypisierung.</w:t>
            </w:r>
          </w:p>
        </w:tc>
      </w:tr>
      <w:tr w:rsidR="005754D0" w:rsidRPr="00945E91" w14:paraId="77AFBCAA" w14:textId="77777777" w:rsidTr="005754D0">
        <w:trPr>
          <w:trHeight w:val="805"/>
        </w:trPr>
        <w:tc>
          <w:tcPr>
            <w:tcW w:w="1440" w:type="dxa"/>
          </w:tcPr>
          <w:p w14:paraId="3FB355D7" w14:textId="77777777" w:rsidR="005754D0" w:rsidRPr="00945E91" w:rsidRDefault="005754D0" w:rsidP="005754D0">
            <w:pPr>
              <w:spacing w:line="240" w:lineRule="auto"/>
              <w:ind w:left="107"/>
              <w:jc w:val="left"/>
              <w:rPr>
                <w:rFonts w:asciiTheme="minorHAnsi" w:eastAsia="Arial" w:hAnsiTheme="minorHAnsi" w:cstheme="minorHAnsi"/>
                <w:b/>
                <w:sz w:val="20"/>
                <w:szCs w:val="20"/>
                <w:lang w:val="de-DE" w:bidi="de-DE"/>
              </w:rPr>
            </w:pPr>
            <w:r w:rsidRPr="00945E91">
              <w:rPr>
                <w:rFonts w:asciiTheme="minorHAnsi" w:eastAsia="Arial" w:hAnsiTheme="minorHAnsi" w:cstheme="minorHAnsi"/>
                <w:b/>
                <w:sz w:val="20"/>
                <w:szCs w:val="20"/>
                <w:lang w:val="de-DE" w:bidi="de-DE"/>
              </w:rPr>
              <w:t>Molekular</w:t>
            </w:r>
          </w:p>
        </w:tc>
        <w:tc>
          <w:tcPr>
            <w:tcW w:w="8052" w:type="dxa"/>
          </w:tcPr>
          <w:p w14:paraId="5DF0FCAF" w14:textId="77777777" w:rsidR="005754D0" w:rsidRPr="00945E91" w:rsidRDefault="005754D0" w:rsidP="005754D0">
            <w:pPr>
              <w:spacing w:line="240" w:lineRule="auto"/>
              <w:ind w:left="110" w:right="7"/>
              <w:jc w:val="left"/>
              <w:rPr>
                <w:rFonts w:asciiTheme="minorHAnsi" w:eastAsia="Arial" w:hAnsiTheme="minorHAnsi" w:cstheme="minorHAnsi"/>
                <w:sz w:val="20"/>
                <w:szCs w:val="20"/>
                <w:lang w:val="de-DE" w:bidi="de-DE"/>
              </w:rPr>
            </w:pPr>
            <w:r w:rsidRPr="00945E91">
              <w:rPr>
                <w:rFonts w:asciiTheme="minorHAnsi" w:eastAsia="Arial" w:hAnsiTheme="minorHAnsi" w:cstheme="minorHAnsi"/>
                <w:w w:val="95"/>
                <w:sz w:val="20"/>
                <w:szCs w:val="20"/>
                <w:lang w:val="de-DE" w:bidi="de-DE"/>
              </w:rPr>
              <w:t xml:space="preserve">Nachweis von minimaler Resterkrankung im Knochenmark auf einem Niveau </w:t>
            </w:r>
            <w:r w:rsidRPr="00945E91">
              <w:rPr>
                <w:rFonts w:asciiTheme="minorHAnsi" w:eastAsia="Arial" w:hAnsiTheme="minorHAnsi" w:cstheme="minorHAnsi"/>
                <w:sz w:val="20"/>
                <w:szCs w:val="20"/>
                <w:lang w:val="de-DE" w:bidi="de-DE"/>
              </w:rPr>
              <w:t>über 10</w:t>
            </w:r>
            <w:r w:rsidRPr="00945E91">
              <w:rPr>
                <w:rFonts w:asciiTheme="minorHAnsi" w:eastAsia="Arial" w:hAnsiTheme="minorHAnsi" w:cstheme="minorHAnsi"/>
                <w:sz w:val="20"/>
                <w:szCs w:val="20"/>
                <w:vertAlign w:val="superscript"/>
                <w:lang w:val="de-DE" w:bidi="de-DE"/>
              </w:rPr>
              <w:t>-4</w:t>
            </w:r>
            <w:r w:rsidRPr="00945E91">
              <w:rPr>
                <w:rFonts w:asciiTheme="minorHAnsi" w:eastAsia="Arial" w:hAnsiTheme="minorHAnsi" w:cstheme="minorHAnsi"/>
                <w:sz w:val="20"/>
                <w:szCs w:val="20"/>
                <w:lang w:val="de-DE" w:bidi="de-DE"/>
              </w:rPr>
              <w:t xml:space="preserve"> im quantifizierbaren Bereich mittels PCR von individuellen</w:t>
            </w:r>
          </w:p>
          <w:p w14:paraId="011AAEC7" w14:textId="77777777" w:rsidR="005754D0" w:rsidRPr="00945E91" w:rsidRDefault="005754D0" w:rsidP="005754D0">
            <w:pPr>
              <w:spacing w:line="240" w:lineRule="auto"/>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Rearrangements (Brüggemann 2010)</w:t>
            </w:r>
          </w:p>
        </w:tc>
      </w:tr>
      <w:tr w:rsidR="005754D0" w:rsidRPr="00945E91" w14:paraId="6F9FFF29" w14:textId="77777777" w:rsidTr="005754D0">
        <w:trPr>
          <w:trHeight w:val="1585"/>
        </w:trPr>
        <w:tc>
          <w:tcPr>
            <w:tcW w:w="1440" w:type="dxa"/>
          </w:tcPr>
          <w:p w14:paraId="2BE5C4B0" w14:textId="77777777" w:rsidR="005754D0" w:rsidRPr="00945E91" w:rsidRDefault="005754D0" w:rsidP="005754D0">
            <w:pPr>
              <w:spacing w:line="240" w:lineRule="auto"/>
              <w:ind w:left="107"/>
              <w:jc w:val="left"/>
              <w:rPr>
                <w:rFonts w:asciiTheme="minorHAnsi" w:eastAsia="Arial" w:hAnsiTheme="minorHAnsi" w:cstheme="minorHAnsi"/>
                <w:b/>
                <w:sz w:val="20"/>
                <w:szCs w:val="20"/>
                <w:lang w:val="de-DE" w:bidi="de-DE"/>
              </w:rPr>
            </w:pPr>
            <w:bookmarkStart w:id="55" w:name="_bookmark8"/>
            <w:bookmarkStart w:id="56" w:name="_bookmark9"/>
            <w:bookmarkEnd w:id="55"/>
            <w:bookmarkEnd w:id="56"/>
            <w:r w:rsidRPr="00945E91">
              <w:rPr>
                <w:rFonts w:asciiTheme="minorHAnsi" w:eastAsia="Arial" w:hAnsiTheme="minorHAnsi" w:cstheme="minorHAnsi"/>
                <w:b/>
                <w:w w:val="90"/>
                <w:sz w:val="20"/>
                <w:szCs w:val="20"/>
                <w:lang w:val="de-DE" w:bidi="de-DE"/>
              </w:rPr>
              <w:t>ZNS</w:t>
            </w:r>
          </w:p>
        </w:tc>
        <w:tc>
          <w:tcPr>
            <w:tcW w:w="8052" w:type="dxa"/>
          </w:tcPr>
          <w:p w14:paraId="28B76DC7" w14:textId="5DCC1E59" w:rsidR="005754D0" w:rsidRPr="00F2483C" w:rsidRDefault="005754D0" w:rsidP="00D11A8E">
            <w:pPr>
              <w:numPr>
                <w:ilvl w:val="0"/>
                <w:numId w:val="23"/>
              </w:numPr>
              <w:tabs>
                <w:tab w:val="left" w:pos="428"/>
              </w:tabs>
              <w:spacing w:line="240" w:lineRule="auto"/>
              <w:ind w:hanging="317"/>
              <w:jc w:val="left"/>
              <w:rPr>
                <w:rFonts w:asciiTheme="minorHAnsi" w:eastAsia="Arial" w:hAnsiTheme="minorHAnsi" w:cstheme="minorHAnsi"/>
                <w:w w:val="95"/>
                <w:sz w:val="20"/>
                <w:szCs w:val="20"/>
                <w:lang w:val="de-DE" w:bidi="de-DE"/>
              </w:rPr>
            </w:pPr>
            <w:r w:rsidRPr="00F2483C">
              <w:rPr>
                <w:rFonts w:asciiTheme="minorHAnsi" w:eastAsia="Arial" w:hAnsiTheme="minorHAnsi" w:cstheme="minorHAnsi"/>
                <w:w w:val="95"/>
                <w:sz w:val="20"/>
                <w:szCs w:val="20"/>
                <w:lang w:val="de-DE" w:bidi="de-DE"/>
              </w:rPr>
              <w:t>&gt;5 Zellen/μl</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und</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eindeutiger</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morphologischer</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Nachweis</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von</w:t>
            </w:r>
            <w:r w:rsidR="00F2483C">
              <w:rPr>
                <w:rFonts w:asciiTheme="minorHAnsi" w:eastAsia="Arial" w:hAnsiTheme="minorHAnsi" w:cstheme="minorHAnsi"/>
                <w:w w:val="95"/>
                <w:sz w:val="20"/>
                <w:szCs w:val="20"/>
                <w:lang w:val="de-DE" w:bidi="de-DE"/>
              </w:rPr>
              <w:t xml:space="preserve"> </w:t>
            </w:r>
            <w:r w:rsidRPr="00F2483C">
              <w:rPr>
                <w:rFonts w:asciiTheme="minorHAnsi" w:eastAsia="Arial" w:hAnsiTheme="minorHAnsi" w:cstheme="minorHAnsi"/>
                <w:w w:val="95"/>
                <w:sz w:val="20"/>
                <w:szCs w:val="20"/>
                <w:lang w:val="de-DE" w:bidi="de-DE"/>
              </w:rPr>
              <w:t>Blasten</w:t>
            </w:r>
          </w:p>
          <w:p w14:paraId="1FFB3CF8" w14:textId="77777777" w:rsidR="005754D0" w:rsidRPr="00945E91" w:rsidRDefault="005754D0" w:rsidP="00D11A8E">
            <w:pPr>
              <w:numPr>
                <w:ilvl w:val="0"/>
                <w:numId w:val="23"/>
              </w:numPr>
              <w:tabs>
                <w:tab w:val="left" w:pos="428"/>
              </w:tabs>
              <w:spacing w:line="240" w:lineRule="auto"/>
              <w:ind w:hanging="317"/>
              <w:jc w:val="left"/>
              <w:rPr>
                <w:rFonts w:asciiTheme="minorHAnsi" w:eastAsia="Arial" w:hAnsiTheme="minorHAnsi" w:cstheme="minorHAnsi"/>
                <w:sz w:val="20"/>
                <w:szCs w:val="20"/>
                <w:lang w:val="de-DE" w:bidi="de-DE"/>
              </w:rPr>
            </w:pPr>
            <w:r w:rsidRPr="00945E91">
              <w:rPr>
                <w:rFonts w:asciiTheme="minorHAnsi" w:eastAsia="Arial" w:hAnsiTheme="minorHAnsi" w:cstheme="minorHAnsi"/>
                <w:w w:val="95"/>
                <w:sz w:val="20"/>
                <w:szCs w:val="20"/>
                <w:lang w:val="de-DE" w:bidi="de-DE"/>
              </w:rPr>
              <w:t>Nachweis</w:t>
            </w:r>
            <w:r w:rsidRPr="00945E91">
              <w:rPr>
                <w:rFonts w:asciiTheme="minorHAnsi" w:eastAsia="Arial" w:hAnsiTheme="minorHAnsi" w:cstheme="minorHAnsi"/>
                <w:spacing w:val="-27"/>
                <w:w w:val="95"/>
                <w:sz w:val="20"/>
                <w:szCs w:val="20"/>
                <w:lang w:val="de-DE" w:bidi="de-DE"/>
              </w:rPr>
              <w:t xml:space="preserve"> </w:t>
            </w:r>
            <w:r w:rsidRPr="00945E91">
              <w:rPr>
                <w:rFonts w:asciiTheme="minorHAnsi" w:eastAsia="Arial" w:hAnsiTheme="minorHAnsi" w:cstheme="minorHAnsi"/>
                <w:w w:val="95"/>
                <w:sz w:val="20"/>
                <w:szCs w:val="20"/>
                <w:lang w:val="de-DE" w:bidi="de-DE"/>
              </w:rPr>
              <w:t>von</w:t>
            </w:r>
            <w:r w:rsidRPr="00945E91">
              <w:rPr>
                <w:rFonts w:asciiTheme="minorHAnsi" w:eastAsia="Arial" w:hAnsiTheme="minorHAnsi" w:cstheme="minorHAnsi"/>
                <w:spacing w:val="-27"/>
                <w:w w:val="95"/>
                <w:sz w:val="20"/>
                <w:szCs w:val="20"/>
                <w:lang w:val="de-DE" w:bidi="de-DE"/>
              </w:rPr>
              <w:t xml:space="preserve"> </w:t>
            </w:r>
            <w:r w:rsidRPr="00945E91">
              <w:rPr>
                <w:rFonts w:asciiTheme="minorHAnsi" w:eastAsia="Arial" w:hAnsiTheme="minorHAnsi" w:cstheme="minorHAnsi"/>
                <w:w w:val="95"/>
                <w:sz w:val="20"/>
                <w:szCs w:val="20"/>
                <w:lang w:val="de-DE" w:bidi="de-DE"/>
              </w:rPr>
              <w:t>Leukämiebefall</w:t>
            </w:r>
            <w:r w:rsidRPr="00945E91">
              <w:rPr>
                <w:rFonts w:asciiTheme="minorHAnsi" w:eastAsia="Arial" w:hAnsiTheme="minorHAnsi" w:cstheme="minorHAnsi"/>
                <w:spacing w:val="-25"/>
                <w:w w:val="95"/>
                <w:sz w:val="20"/>
                <w:szCs w:val="20"/>
                <w:lang w:val="de-DE" w:bidi="de-DE"/>
              </w:rPr>
              <w:t xml:space="preserve"> </w:t>
            </w:r>
            <w:r w:rsidRPr="00945E91">
              <w:rPr>
                <w:rFonts w:asciiTheme="minorHAnsi" w:eastAsia="Arial" w:hAnsiTheme="minorHAnsi" w:cstheme="minorHAnsi"/>
                <w:w w:val="95"/>
                <w:sz w:val="20"/>
                <w:szCs w:val="20"/>
                <w:lang w:val="de-DE" w:bidi="de-DE"/>
              </w:rPr>
              <w:t>in</w:t>
            </w:r>
            <w:r w:rsidRPr="00945E91">
              <w:rPr>
                <w:rFonts w:asciiTheme="minorHAnsi" w:eastAsia="Arial" w:hAnsiTheme="minorHAnsi" w:cstheme="minorHAnsi"/>
                <w:spacing w:val="-24"/>
                <w:w w:val="95"/>
                <w:sz w:val="20"/>
                <w:szCs w:val="20"/>
                <w:lang w:val="de-DE" w:bidi="de-DE"/>
              </w:rPr>
              <w:t xml:space="preserve"> </w:t>
            </w:r>
            <w:r w:rsidRPr="00945E91">
              <w:rPr>
                <w:rFonts w:asciiTheme="minorHAnsi" w:eastAsia="Arial" w:hAnsiTheme="minorHAnsi" w:cstheme="minorHAnsi"/>
                <w:w w:val="95"/>
                <w:sz w:val="20"/>
                <w:szCs w:val="20"/>
                <w:lang w:val="de-DE" w:bidi="de-DE"/>
              </w:rPr>
              <w:t>ZNS</w:t>
            </w:r>
            <w:r w:rsidRPr="00945E91">
              <w:rPr>
                <w:rFonts w:asciiTheme="minorHAnsi" w:eastAsia="Arial" w:hAnsiTheme="minorHAnsi" w:cstheme="minorHAnsi"/>
                <w:spacing w:val="-25"/>
                <w:w w:val="95"/>
                <w:sz w:val="20"/>
                <w:szCs w:val="20"/>
                <w:lang w:val="de-DE" w:bidi="de-DE"/>
              </w:rPr>
              <w:t xml:space="preserve"> </w:t>
            </w:r>
            <w:r w:rsidRPr="00945E91">
              <w:rPr>
                <w:rFonts w:asciiTheme="minorHAnsi" w:eastAsia="Arial" w:hAnsiTheme="minorHAnsi" w:cstheme="minorHAnsi"/>
                <w:w w:val="95"/>
                <w:sz w:val="20"/>
                <w:szCs w:val="20"/>
                <w:lang w:val="de-DE" w:bidi="de-DE"/>
              </w:rPr>
              <w:t>oder</w:t>
            </w:r>
            <w:r w:rsidRPr="00945E91">
              <w:rPr>
                <w:rFonts w:asciiTheme="minorHAnsi" w:eastAsia="Arial" w:hAnsiTheme="minorHAnsi" w:cstheme="minorHAnsi"/>
                <w:spacing w:val="-27"/>
                <w:w w:val="95"/>
                <w:sz w:val="20"/>
                <w:szCs w:val="20"/>
                <w:lang w:val="de-DE" w:bidi="de-DE"/>
              </w:rPr>
              <w:t xml:space="preserve"> </w:t>
            </w:r>
            <w:r w:rsidRPr="00945E91">
              <w:rPr>
                <w:rFonts w:asciiTheme="minorHAnsi" w:eastAsia="Arial" w:hAnsiTheme="minorHAnsi" w:cstheme="minorHAnsi"/>
                <w:w w:val="95"/>
                <w:sz w:val="20"/>
                <w:szCs w:val="20"/>
                <w:lang w:val="de-DE" w:bidi="de-DE"/>
              </w:rPr>
              <w:t>Neuroachse</w:t>
            </w:r>
            <w:r w:rsidRPr="00945E91">
              <w:rPr>
                <w:rFonts w:asciiTheme="minorHAnsi" w:eastAsia="Arial" w:hAnsiTheme="minorHAnsi" w:cstheme="minorHAnsi"/>
                <w:spacing w:val="-26"/>
                <w:w w:val="95"/>
                <w:sz w:val="20"/>
                <w:szCs w:val="20"/>
                <w:lang w:val="de-DE" w:bidi="de-DE"/>
              </w:rPr>
              <w:t xml:space="preserve"> </w:t>
            </w:r>
            <w:r w:rsidRPr="00945E91">
              <w:rPr>
                <w:rFonts w:asciiTheme="minorHAnsi" w:eastAsia="Arial" w:hAnsiTheme="minorHAnsi" w:cstheme="minorHAnsi"/>
                <w:w w:val="95"/>
                <w:sz w:val="20"/>
                <w:szCs w:val="20"/>
                <w:lang w:val="de-DE" w:bidi="de-DE"/>
              </w:rPr>
              <w:t>mit</w:t>
            </w:r>
            <w:r w:rsidRPr="00945E91">
              <w:rPr>
                <w:rFonts w:asciiTheme="minorHAnsi" w:eastAsia="Arial" w:hAnsiTheme="minorHAnsi" w:cstheme="minorHAnsi"/>
                <w:spacing w:val="-24"/>
                <w:w w:val="95"/>
                <w:sz w:val="20"/>
                <w:szCs w:val="20"/>
                <w:lang w:val="de-DE" w:bidi="de-DE"/>
              </w:rPr>
              <w:t xml:space="preserve"> </w:t>
            </w:r>
            <w:r w:rsidRPr="00945E91">
              <w:rPr>
                <w:rFonts w:asciiTheme="minorHAnsi" w:eastAsia="Arial" w:hAnsiTheme="minorHAnsi" w:cstheme="minorHAnsi"/>
                <w:w w:val="95"/>
                <w:sz w:val="20"/>
                <w:szCs w:val="20"/>
                <w:lang w:val="de-DE" w:bidi="de-DE"/>
              </w:rPr>
              <w:t>CT</w:t>
            </w:r>
            <w:r w:rsidRPr="00945E91">
              <w:rPr>
                <w:rFonts w:asciiTheme="minorHAnsi" w:eastAsia="Arial" w:hAnsiTheme="minorHAnsi" w:cstheme="minorHAnsi"/>
                <w:spacing w:val="-26"/>
                <w:w w:val="95"/>
                <w:sz w:val="20"/>
                <w:szCs w:val="20"/>
                <w:lang w:val="de-DE" w:bidi="de-DE"/>
              </w:rPr>
              <w:t xml:space="preserve"> </w:t>
            </w:r>
            <w:r w:rsidRPr="00945E91">
              <w:rPr>
                <w:rFonts w:asciiTheme="minorHAnsi" w:eastAsia="Arial" w:hAnsiTheme="minorHAnsi" w:cstheme="minorHAnsi"/>
                <w:w w:val="95"/>
                <w:sz w:val="20"/>
                <w:szCs w:val="20"/>
                <w:lang w:val="de-DE" w:bidi="de-DE"/>
              </w:rPr>
              <w:t>oder</w:t>
            </w:r>
            <w:r w:rsidRPr="00945E91">
              <w:rPr>
                <w:rFonts w:asciiTheme="minorHAnsi" w:eastAsia="Arial" w:hAnsiTheme="minorHAnsi" w:cstheme="minorHAnsi"/>
                <w:spacing w:val="-25"/>
                <w:w w:val="95"/>
                <w:sz w:val="20"/>
                <w:szCs w:val="20"/>
                <w:lang w:val="de-DE" w:bidi="de-DE"/>
              </w:rPr>
              <w:t xml:space="preserve"> </w:t>
            </w:r>
            <w:r w:rsidRPr="00945E91">
              <w:rPr>
                <w:rFonts w:asciiTheme="minorHAnsi" w:eastAsia="Arial" w:hAnsiTheme="minorHAnsi" w:cstheme="minorHAnsi"/>
                <w:w w:val="95"/>
                <w:sz w:val="20"/>
                <w:szCs w:val="20"/>
                <w:lang w:val="de-DE" w:bidi="de-DE"/>
              </w:rPr>
              <w:t>MRT</w:t>
            </w:r>
          </w:p>
          <w:p w14:paraId="045EA920" w14:textId="7AB519D7" w:rsidR="005754D0" w:rsidRPr="00945E91" w:rsidRDefault="005754D0" w:rsidP="00D11A8E">
            <w:pPr>
              <w:numPr>
                <w:ilvl w:val="0"/>
                <w:numId w:val="23"/>
              </w:numPr>
              <w:tabs>
                <w:tab w:val="left" w:pos="428"/>
              </w:tabs>
              <w:spacing w:line="240" w:lineRule="auto"/>
              <w:ind w:right="91" w:hanging="31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Eindeutige, nicht anderweitig erklärbare Symptome, z.B. Hirnnerven-Lähmungen</w:t>
            </w:r>
          </w:p>
          <w:p w14:paraId="3E8AD87D" w14:textId="77777777" w:rsidR="005754D0" w:rsidRPr="00945E91" w:rsidRDefault="005754D0" w:rsidP="005754D0">
            <w:pPr>
              <w:spacing w:line="240" w:lineRule="auto"/>
              <w:ind w:left="110" w:right="9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Cave:</w:t>
            </w:r>
            <w:r w:rsidRPr="00945E91">
              <w:rPr>
                <w:rFonts w:asciiTheme="minorHAnsi" w:eastAsia="Arial" w:hAnsiTheme="minorHAnsi" w:cstheme="minorHAnsi"/>
                <w:spacing w:val="-31"/>
                <w:sz w:val="20"/>
                <w:szCs w:val="20"/>
                <w:lang w:val="de-DE" w:bidi="de-DE"/>
              </w:rPr>
              <w:t xml:space="preserve"> </w:t>
            </w:r>
            <w:r w:rsidRPr="00945E91">
              <w:rPr>
                <w:rFonts w:asciiTheme="minorHAnsi" w:eastAsia="Arial" w:hAnsiTheme="minorHAnsi" w:cstheme="minorHAnsi"/>
                <w:sz w:val="20"/>
                <w:szCs w:val="20"/>
                <w:lang w:val="de-DE" w:bidi="de-DE"/>
              </w:rPr>
              <w:t>Der</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Nachweis</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einer</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geringen</w:t>
            </w:r>
            <w:r w:rsidRPr="00945E91">
              <w:rPr>
                <w:rFonts w:asciiTheme="minorHAnsi" w:eastAsia="Arial" w:hAnsiTheme="minorHAnsi" w:cstheme="minorHAnsi"/>
                <w:spacing w:val="-31"/>
                <w:sz w:val="20"/>
                <w:szCs w:val="20"/>
                <w:lang w:val="de-DE" w:bidi="de-DE"/>
              </w:rPr>
              <w:t xml:space="preserve"> </w:t>
            </w:r>
            <w:r w:rsidRPr="00945E91">
              <w:rPr>
                <w:rFonts w:asciiTheme="minorHAnsi" w:eastAsia="Arial" w:hAnsiTheme="minorHAnsi" w:cstheme="minorHAnsi"/>
                <w:sz w:val="20"/>
                <w:szCs w:val="20"/>
                <w:lang w:val="de-DE" w:bidi="de-DE"/>
              </w:rPr>
              <w:t>Zahl</w:t>
            </w:r>
            <w:r w:rsidRPr="00945E91">
              <w:rPr>
                <w:rFonts w:asciiTheme="minorHAnsi" w:eastAsia="Arial" w:hAnsiTheme="minorHAnsi" w:cstheme="minorHAnsi"/>
                <w:spacing w:val="-31"/>
                <w:sz w:val="20"/>
                <w:szCs w:val="20"/>
                <w:lang w:val="de-DE" w:bidi="de-DE"/>
              </w:rPr>
              <w:t xml:space="preserve"> </w:t>
            </w:r>
            <w:r w:rsidRPr="00945E91">
              <w:rPr>
                <w:rFonts w:asciiTheme="minorHAnsi" w:eastAsia="Arial" w:hAnsiTheme="minorHAnsi" w:cstheme="minorHAnsi"/>
                <w:sz w:val="20"/>
                <w:szCs w:val="20"/>
                <w:lang w:val="de-DE" w:bidi="de-DE"/>
              </w:rPr>
              <w:t>von</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Blasten</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im</w:t>
            </w:r>
            <w:r w:rsidRPr="00945E91">
              <w:rPr>
                <w:rFonts w:asciiTheme="minorHAnsi" w:eastAsia="Arial" w:hAnsiTheme="minorHAnsi" w:cstheme="minorHAnsi"/>
                <w:spacing w:val="-31"/>
                <w:sz w:val="20"/>
                <w:szCs w:val="20"/>
                <w:lang w:val="de-DE" w:bidi="de-DE"/>
              </w:rPr>
              <w:t xml:space="preserve"> </w:t>
            </w:r>
            <w:r w:rsidRPr="00945E91">
              <w:rPr>
                <w:rFonts w:asciiTheme="minorHAnsi" w:eastAsia="Arial" w:hAnsiTheme="minorHAnsi" w:cstheme="minorHAnsi"/>
                <w:sz w:val="20"/>
                <w:szCs w:val="20"/>
                <w:lang w:val="de-DE" w:bidi="de-DE"/>
              </w:rPr>
              <w:t>Liquor</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mit</w:t>
            </w:r>
            <w:r w:rsidRPr="00945E91">
              <w:rPr>
                <w:rFonts w:asciiTheme="minorHAnsi" w:eastAsia="Arial" w:hAnsiTheme="minorHAnsi" w:cstheme="minorHAnsi"/>
                <w:spacing w:val="-31"/>
                <w:sz w:val="20"/>
                <w:szCs w:val="20"/>
                <w:lang w:val="de-DE" w:bidi="de-DE"/>
              </w:rPr>
              <w:t xml:space="preserve"> </w:t>
            </w:r>
            <w:r w:rsidRPr="00945E91">
              <w:rPr>
                <w:rFonts w:asciiTheme="minorHAnsi" w:eastAsia="Arial" w:hAnsiTheme="minorHAnsi" w:cstheme="minorHAnsi"/>
                <w:sz w:val="20"/>
                <w:szCs w:val="20"/>
                <w:lang w:val="de-DE" w:bidi="de-DE"/>
              </w:rPr>
              <w:t>Hilfe</w:t>
            </w:r>
            <w:r w:rsidRPr="00945E91">
              <w:rPr>
                <w:rFonts w:asciiTheme="minorHAnsi" w:eastAsia="Arial" w:hAnsiTheme="minorHAnsi" w:cstheme="minorHAnsi"/>
                <w:spacing w:val="-32"/>
                <w:sz w:val="20"/>
                <w:szCs w:val="20"/>
                <w:lang w:val="de-DE" w:bidi="de-DE"/>
              </w:rPr>
              <w:t xml:space="preserve"> </w:t>
            </w:r>
            <w:r w:rsidRPr="00945E91">
              <w:rPr>
                <w:rFonts w:asciiTheme="minorHAnsi" w:eastAsia="Arial" w:hAnsiTheme="minorHAnsi" w:cstheme="minorHAnsi"/>
                <w:sz w:val="20"/>
                <w:szCs w:val="20"/>
                <w:lang w:val="de-DE" w:bidi="de-DE"/>
              </w:rPr>
              <w:t xml:space="preserve">von </w:t>
            </w:r>
            <w:r w:rsidRPr="00945E91">
              <w:rPr>
                <w:rFonts w:asciiTheme="minorHAnsi" w:eastAsia="Arial" w:hAnsiTheme="minorHAnsi" w:cstheme="minorHAnsi"/>
                <w:w w:val="95"/>
                <w:sz w:val="20"/>
                <w:szCs w:val="20"/>
                <w:lang w:val="de-DE" w:bidi="de-DE"/>
              </w:rPr>
              <w:t xml:space="preserve">MRD-Analyse (Flowzytometrie, PCR) entspricht nicht dem Nachweis eines </w:t>
            </w:r>
            <w:r w:rsidRPr="00945E91">
              <w:rPr>
                <w:rFonts w:asciiTheme="minorHAnsi" w:eastAsia="Arial" w:hAnsiTheme="minorHAnsi" w:cstheme="minorHAnsi"/>
                <w:sz w:val="20"/>
                <w:szCs w:val="20"/>
                <w:lang w:val="de-DE" w:bidi="de-DE"/>
              </w:rPr>
              <w:t>ZNS-Rezidivs.</w:t>
            </w:r>
            <w:r w:rsidRPr="00945E91">
              <w:rPr>
                <w:rFonts w:asciiTheme="minorHAnsi" w:eastAsia="Arial" w:hAnsiTheme="minorHAnsi" w:cstheme="minorHAnsi"/>
                <w:spacing w:val="-29"/>
                <w:sz w:val="20"/>
                <w:szCs w:val="20"/>
                <w:lang w:val="de-DE" w:bidi="de-DE"/>
              </w:rPr>
              <w:t xml:space="preserve"> </w:t>
            </w:r>
            <w:r w:rsidRPr="00945E91">
              <w:rPr>
                <w:rFonts w:asciiTheme="minorHAnsi" w:eastAsia="Arial" w:hAnsiTheme="minorHAnsi" w:cstheme="minorHAnsi"/>
                <w:sz w:val="20"/>
                <w:szCs w:val="20"/>
                <w:lang w:val="de-DE" w:bidi="de-DE"/>
              </w:rPr>
              <w:t>In</w:t>
            </w:r>
            <w:r w:rsidRPr="00945E91">
              <w:rPr>
                <w:rFonts w:asciiTheme="minorHAnsi" w:eastAsia="Arial" w:hAnsiTheme="minorHAnsi" w:cstheme="minorHAnsi"/>
                <w:spacing w:val="-29"/>
                <w:sz w:val="20"/>
                <w:szCs w:val="20"/>
                <w:lang w:val="de-DE" w:bidi="de-DE"/>
              </w:rPr>
              <w:t xml:space="preserve"> </w:t>
            </w:r>
            <w:r w:rsidRPr="00945E91">
              <w:rPr>
                <w:rFonts w:asciiTheme="minorHAnsi" w:eastAsia="Arial" w:hAnsiTheme="minorHAnsi" w:cstheme="minorHAnsi"/>
                <w:sz w:val="20"/>
                <w:szCs w:val="20"/>
                <w:lang w:val="de-DE" w:bidi="de-DE"/>
              </w:rPr>
              <w:t>diesem</w:t>
            </w:r>
            <w:r w:rsidRPr="00945E91">
              <w:rPr>
                <w:rFonts w:asciiTheme="minorHAnsi" w:eastAsia="Arial" w:hAnsiTheme="minorHAnsi" w:cstheme="minorHAnsi"/>
                <w:spacing w:val="-30"/>
                <w:sz w:val="20"/>
                <w:szCs w:val="20"/>
                <w:lang w:val="de-DE" w:bidi="de-DE"/>
              </w:rPr>
              <w:t xml:space="preserve"> </w:t>
            </w:r>
            <w:r w:rsidRPr="00945E91">
              <w:rPr>
                <w:rFonts w:asciiTheme="minorHAnsi" w:eastAsia="Arial" w:hAnsiTheme="minorHAnsi" w:cstheme="minorHAnsi"/>
                <w:sz w:val="20"/>
                <w:szCs w:val="20"/>
                <w:lang w:val="de-DE" w:bidi="de-DE"/>
              </w:rPr>
              <w:t>Fall</w:t>
            </w:r>
            <w:r w:rsidRPr="00945E91">
              <w:rPr>
                <w:rFonts w:asciiTheme="minorHAnsi" w:eastAsia="Arial" w:hAnsiTheme="minorHAnsi" w:cstheme="minorHAnsi"/>
                <w:spacing w:val="-29"/>
                <w:sz w:val="20"/>
                <w:szCs w:val="20"/>
                <w:lang w:val="de-DE" w:bidi="de-DE"/>
              </w:rPr>
              <w:t xml:space="preserve"> </w:t>
            </w:r>
            <w:r w:rsidRPr="00945E91">
              <w:rPr>
                <w:rFonts w:asciiTheme="minorHAnsi" w:eastAsia="Arial" w:hAnsiTheme="minorHAnsi" w:cstheme="minorHAnsi"/>
                <w:sz w:val="20"/>
                <w:szCs w:val="20"/>
                <w:lang w:val="de-DE" w:bidi="de-DE"/>
              </w:rPr>
              <w:t>sollte</w:t>
            </w:r>
            <w:r w:rsidRPr="00945E91">
              <w:rPr>
                <w:rFonts w:asciiTheme="minorHAnsi" w:eastAsia="Arial" w:hAnsiTheme="minorHAnsi" w:cstheme="minorHAnsi"/>
                <w:spacing w:val="-28"/>
                <w:sz w:val="20"/>
                <w:szCs w:val="20"/>
                <w:lang w:val="de-DE" w:bidi="de-DE"/>
              </w:rPr>
              <w:t xml:space="preserve"> </w:t>
            </w:r>
            <w:r w:rsidRPr="00945E91">
              <w:rPr>
                <w:rFonts w:asciiTheme="minorHAnsi" w:eastAsia="Arial" w:hAnsiTheme="minorHAnsi" w:cstheme="minorHAnsi"/>
                <w:sz w:val="20"/>
                <w:szCs w:val="20"/>
                <w:lang w:val="de-DE" w:bidi="de-DE"/>
              </w:rPr>
              <w:t>eine</w:t>
            </w:r>
            <w:r w:rsidRPr="00945E91">
              <w:rPr>
                <w:rFonts w:asciiTheme="minorHAnsi" w:eastAsia="Arial" w:hAnsiTheme="minorHAnsi" w:cstheme="minorHAnsi"/>
                <w:spacing w:val="-30"/>
                <w:sz w:val="20"/>
                <w:szCs w:val="20"/>
                <w:lang w:val="de-DE" w:bidi="de-DE"/>
              </w:rPr>
              <w:t xml:space="preserve"> </w:t>
            </w:r>
            <w:r w:rsidRPr="00945E91">
              <w:rPr>
                <w:rFonts w:asciiTheme="minorHAnsi" w:eastAsia="Arial" w:hAnsiTheme="minorHAnsi" w:cstheme="minorHAnsi"/>
                <w:sz w:val="20"/>
                <w:szCs w:val="20"/>
                <w:lang w:val="de-DE" w:bidi="de-DE"/>
              </w:rPr>
              <w:t>Kontrollpunktion</w:t>
            </w:r>
            <w:r w:rsidRPr="00945E91">
              <w:rPr>
                <w:rFonts w:asciiTheme="minorHAnsi" w:eastAsia="Arial" w:hAnsiTheme="minorHAnsi" w:cstheme="minorHAnsi"/>
                <w:spacing w:val="-29"/>
                <w:sz w:val="20"/>
                <w:szCs w:val="20"/>
                <w:lang w:val="de-DE" w:bidi="de-DE"/>
              </w:rPr>
              <w:t xml:space="preserve"> </w:t>
            </w:r>
            <w:r w:rsidRPr="00945E91">
              <w:rPr>
                <w:rFonts w:asciiTheme="minorHAnsi" w:eastAsia="Arial" w:hAnsiTheme="minorHAnsi" w:cstheme="minorHAnsi"/>
                <w:sz w:val="20"/>
                <w:szCs w:val="20"/>
                <w:lang w:val="de-DE" w:bidi="de-DE"/>
              </w:rPr>
              <w:t>erfolgen.</w:t>
            </w:r>
          </w:p>
        </w:tc>
      </w:tr>
    </w:tbl>
    <w:p w14:paraId="680CBA3C" w14:textId="77777777" w:rsidR="005754D0" w:rsidRPr="00945E91" w:rsidRDefault="005754D0" w:rsidP="005754D0">
      <w:pPr>
        <w:spacing w:line="240" w:lineRule="auto"/>
        <w:jc w:val="left"/>
        <w:rPr>
          <w:rFonts w:asciiTheme="minorHAnsi" w:hAnsiTheme="minorHAnsi" w:cstheme="minorHAnsi"/>
          <w:b/>
          <w:szCs w:val="22"/>
          <w:lang w:val="de-DE"/>
        </w:rPr>
      </w:pPr>
    </w:p>
    <w:p w14:paraId="4B5170D4"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0E62577A" w14:textId="5A66D48D" w:rsidR="005754D0" w:rsidRPr="00945E91" w:rsidRDefault="00FC64BB" w:rsidP="00FC64BB">
      <w:pPr>
        <w:pStyle w:val="berschrift3"/>
        <w:rPr>
          <w:rFonts w:asciiTheme="minorHAnsi" w:hAnsiTheme="minorHAnsi" w:cstheme="minorHAnsi"/>
          <w:lang w:val="de-DE"/>
        </w:rPr>
      </w:pPr>
      <w:bookmarkStart w:id="57" w:name="_Toc74412416"/>
      <w:r w:rsidRPr="00945E91">
        <w:rPr>
          <w:rFonts w:asciiTheme="minorHAnsi" w:hAnsiTheme="minorHAnsi" w:cstheme="minorHAnsi"/>
          <w:lang w:val="de-DE"/>
        </w:rPr>
        <w:lastRenderedPageBreak/>
        <w:t xml:space="preserve">3.5.3. </w:t>
      </w:r>
      <w:r w:rsidR="005754D0" w:rsidRPr="00945E91">
        <w:rPr>
          <w:rFonts w:asciiTheme="minorHAnsi" w:hAnsiTheme="minorHAnsi" w:cstheme="minorHAnsi"/>
          <w:lang w:val="de-DE"/>
        </w:rPr>
        <w:t>Therapie des ersten Rezidivs</w:t>
      </w:r>
      <w:bookmarkEnd w:id="57"/>
    </w:p>
    <w:p w14:paraId="6DC28A5B" w14:textId="77777777" w:rsidR="005754D0" w:rsidRPr="00945E91" w:rsidRDefault="005754D0" w:rsidP="005754D0">
      <w:pPr>
        <w:spacing w:line="240" w:lineRule="auto"/>
        <w:jc w:val="left"/>
        <w:rPr>
          <w:rFonts w:asciiTheme="minorHAnsi" w:hAnsiTheme="minorHAnsi" w:cstheme="minorHAnsi"/>
          <w:lang w:val="de-DE"/>
        </w:rPr>
      </w:pPr>
    </w:p>
    <w:p w14:paraId="5B42B73F" w14:textId="73FB917A"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Die Einleitung </w:t>
      </w:r>
      <w:r w:rsidR="00F2483C">
        <w:rPr>
          <w:rFonts w:asciiTheme="minorHAnsi" w:hAnsiTheme="minorHAnsi" w:cstheme="minorHAnsi"/>
          <w:lang w:val="de-DE"/>
        </w:rPr>
        <w:t xml:space="preserve">der </w:t>
      </w:r>
      <w:r w:rsidRPr="00945E91">
        <w:rPr>
          <w:rFonts w:asciiTheme="minorHAnsi" w:hAnsiTheme="minorHAnsi" w:cstheme="minorHAnsi"/>
          <w:lang w:val="de-DE"/>
        </w:rPr>
        <w:t xml:space="preserve">Rezidivtherapie ist bereits indiziert </w:t>
      </w:r>
      <w:r w:rsidR="00F2483C" w:rsidRPr="00945E91">
        <w:rPr>
          <w:rFonts w:asciiTheme="minorHAnsi" w:hAnsiTheme="minorHAnsi" w:cstheme="minorHAnsi"/>
          <w:lang w:val="de-DE"/>
        </w:rPr>
        <w:t>bei gesichertem molekularem Rezidiv</w:t>
      </w:r>
      <w:r w:rsidRPr="00945E91">
        <w:rPr>
          <w:rFonts w:asciiTheme="minorHAnsi" w:hAnsiTheme="minorHAnsi" w:cstheme="minorHAnsi"/>
          <w:lang w:val="de-DE"/>
        </w:rPr>
        <w:t xml:space="preserve">. Zur Bestätigung eines molekularen Rezidivs ist eine kurzfristige Kontrolle des Markers erforderlich. </w:t>
      </w:r>
    </w:p>
    <w:p w14:paraId="297CE533" w14:textId="759C6FFE"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Hauptziel der initialen Reinduktionstherapie ist das Erreichen einer möglichst tiefen Remission. Eine allogene Stammzelltransplantation ist indiziert bei entsprechender Eignung des Patienten. In der Behandlung von Frührezidiven und refraktären Rezidiven der B-Vorläufer-ALL bringen </w:t>
      </w:r>
      <w:r w:rsidR="00F2483C" w:rsidRPr="00945E91">
        <w:rPr>
          <w:rFonts w:asciiTheme="minorHAnsi" w:hAnsiTheme="minorHAnsi" w:cstheme="minorHAnsi"/>
          <w:lang w:val="de-DE"/>
        </w:rPr>
        <w:t>Standardchemotherapien</w:t>
      </w:r>
      <w:r w:rsidRPr="00945E91">
        <w:rPr>
          <w:rFonts w:asciiTheme="minorHAnsi" w:hAnsiTheme="minorHAnsi" w:cstheme="minorHAnsi"/>
          <w:lang w:val="de-DE"/>
        </w:rPr>
        <w:t xml:space="preserve"> signifikant schlechtere Ergebnisse als Blinatumomab oder Inotuzumab. Inotuzumab hat ein höheres Risiko einer VOD bei nachfolgender SZT als </w:t>
      </w:r>
      <w:r w:rsidR="00F2483C" w:rsidRPr="00945E91">
        <w:rPr>
          <w:rFonts w:asciiTheme="minorHAnsi" w:hAnsiTheme="minorHAnsi" w:cstheme="minorHAnsi"/>
          <w:lang w:val="de-DE"/>
        </w:rPr>
        <w:t>Blinatumomab</w:t>
      </w:r>
      <w:r w:rsidRPr="00945E91">
        <w:rPr>
          <w:rFonts w:asciiTheme="minorHAnsi" w:hAnsiTheme="minorHAnsi" w:cstheme="minorHAnsi"/>
          <w:lang w:val="de-DE"/>
        </w:rPr>
        <w:t xml:space="preserve">. Ein Stammzellharvest mit ABSCT </w:t>
      </w:r>
      <w:r w:rsidR="00F2483C" w:rsidRPr="00945E91">
        <w:rPr>
          <w:rFonts w:asciiTheme="minorHAnsi" w:hAnsiTheme="minorHAnsi" w:cstheme="minorHAnsi"/>
          <w:lang w:val="de-DE"/>
        </w:rPr>
        <w:t>ist zu</w:t>
      </w:r>
      <w:r w:rsidRPr="00945E91">
        <w:rPr>
          <w:rFonts w:asciiTheme="minorHAnsi" w:hAnsiTheme="minorHAnsi" w:cstheme="minorHAnsi"/>
          <w:lang w:val="de-DE"/>
        </w:rPr>
        <w:t xml:space="preserve"> überlegen, wenn </w:t>
      </w:r>
      <w:r w:rsidR="00DB23B1">
        <w:rPr>
          <w:rFonts w:asciiTheme="minorHAnsi" w:hAnsiTheme="minorHAnsi" w:cstheme="minorHAnsi"/>
          <w:lang w:val="de-DE"/>
        </w:rPr>
        <w:t xml:space="preserve">eine </w:t>
      </w:r>
      <w:r w:rsidRPr="00945E91">
        <w:rPr>
          <w:rFonts w:asciiTheme="minorHAnsi" w:hAnsiTheme="minorHAnsi" w:cstheme="minorHAnsi"/>
          <w:lang w:val="de-DE"/>
        </w:rPr>
        <w:t>alloSCT nicht möglich ist (kein Spender oder mangelnde Compliance) und eine molekulare CR vorliegt. Eine Vorphase ist bei allen zytologischen Rezidiven indiziert. Eine intrathekale Prophylaxe ist bei der Vorphase und zwischen den Blina</w:t>
      </w:r>
      <w:r w:rsidR="00B0221C">
        <w:rPr>
          <w:rFonts w:asciiTheme="minorHAnsi" w:hAnsiTheme="minorHAnsi" w:cstheme="minorHAnsi"/>
          <w:lang w:val="de-DE"/>
        </w:rPr>
        <w:t>tumomab</w:t>
      </w:r>
      <w:r w:rsidRPr="00945E91">
        <w:rPr>
          <w:rFonts w:asciiTheme="minorHAnsi" w:hAnsiTheme="minorHAnsi" w:cstheme="minorHAnsi"/>
          <w:lang w:val="de-DE"/>
        </w:rPr>
        <w:t>zyklen (alle 6 Wochen) bzw. im Intervall nach Salvagechemotherapie durchzuführen</w:t>
      </w:r>
      <w:r w:rsidR="00B0221C">
        <w:rPr>
          <w:rFonts w:asciiTheme="minorHAnsi" w:hAnsiTheme="minorHAnsi" w:cstheme="minorHAnsi"/>
          <w:lang w:val="de-DE"/>
        </w:rPr>
        <w:t xml:space="preserve"> (im Rahmen der Vorphase 15 mg MTX, zwischen den Zyklen Tripleprophylaxe)</w:t>
      </w:r>
      <w:r w:rsidRPr="00945E91">
        <w:rPr>
          <w:rFonts w:asciiTheme="minorHAnsi" w:hAnsiTheme="minorHAnsi" w:cstheme="minorHAnsi"/>
          <w:lang w:val="de-DE"/>
        </w:rPr>
        <w:t>.</w:t>
      </w:r>
    </w:p>
    <w:p w14:paraId="37718BED" w14:textId="77777777" w:rsidR="005754D0" w:rsidRPr="00945E91" w:rsidRDefault="005754D0" w:rsidP="005754D0">
      <w:pPr>
        <w:pStyle w:val="Textkrper-Einzug2"/>
        <w:spacing w:after="0" w:line="276" w:lineRule="auto"/>
        <w:ind w:left="0"/>
        <w:jc w:val="left"/>
        <w:rPr>
          <w:rFonts w:asciiTheme="minorHAnsi" w:hAnsiTheme="minorHAnsi" w:cstheme="minorHAnsi"/>
          <w:b/>
          <w:lang w:val="de-DE"/>
        </w:rPr>
      </w:pPr>
    </w:p>
    <w:p w14:paraId="1A11D7FE" w14:textId="3C3F67D9" w:rsidR="005754D0" w:rsidRPr="00945E91" w:rsidRDefault="005754D0" w:rsidP="005754D0">
      <w:pPr>
        <w:pStyle w:val="Textkrper-Einzug2"/>
        <w:spacing w:after="0" w:line="276" w:lineRule="auto"/>
        <w:ind w:left="0"/>
        <w:jc w:val="left"/>
        <w:rPr>
          <w:rFonts w:asciiTheme="minorHAnsi" w:hAnsiTheme="minorHAnsi" w:cstheme="minorHAnsi"/>
          <w:b/>
          <w:lang w:val="de-DE"/>
        </w:rPr>
      </w:pPr>
      <w:r w:rsidRPr="00945E91">
        <w:rPr>
          <w:rFonts w:asciiTheme="minorHAnsi" w:hAnsiTheme="minorHAnsi" w:cstheme="minorHAnsi"/>
          <w:b/>
          <w:lang w:val="de-DE"/>
        </w:rPr>
        <w:t xml:space="preserve">Aktuell gültige Therapieprotokolle im TZ </w:t>
      </w:r>
      <w:r w:rsidR="00F2483C">
        <w:rPr>
          <w:rFonts w:asciiTheme="minorHAnsi" w:hAnsiTheme="minorHAnsi" w:cstheme="minorHAnsi"/>
          <w:b/>
          <w:lang w:val="de-DE"/>
        </w:rPr>
        <w:t>Oberösterreich</w:t>
      </w:r>
    </w:p>
    <w:p w14:paraId="3997FD65" w14:textId="2B9106DB" w:rsidR="005754D0" w:rsidRPr="00945E91" w:rsidRDefault="005754D0" w:rsidP="00D11A8E">
      <w:pPr>
        <w:pStyle w:val="Textkrper-Einzug2"/>
        <w:numPr>
          <w:ilvl w:val="0"/>
          <w:numId w:val="22"/>
        </w:numPr>
        <w:spacing w:after="0" w:line="276" w:lineRule="auto"/>
        <w:jc w:val="left"/>
        <w:rPr>
          <w:rFonts w:asciiTheme="minorHAnsi" w:hAnsiTheme="minorHAnsi" w:cstheme="minorHAnsi"/>
          <w:lang w:val="de-DE"/>
        </w:rPr>
      </w:pPr>
      <w:r w:rsidRPr="00945E91">
        <w:rPr>
          <w:rFonts w:asciiTheme="minorHAnsi" w:hAnsiTheme="minorHAnsi" w:cstheme="minorHAnsi"/>
          <w:lang w:val="de-DE"/>
        </w:rPr>
        <w:t xml:space="preserve">GMALL Konsensus Empfehlung für das Rezidiv einer ALL, </w:t>
      </w:r>
      <w:r w:rsidR="00F2483C" w:rsidRPr="00945E91">
        <w:rPr>
          <w:rFonts w:asciiTheme="minorHAnsi" w:hAnsiTheme="minorHAnsi" w:cstheme="minorHAnsi"/>
          <w:lang w:val="de-DE"/>
        </w:rPr>
        <w:t>Version</w:t>
      </w:r>
      <w:r w:rsidRPr="00945E91">
        <w:rPr>
          <w:rFonts w:asciiTheme="minorHAnsi" w:hAnsiTheme="minorHAnsi" w:cstheme="minorHAnsi"/>
          <w:lang w:val="de-DE"/>
        </w:rPr>
        <w:t xml:space="preserve"> 2, 15.8.2013</w:t>
      </w:r>
    </w:p>
    <w:p w14:paraId="16E0E888"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4D455EE8"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7956B847"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0EE87F5F"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086B117E"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0E8AC82C"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7D2DF8B4"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lastRenderedPageBreak/>
        <w:t xml:space="preserve">Rezidivtherapie für B-Vorläufer-ALL </w:t>
      </w:r>
    </w:p>
    <w:p w14:paraId="67AAFE7C" w14:textId="77777777" w:rsidR="005754D0" w:rsidRPr="00945E91" w:rsidRDefault="005754D0" w:rsidP="005754D0">
      <w:pPr>
        <w:spacing w:line="240" w:lineRule="auto"/>
        <w:jc w:val="left"/>
        <w:rPr>
          <w:rFonts w:asciiTheme="minorHAnsi" w:hAnsiTheme="minorHAnsi" w:cstheme="minorHAnsi"/>
          <w:b/>
          <w:lang w:val="de-DE"/>
        </w:rPr>
      </w:pPr>
    </w:p>
    <w:p w14:paraId="25F1C6DF"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lang w:val="de-DE"/>
        </w:rPr>
        <w:object w:dxaOrig="9930" w:dyaOrig="7110" w14:anchorId="22049269">
          <v:shape id="_x0000_i1026" type="#_x0000_t75" style="width:6in;height:312pt" o:ole="">
            <v:imagedata r:id="rId32" o:title=""/>
          </v:shape>
          <o:OLEObject Type="Embed" ProgID="Visio.Drawing.15" ShapeID="_x0000_i1026" DrawAspect="Content" ObjectID="_1685180241" r:id="rId33"/>
        </w:object>
      </w:r>
    </w:p>
    <w:p w14:paraId="47671B19" w14:textId="77777777" w:rsidR="005754D0" w:rsidRPr="00945E91" w:rsidRDefault="005754D0" w:rsidP="005754D0">
      <w:pPr>
        <w:pStyle w:val="Textkrper-Einzug2"/>
        <w:spacing w:after="0" w:line="276" w:lineRule="auto"/>
        <w:ind w:left="0"/>
        <w:jc w:val="left"/>
        <w:rPr>
          <w:rFonts w:asciiTheme="minorHAnsi" w:hAnsiTheme="minorHAnsi" w:cstheme="minorHAnsi"/>
          <w:noProof/>
          <w:lang w:val="de-DE" w:eastAsia="de-AT"/>
        </w:rPr>
      </w:pPr>
    </w:p>
    <w:p w14:paraId="59876FDD" w14:textId="15E7C05A" w:rsidR="005754D0" w:rsidRPr="00945E91" w:rsidRDefault="005754D0" w:rsidP="005754D0">
      <w:pPr>
        <w:pStyle w:val="Textkrper-Einzug2"/>
        <w:spacing w:after="0" w:line="276" w:lineRule="auto"/>
        <w:ind w:left="0"/>
        <w:jc w:val="left"/>
        <w:rPr>
          <w:rFonts w:asciiTheme="minorHAnsi" w:hAnsiTheme="minorHAnsi" w:cstheme="minorHAnsi"/>
          <w:sz w:val="20"/>
          <w:lang w:val="de-DE"/>
        </w:rPr>
      </w:pPr>
      <w:r w:rsidRPr="00945E91">
        <w:rPr>
          <w:rFonts w:asciiTheme="minorHAnsi" w:hAnsiTheme="minorHAnsi" w:cstheme="minorHAnsi"/>
          <w:sz w:val="20"/>
          <w:lang w:val="de-DE"/>
        </w:rPr>
        <w:t>* ALTERNATIVEN: Ohne SZT sind die Chancen auf Langzeitremission gering. Grundsätzlich kommt der Einsatz von Substanzen in Frage, die möglichst</w:t>
      </w:r>
      <w:r w:rsidR="00F2483C">
        <w:rPr>
          <w:rFonts w:asciiTheme="minorHAnsi" w:hAnsiTheme="minorHAnsi" w:cstheme="minorHAnsi"/>
          <w:sz w:val="20"/>
          <w:lang w:val="de-DE"/>
        </w:rPr>
        <w:t xml:space="preserve"> </w:t>
      </w:r>
      <w:r w:rsidRPr="00945E91">
        <w:rPr>
          <w:rFonts w:asciiTheme="minorHAnsi" w:hAnsiTheme="minorHAnsi" w:cstheme="minorHAnsi"/>
          <w:sz w:val="20"/>
          <w:lang w:val="de-DE"/>
        </w:rPr>
        <w:t>in der Vorbehandlung nicht eingesetzt wurden. Therapiealternativen sind BSC, wöchentliche Therapie mit Vincristin oder Cyclophophamid (siehe GMALL-Therapieempfehlung für Frail-Patienten), CHOP, Clofarabin-Cyclophosphamid (Zeidan 2012), Bendamustin-Mitoxantron + Rituximab (Weide 2009), Cytarabin-basierte CHT, Clofarabine-Cyclo</w:t>
      </w:r>
      <w:r w:rsidR="00F2483C">
        <w:rPr>
          <w:rFonts w:asciiTheme="minorHAnsi" w:hAnsiTheme="minorHAnsi" w:cstheme="minorHAnsi"/>
          <w:sz w:val="20"/>
          <w:lang w:val="de-DE"/>
        </w:rPr>
        <w:t>phosphamid</w:t>
      </w:r>
      <w:r w:rsidRPr="00945E91">
        <w:rPr>
          <w:rFonts w:asciiTheme="minorHAnsi" w:hAnsiTheme="minorHAnsi" w:cstheme="minorHAnsi"/>
          <w:sz w:val="20"/>
          <w:lang w:val="de-DE"/>
        </w:rPr>
        <w:t>-Etoposid (Miano 2012, Hijiya 2011, Locatelli 2012,</w:t>
      </w:r>
      <w:r w:rsidR="00F2483C">
        <w:rPr>
          <w:rFonts w:asciiTheme="minorHAnsi" w:hAnsiTheme="minorHAnsi" w:cstheme="minorHAnsi"/>
          <w:sz w:val="20"/>
          <w:lang w:val="de-DE"/>
        </w:rPr>
        <w:t xml:space="preserve"> </w:t>
      </w:r>
      <w:r w:rsidRPr="00945E91">
        <w:rPr>
          <w:rFonts w:asciiTheme="minorHAnsi" w:hAnsiTheme="minorHAnsi" w:cstheme="minorHAnsi"/>
          <w:sz w:val="20"/>
          <w:lang w:val="de-DE"/>
        </w:rPr>
        <w:t xml:space="preserve">O’Connor 2011), oder Immuntherapie. Inotuzumab ist besser verträglich als </w:t>
      </w:r>
      <w:r w:rsidR="00F2483C" w:rsidRPr="00945E91">
        <w:rPr>
          <w:rFonts w:asciiTheme="minorHAnsi" w:hAnsiTheme="minorHAnsi" w:cstheme="minorHAnsi"/>
          <w:sz w:val="20"/>
          <w:lang w:val="de-DE"/>
        </w:rPr>
        <w:t>Blinatumomab</w:t>
      </w:r>
      <w:r w:rsidRPr="00945E91">
        <w:rPr>
          <w:rFonts w:asciiTheme="minorHAnsi" w:hAnsiTheme="minorHAnsi" w:cstheme="minorHAnsi"/>
          <w:sz w:val="20"/>
          <w:lang w:val="de-DE"/>
        </w:rPr>
        <w:t xml:space="preserve">, jedoch gibt es keine Daten zum OS, die für eine SZT </w:t>
      </w:r>
      <w:r w:rsidR="00F2483C">
        <w:rPr>
          <w:rFonts w:asciiTheme="minorHAnsi" w:hAnsiTheme="minorHAnsi" w:cstheme="minorHAnsi"/>
          <w:sz w:val="20"/>
          <w:lang w:val="de-DE"/>
        </w:rPr>
        <w:t>z</w:t>
      </w:r>
      <w:r w:rsidRPr="00945E91">
        <w:rPr>
          <w:rFonts w:asciiTheme="minorHAnsi" w:hAnsiTheme="minorHAnsi" w:cstheme="minorHAnsi"/>
          <w:sz w:val="20"/>
          <w:lang w:val="de-DE"/>
        </w:rPr>
        <w:t xml:space="preserve">ensiert sind. Bei Patienten mit r/r ALL, die keiner SZT zugeführt werden konnte, hat sich für </w:t>
      </w:r>
      <w:r w:rsidR="00F2483C" w:rsidRPr="00945E91">
        <w:rPr>
          <w:rFonts w:asciiTheme="minorHAnsi" w:hAnsiTheme="minorHAnsi" w:cstheme="minorHAnsi"/>
          <w:sz w:val="20"/>
          <w:lang w:val="de-DE"/>
        </w:rPr>
        <w:t>Blinatumomab</w:t>
      </w:r>
      <w:r w:rsidRPr="00945E91">
        <w:rPr>
          <w:rFonts w:asciiTheme="minorHAnsi" w:hAnsiTheme="minorHAnsi" w:cstheme="minorHAnsi"/>
          <w:sz w:val="20"/>
          <w:lang w:val="de-DE"/>
        </w:rPr>
        <w:t xml:space="preserve"> ein mittlerer OS-Benefit von 4 Monaten bei besserer Lebensqualität gezeigt als mit intensiver, Cytarabin-basierter Chemotherapie. </w:t>
      </w:r>
    </w:p>
    <w:p w14:paraId="3BDB4CB3" w14:textId="77777777" w:rsidR="005754D0" w:rsidRPr="00945E91" w:rsidRDefault="005754D0" w:rsidP="005754D0">
      <w:pPr>
        <w:pStyle w:val="Textkrper-Einzug2"/>
        <w:spacing w:after="0" w:line="276" w:lineRule="auto"/>
        <w:ind w:left="0"/>
        <w:jc w:val="left"/>
        <w:rPr>
          <w:rFonts w:asciiTheme="minorHAnsi" w:hAnsiTheme="minorHAnsi" w:cstheme="minorHAnsi"/>
          <w:lang w:val="de-DE"/>
        </w:rPr>
      </w:pPr>
    </w:p>
    <w:p w14:paraId="671A3994"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type="page"/>
      </w:r>
    </w:p>
    <w:p w14:paraId="741FD8B3"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lastRenderedPageBreak/>
        <w:t>Rezidivtherapie für T-ALL/LBL</w:t>
      </w:r>
    </w:p>
    <w:p w14:paraId="04C9477D" w14:textId="77777777" w:rsidR="005754D0" w:rsidRPr="00945E91" w:rsidRDefault="005754D0" w:rsidP="005754D0">
      <w:pPr>
        <w:spacing w:line="240" w:lineRule="auto"/>
        <w:jc w:val="left"/>
        <w:rPr>
          <w:rFonts w:asciiTheme="minorHAnsi" w:hAnsiTheme="minorHAnsi" w:cstheme="minorHAnsi"/>
          <w:b/>
          <w:lang w:val="de-DE"/>
        </w:rPr>
      </w:pPr>
    </w:p>
    <w:p w14:paraId="38C82EA6"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Das nachfolgende Schema bezieht sich auf Patienten ohne vorangehende SZT. Bei allen Rezidivpatienten Durchführung einer ZNS-Prophylaxe, z.B. mit der Dreifachkombination im Intervall nach der Salvagetherapie. </w:t>
      </w:r>
    </w:p>
    <w:p w14:paraId="72B25E88" w14:textId="77777777" w:rsidR="005754D0" w:rsidRPr="00945E91" w:rsidRDefault="005754D0" w:rsidP="005754D0">
      <w:pPr>
        <w:spacing w:line="240" w:lineRule="auto"/>
        <w:jc w:val="left"/>
        <w:rPr>
          <w:rFonts w:asciiTheme="minorHAnsi" w:hAnsiTheme="minorHAnsi" w:cstheme="minorHAnsi"/>
          <w:noProof/>
          <w:lang w:val="de-DE" w:eastAsia="de-AT"/>
        </w:rPr>
      </w:pPr>
    </w:p>
    <w:p w14:paraId="3FE18B81"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lang w:val="de-DE"/>
        </w:rPr>
        <w:object w:dxaOrig="11661" w:dyaOrig="9961" w14:anchorId="24717A5F">
          <v:shape id="_x0000_i1027" type="#_x0000_t75" style="width:468pt;height:402pt" o:ole="">
            <v:imagedata r:id="rId34" o:title=""/>
          </v:shape>
          <o:OLEObject Type="Embed" ProgID="Visio.Drawing.15" ShapeID="_x0000_i1027" DrawAspect="Content" ObjectID="_1685180242" r:id="rId35"/>
        </w:object>
      </w:r>
    </w:p>
    <w:p w14:paraId="4AB1B6B2" w14:textId="77777777"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br/>
      </w:r>
    </w:p>
    <w:p w14:paraId="1EBA948C" w14:textId="61F6BEF5"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*Wenn möglich, ist immer eine allogene SZT anzustreben. Falls keine SZT möglich ist und eine CR erreicht wurde, gelten folgende Empfehlungen: Nelarabin Mono oder Nelarabin-Cyclophosphamid bis Progress/Toxizität (jeweils G-CSF ab Tag 6); CLAEG: Therapiepause nach 1-2 Zyklen: bei Spätrezidiv Erhaltungstherapie wie bei Erstlinientherapie überlegen.</w:t>
      </w:r>
    </w:p>
    <w:p w14:paraId="76E17614" w14:textId="77777777" w:rsidR="005754D0" w:rsidRPr="00945E91" w:rsidRDefault="005754D0" w:rsidP="005754D0">
      <w:pPr>
        <w:spacing w:line="240" w:lineRule="auto"/>
        <w:jc w:val="left"/>
        <w:rPr>
          <w:rFonts w:asciiTheme="minorHAnsi" w:hAnsiTheme="minorHAnsi" w:cstheme="minorHAnsi"/>
          <w:b/>
          <w:sz w:val="20"/>
          <w:lang w:val="de-DE"/>
        </w:rPr>
      </w:pPr>
      <w:r w:rsidRPr="00945E91">
        <w:rPr>
          <w:rFonts w:asciiTheme="minorHAnsi" w:hAnsiTheme="minorHAnsi" w:cstheme="minorHAnsi"/>
          <w:b/>
          <w:sz w:val="20"/>
          <w:lang w:val="de-DE"/>
        </w:rPr>
        <w:br w:type="page"/>
      </w:r>
    </w:p>
    <w:p w14:paraId="427BD873" w14:textId="0F0C9EF0" w:rsidR="005754D0" w:rsidRPr="00595E61" w:rsidRDefault="005754D0" w:rsidP="005754D0">
      <w:pPr>
        <w:pStyle w:val="Textkrper-Einzug2"/>
        <w:spacing w:after="60" w:line="276" w:lineRule="auto"/>
        <w:ind w:left="0"/>
        <w:jc w:val="left"/>
        <w:rPr>
          <w:rFonts w:asciiTheme="minorHAnsi" w:hAnsiTheme="minorHAnsi" w:cstheme="minorHAnsi"/>
          <w:b/>
          <w:szCs w:val="22"/>
          <w:lang w:val="de-DE"/>
        </w:rPr>
      </w:pPr>
      <w:r w:rsidRPr="00595E61">
        <w:rPr>
          <w:rFonts w:asciiTheme="minorHAnsi" w:hAnsiTheme="minorHAnsi" w:cstheme="minorHAnsi"/>
          <w:b/>
          <w:szCs w:val="22"/>
          <w:lang w:val="de-DE"/>
        </w:rPr>
        <w:lastRenderedPageBreak/>
        <w:t xml:space="preserve">Rezidivtherapie für die Philadelphia positive ALL </w:t>
      </w:r>
    </w:p>
    <w:p w14:paraId="33B1516B" w14:textId="35A542E1" w:rsidR="005754D0" w:rsidRPr="00595E61" w:rsidRDefault="005754D0" w:rsidP="005754D0">
      <w:pPr>
        <w:spacing w:line="240" w:lineRule="auto"/>
        <w:jc w:val="left"/>
        <w:rPr>
          <w:rFonts w:asciiTheme="minorHAnsi" w:hAnsiTheme="minorHAnsi" w:cstheme="minorHAnsi"/>
          <w:szCs w:val="22"/>
          <w:lang w:val="de-DE"/>
        </w:rPr>
      </w:pPr>
      <w:r w:rsidRPr="00595E61">
        <w:rPr>
          <w:rFonts w:asciiTheme="minorHAnsi" w:hAnsiTheme="minorHAnsi" w:cstheme="minorHAnsi"/>
          <w:szCs w:val="22"/>
          <w:lang w:val="de-DE"/>
        </w:rPr>
        <w:t>Das nachfolgende Schema bezieht sich auf Patienten ohne vorangehende SZT. Im Falle eines Rezidivs sollte neuerlich die Möglichkeit einer SZT geprüft werden. Eine intrathekale Prophylaxe</w:t>
      </w:r>
      <w:r w:rsidR="00C55D81" w:rsidRPr="00595E61">
        <w:rPr>
          <w:rFonts w:asciiTheme="minorHAnsi" w:hAnsiTheme="minorHAnsi" w:cstheme="minorHAnsi"/>
          <w:szCs w:val="22"/>
          <w:lang w:val="de-DE"/>
        </w:rPr>
        <w:t xml:space="preserve"> mit MTX</w:t>
      </w:r>
      <w:r w:rsidRPr="00595E61">
        <w:rPr>
          <w:rFonts w:asciiTheme="minorHAnsi" w:hAnsiTheme="minorHAnsi" w:cstheme="minorHAnsi"/>
          <w:szCs w:val="22"/>
          <w:lang w:val="de-DE"/>
        </w:rPr>
        <w:t xml:space="preserve"> ist bei der Vorphase und </w:t>
      </w:r>
      <w:r w:rsidR="00C55D81" w:rsidRPr="00595E61">
        <w:rPr>
          <w:rFonts w:asciiTheme="minorHAnsi" w:hAnsiTheme="minorHAnsi" w:cstheme="minorHAnsi"/>
          <w:szCs w:val="22"/>
          <w:lang w:val="de-DE"/>
        </w:rPr>
        <w:t xml:space="preserve">eine Tripleprophylaxe </w:t>
      </w:r>
      <w:r w:rsidRPr="00595E61">
        <w:rPr>
          <w:rFonts w:asciiTheme="minorHAnsi" w:hAnsiTheme="minorHAnsi" w:cstheme="minorHAnsi"/>
          <w:szCs w:val="22"/>
          <w:lang w:val="de-DE"/>
        </w:rPr>
        <w:t>zwischen den Blina</w:t>
      </w:r>
      <w:r w:rsidR="00C55D81" w:rsidRPr="00595E61">
        <w:rPr>
          <w:rFonts w:asciiTheme="minorHAnsi" w:hAnsiTheme="minorHAnsi" w:cstheme="minorHAnsi"/>
          <w:szCs w:val="22"/>
          <w:lang w:val="de-DE"/>
        </w:rPr>
        <w:t>tumomab</w:t>
      </w:r>
      <w:r w:rsidRPr="00595E61">
        <w:rPr>
          <w:rFonts w:asciiTheme="minorHAnsi" w:hAnsiTheme="minorHAnsi" w:cstheme="minorHAnsi"/>
          <w:szCs w:val="22"/>
          <w:lang w:val="de-DE"/>
        </w:rPr>
        <w:t xml:space="preserve">zyklen bzw. im Intervall nach Salvagechemotherapie durchzuführen. In palliativer Situation kann Inotuzumab bis zu 6 Zyklen verabreicht werden. Im Vergleich zu intensiver CHT ist die CR-Rate um 30% verbessert, jedoch gibt es keine Daten zum OS, die für SZT </w:t>
      </w:r>
      <w:r w:rsidR="00F2483C" w:rsidRPr="00595E61">
        <w:rPr>
          <w:rFonts w:asciiTheme="minorHAnsi" w:hAnsiTheme="minorHAnsi" w:cstheme="minorHAnsi"/>
          <w:szCs w:val="22"/>
          <w:lang w:val="de-DE"/>
        </w:rPr>
        <w:t>z</w:t>
      </w:r>
      <w:r w:rsidRPr="00595E61">
        <w:rPr>
          <w:rFonts w:asciiTheme="minorHAnsi" w:hAnsiTheme="minorHAnsi" w:cstheme="minorHAnsi"/>
          <w:szCs w:val="22"/>
          <w:lang w:val="de-DE"/>
        </w:rPr>
        <w:t>ensiert sind.</w:t>
      </w:r>
    </w:p>
    <w:p w14:paraId="3A836926" w14:textId="77777777" w:rsidR="00563022" w:rsidRPr="00945E91" w:rsidRDefault="00563022" w:rsidP="005754D0">
      <w:pPr>
        <w:pStyle w:val="Textkrper-Einzug2"/>
        <w:spacing w:after="60" w:line="276" w:lineRule="auto"/>
        <w:ind w:left="0"/>
        <w:jc w:val="left"/>
        <w:rPr>
          <w:rFonts w:asciiTheme="minorHAnsi" w:hAnsiTheme="minorHAnsi" w:cstheme="minorHAnsi"/>
          <w:lang w:val="de-DE"/>
        </w:rPr>
      </w:pPr>
    </w:p>
    <w:p w14:paraId="2C7707F2" w14:textId="20520AD8" w:rsidR="005754D0" w:rsidRPr="00945E91" w:rsidRDefault="00563022" w:rsidP="005754D0">
      <w:pPr>
        <w:pStyle w:val="Textkrper-Einzug2"/>
        <w:spacing w:after="60" w:line="276" w:lineRule="auto"/>
        <w:ind w:left="0"/>
        <w:jc w:val="left"/>
        <w:rPr>
          <w:rFonts w:asciiTheme="minorHAnsi" w:hAnsiTheme="minorHAnsi" w:cstheme="minorHAnsi"/>
          <w:lang w:val="de-DE"/>
        </w:rPr>
      </w:pPr>
      <w:r w:rsidRPr="00563022">
        <w:rPr>
          <w:noProof/>
          <w:lang w:eastAsia="de-AT"/>
        </w:rPr>
        <w:drawing>
          <wp:inline distT="0" distB="0" distL="0" distR="0" wp14:anchorId="32B7FFAF" wp14:editId="06B3A88C">
            <wp:extent cx="5957570" cy="5074302"/>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7570" cy="5074302"/>
                    </a:xfrm>
                    <a:prstGeom prst="rect">
                      <a:avLst/>
                    </a:prstGeom>
                    <a:noFill/>
                    <a:ln>
                      <a:noFill/>
                    </a:ln>
                  </pic:spPr>
                </pic:pic>
              </a:graphicData>
            </a:graphic>
          </wp:inline>
        </w:drawing>
      </w:r>
    </w:p>
    <w:p w14:paraId="6D789A5D" w14:textId="77777777" w:rsidR="005754D0" w:rsidRPr="00945E91" w:rsidRDefault="005754D0" w:rsidP="005754D0">
      <w:pPr>
        <w:pStyle w:val="Textkrper-Einzug2"/>
        <w:spacing w:after="60" w:line="276" w:lineRule="auto"/>
        <w:ind w:left="0"/>
        <w:jc w:val="left"/>
        <w:rPr>
          <w:rFonts w:asciiTheme="minorHAnsi" w:hAnsiTheme="minorHAnsi" w:cstheme="minorHAnsi"/>
          <w:lang w:val="de-DE"/>
        </w:rPr>
      </w:pPr>
    </w:p>
    <w:p w14:paraId="61BC3222" w14:textId="77777777" w:rsidR="00563022" w:rsidRPr="00AB30E4" w:rsidRDefault="00563022" w:rsidP="00563022">
      <w:pPr>
        <w:pStyle w:val="Textkrper-Einzug2"/>
        <w:spacing w:after="60" w:line="276" w:lineRule="auto"/>
        <w:ind w:left="0"/>
        <w:jc w:val="left"/>
        <w:rPr>
          <w:rFonts w:asciiTheme="minorHAnsi" w:hAnsiTheme="minorHAnsi" w:cstheme="minorHAnsi"/>
          <w:sz w:val="20"/>
          <w:lang w:val="de-DE"/>
        </w:rPr>
      </w:pPr>
      <w:r w:rsidRPr="00AB30E4">
        <w:rPr>
          <w:rFonts w:asciiTheme="minorHAnsi" w:hAnsiTheme="minorHAnsi" w:cstheme="minorHAnsi"/>
          <w:b/>
          <w:color w:val="FF0000"/>
          <w:sz w:val="20"/>
          <w:lang w:val="de-DE"/>
        </w:rPr>
        <w:t>1</w:t>
      </w:r>
      <w:r w:rsidRPr="00AB30E4">
        <w:rPr>
          <w:rFonts w:asciiTheme="minorHAnsi" w:hAnsiTheme="minorHAnsi" w:cstheme="minorHAnsi"/>
          <w:sz w:val="20"/>
          <w:lang w:val="de-DE"/>
        </w:rPr>
        <w:t xml:space="preserve"> Blinatumomab wurde als Monotherapie im Rezidiv geprüft und zugelassen. Zur Kombination mit TKI gibt es bisher nur publizierte Single center Experiences und Fallstudien, eine prospektive Phase II Studie wurde initiiert. Bei Refraktärität stellt Inotuzumab eine Alternative dar. </w:t>
      </w:r>
    </w:p>
    <w:p w14:paraId="6F017711" w14:textId="18FE1546" w:rsidR="00563022" w:rsidRPr="00AB30E4" w:rsidRDefault="00563022" w:rsidP="00563022">
      <w:pPr>
        <w:pStyle w:val="Textkrper-Einzug2"/>
        <w:spacing w:after="60" w:line="276" w:lineRule="auto"/>
        <w:ind w:left="0"/>
        <w:jc w:val="left"/>
        <w:rPr>
          <w:rFonts w:asciiTheme="minorHAnsi" w:hAnsiTheme="minorHAnsi" w:cstheme="minorHAnsi"/>
          <w:sz w:val="20"/>
          <w:lang w:val="de-DE"/>
        </w:rPr>
      </w:pPr>
      <w:r w:rsidRPr="00AB30E4">
        <w:rPr>
          <w:rFonts w:asciiTheme="minorHAnsi" w:hAnsiTheme="minorHAnsi" w:cstheme="minorHAnsi"/>
          <w:b/>
          <w:color w:val="FF0000"/>
          <w:sz w:val="20"/>
          <w:lang w:val="de-DE"/>
        </w:rPr>
        <w:t>2</w:t>
      </w:r>
      <w:r w:rsidRPr="00AB30E4">
        <w:rPr>
          <w:rFonts w:asciiTheme="minorHAnsi" w:hAnsiTheme="minorHAnsi" w:cstheme="minorHAnsi"/>
          <w:sz w:val="20"/>
          <w:lang w:val="de-DE"/>
        </w:rPr>
        <w:t xml:space="preserve"> Eine Phase II Studie zu Inotuzumab in Kombination mit Bosutinib wurde publiziert. Zur Kombination mit anderen TKI (Dasatinib, Ponatinib) gibt es nur Fallberichte.</w:t>
      </w:r>
    </w:p>
    <w:p w14:paraId="46C6DE9E"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b/>
          <w:lang w:val="de-DE"/>
        </w:rPr>
        <w:br w:type="page"/>
      </w:r>
    </w:p>
    <w:p w14:paraId="56571E8D" w14:textId="4C6CA7B0" w:rsidR="005754D0" w:rsidRPr="00945E91" w:rsidRDefault="00FC64BB" w:rsidP="00FC64BB">
      <w:pPr>
        <w:pStyle w:val="berschrift2"/>
        <w:ind w:left="708" w:hanging="708"/>
        <w:rPr>
          <w:rFonts w:asciiTheme="minorHAnsi" w:hAnsiTheme="minorHAnsi" w:cstheme="minorHAnsi"/>
          <w:lang w:val="de-DE"/>
        </w:rPr>
      </w:pPr>
      <w:bookmarkStart w:id="58" w:name="_Toc74412417"/>
      <w:r w:rsidRPr="00945E91">
        <w:rPr>
          <w:rFonts w:asciiTheme="minorHAnsi" w:hAnsiTheme="minorHAnsi" w:cstheme="minorHAnsi"/>
          <w:lang w:val="de-DE"/>
        </w:rPr>
        <w:lastRenderedPageBreak/>
        <w:t xml:space="preserve">3.6 </w:t>
      </w:r>
      <w:r w:rsidR="005754D0" w:rsidRPr="00945E91">
        <w:rPr>
          <w:rFonts w:asciiTheme="minorHAnsi" w:hAnsiTheme="minorHAnsi" w:cstheme="minorHAnsi"/>
          <w:lang w:val="de-DE"/>
        </w:rPr>
        <w:t>Evaluierung des Therapieansprechen</w:t>
      </w:r>
      <w:bookmarkEnd w:id="58"/>
    </w:p>
    <w:p w14:paraId="673BE82E" w14:textId="77777777" w:rsidR="005754D0" w:rsidRPr="00945E91" w:rsidRDefault="005754D0" w:rsidP="005754D0">
      <w:pPr>
        <w:spacing w:line="240" w:lineRule="auto"/>
        <w:jc w:val="left"/>
        <w:rPr>
          <w:rFonts w:asciiTheme="minorHAnsi" w:hAnsiTheme="minorHAnsi" w:cstheme="minorHAnsi"/>
          <w:lang w:val="de-DE"/>
        </w:rPr>
      </w:pPr>
    </w:p>
    <w:p w14:paraId="00470834"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Die nachfolgenden Kriterien beziehen sich auf das AIEOP-Protokoll sowie alle GMALL-Protokolle und auf die Rezidivtherapie.</w:t>
      </w:r>
    </w:p>
    <w:p w14:paraId="40125E0D" w14:textId="77777777" w:rsidR="005754D0" w:rsidRPr="00945E91" w:rsidRDefault="005754D0" w:rsidP="005754D0">
      <w:pPr>
        <w:spacing w:line="240" w:lineRule="auto"/>
        <w:jc w:val="left"/>
        <w:rPr>
          <w:rFonts w:asciiTheme="minorHAnsi" w:hAnsiTheme="minorHAnsi" w:cstheme="minorHAnsi"/>
          <w:lang w:val="de-DE"/>
        </w:rPr>
      </w:pPr>
    </w:p>
    <w:p w14:paraId="1BAEE42E" w14:textId="66864C83"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Die Zeitangaben für die Remissionskontrollen liefern Anhaltspunkte für den entsprechenden Zeitpunkt im Kontext dieser Therapieempfehlung. Im Einzelfall kann es zu z.T. deutlichen zeitlichen Abweichungen kommen. Im Vordergrund steht, dass der Zeitpunkt im Therapieverlauf eingehalten wird. Bei der Remissionsbeurteilung m</w:t>
      </w:r>
      <w:r w:rsidR="00F2483C">
        <w:rPr>
          <w:rFonts w:asciiTheme="minorHAnsi" w:hAnsiTheme="minorHAnsi" w:cstheme="minorHAnsi"/>
          <w:lang w:val="de-DE"/>
        </w:rPr>
        <w:t>uss ein</w:t>
      </w:r>
      <w:r w:rsidRPr="00945E91">
        <w:rPr>
          <w:rFonts w:asciiTheme="minorHAnsi" w:hAnsiTheme="minorHAnsi" w:cstheme="minorHAnsi"/>
          <w:lang w:val="de-DE"/>
        </w:rPr>
        <w:t xml:space="preserve"> extramedulläre</w:t>
      </w:r>
      <w:r w:rsidR="00F2483C">
        <w:rPr>
          <w:rFonts w:asciiTheme="minorHAnsi" w:hAnsiTheme="minorHAnsi" w:cstheme="minorHAnsi"/>
          <w:lang w:val="de-DE"/>
        </w:rPr>
        <w:t>r</w:t>
      </w:r>
      <w:r w:rsidRPr="00945E91">
        <w:rPr>
          <w:rFonts w:asciiTheme="minorHAnsi" w:hAnsiTheme="minorHAnsi" w:cstheme="minorHAnsi"/>
          <w:lang w:val="de-DE"/>
        </w:rPr>
        <w:t xml:space="preserve"> Bef</w:t>
      </w:r>
      <w:r w:rsidR="00F2483C">
        <w:rPr>
          <w:rFonts w:asciiTheme="minorHAnsi" w:hAnsiTheme="minorHAnsi" w:cstheme="minorHAnsi"/>
          <w:lang w:val="de-DE"/>
        </w:rPr>
        <w:t>a</w:t>
      </w:r>
      <w:r w:rsidRPr="00945E91">
        <w:rPr>
          <w:rFonts w:asciiTheme="minorHAnsi" w:hAnsiTheme="minorHAnsi" w:cstheme="minorHAnsi"/>
          <w:lang w:val="de-DE"/>
        </w:rPr>
        <w:t>ll immer mitberücksichtigt werden.</w:t>
      </w:r>
      <w:r w:rsidRPr="00945E91">
        <w:rPr>
          <w:rFonts w:asciiTheme="minorHAnsi" w:hAnsiTheme="minorHAnsi" w:cstheme="minorHAnsi"/>
          <w:bCs/>
          <w:lang w:val="de-DE"/>
        </w:rPr>
        <w:t xml:space="preserve"> Das Restaging extramedullärer RF/Lymphome sollte bei jeder KMP erfolgen.</w:t>
      </w:r>
    </w:p>
    <w:p w14:paraId="1F747734" w14:textId="77777777" w:rsidR="005754D0" w:rsidRPr="00945E91" w:rsidRDefault="005754D0" w:rsidP="005754D0">
      <w:pPr>
        <w:spacing w:line="240" w:lineRule="auto"/>
        <w:jc w:val="left"/>
        <w:rPr>
          <w:rFonts w:asciiTheme="minorHAnsi" w:hAnsiTheme="minorHAnsi" w:cstheme="minorHAnsi"/>
          <w:lang w:val="de-DE"/>
        </w:rPr>
      </w:pPr>
    </w:p>
    <w:p w14:paraId="520DCC19"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b/>
          <w:lang w:val="de-DE"/>
        </w:rPr>
        <w:t>Zytologisches Therapieansprechens in der frühen Therapiephase (=Tag 22 vor Induktion 2)</w:t>
      </w:r>
    </w:p>
    <w:tbl>
      <w:tblPr>
        <w:tblW w:w="974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369"/>
        <w:gridCol w:w="6378"/>
      </w:tblGrid>
      <w:tr w:rsidR="005754D0" w:rsidRPr="00945E91" w14:paraId="385AE658" w14:textId="77777777" w:rsidTr="00732322">
        <w:trPr>
          <w:trHeight w:val="103"/>
        </w:trPr>
        <w:tc>
          <w:tcPr>
            <w:tcW w:w="9747" w:type="dxa"/>
            <w:gridSpan w:val="2"/>
            <w:tcBorders>
              <w:top w:val="single" w:sz="6" w:space="0" w:color="auto"/>
              <w:left w:val="single" w:sz="6" w:space="0" w:color="auto"/>
              <w:bottom w:val="single" w:sz="4" w:space="0" w:color="auto"/>
              <w:right w:val="single" w:sz="6" w:space="0" w:color="auto"/>
            </w:tcBorders>
          </w:tcPr>
          <w:p w14:paraId="765BBC7C"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sz w:val="18"/>
                <w:lang w:val="de-DE"/>
              </w:rPr>
              <w:t>Die Remissionsevaluierung findet mittels konventioneller zytologischer Beurteilung und nicht mittels FACS-Analyse statt. In der frühen Therapiephase wird die Regeneration der normalen Hämatopoese als CR- Kriterium nicht für die entsprechende Einstufung vorausgesetzt.</w:t>
            </w:r>
          </w:p>
        </w:tc>
      </w:tr>
      <w:tr w:rsidR="005754D0" w:rsidRPr="00945E91" w14:paraId="66395987" w14:textId="77777777" w:rsidTr="00732322">
        <w:trPr>
          <w:trHeight w:val="271"/>
        </w:trPr>
        <w:tc>
          <w:tcPr>
            <w:tcW w:w="3369" w:type="dxa"/>
            <w:tcBorders>
              <w:top w:val="single" w:sz="4" w:space="0" w:color="auto"/>
              <w:left w:val="single" w:sz="4" w:space="0" w:color="auto"/>
              <w:bottom w:val="single" w:sz="4" w:space="0" w:color="auto"/>
              <w:right w:val="single" w:sz="4" w:space="0" w:color="auto"/>
            </w:tcBorders>
          </w:tcPr>
          <w:p w14:paraId="12439D35"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Vollständige Remission (CR) </w:t>
            </w:r>
          </w:p>
        </w:tc>
        <w:tc>
          <w:tcPr>
            <w:tcW w:w="6378" w:type="dxa"/>
            <w:tcBorders>
              <w:top w:val="single" w:sz="4" w:space="0" w:color="auto"/>
              <w:left w:val="single" w:sz="4" w:space="0" w:color="auto"/>
              <w:bottom w:val="single" w:sz="4" w:space="0" w:color="auto"/>
              <w:right w:val="single" w:sz="4" w:space="0" w:color="auto"/>
            </w:tcBorders>
          </w:tcPr>
          <w:p w14:paraId="46F2A88F"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0-5% Blasten im Knochenmark und keine peripheren Blasten </w:t>
            </w:r>
          </w:p>
        </w:tc>
      </w:tr>
      <w:tr w:rsidR="005754D0" w:rsidRPr="00945E91" w14:paraId="03E054E9" w14:textId="77777777" w:rsidTr="00732322">
        <w:trPr>
          <w:trHeight w:val="133"/>
        </w:trPr>
        <w:tc>
          <w:tcPr>
            <w:tcW w:w="3369" w:type="dxa"/>
            <w:tcBorders>
              <w:top w:val="single" w:sz="4" w:space="0" w:color="auto"/>
              <w:left w:val="single" w:sz="4" w:space="0" w:color="auto"/>
              <w:bottom w:val="single" w:sz="4" w:space="0" w:color="auto"/>
              <w:right w:val="single" w:sz="4" w:space="0" w:color="auto"/>
            </w:tcBorders>
          </w:tcPr>
          <w:p w14:paraId="412C793E"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Teilremission (PR) </w:t>
            </w:r>
          </w:p>
        </w:tc>
        <w:tc>
          <w:tcPr>
            <w:tcW w:w="6378" w:type="dxa"/>
            <w:tcBorders>
              <w:top w:val="single" w:sz="4" w:space="0" w:color="auto"/>
              <w:left w:val="single" w:sz="4" w:space="0" w:color="auto"/>
              <w:bottom w:val="single" w:sz="4" w:space="0" w:color="auto"/>
              <w:right w:val="single" w:sz="4" w:space="0" w:color="auto"/>
            </w:tcBorders>
          </w:tcPr>
          <w:p w14:paraId="62341A43"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5-25% Blasten im Knochenmark und keine peripheren Blasten </w:t>
            </w:r>
          </w:p>
        </w:tc>
      </w:tr>
      <w:tr w:rsidR="005754D0" w:rsidRPr="00945E91" w14:paraId="24BB870E" w14:textId="77777777" w:rsidTr="00732322">
        <w:trPr>
          <w:trHeight w:val="137"/>
        </w:trPr>
        <w:tc>
          <w:tcPr>
            <w:tcW w:w="3369" w:type="dxa"/>
            <w:tcBorders>
              <w:top w:val="single" w:sz="4" w:space="0" w:color="auto"/>
              <w:left w:val="single" w:sz="4" w:space="0" w:color="auto"/>
              <w:bottom w:val="single" w:sz="4" w:space="0" w:color="auto"/>
              <w:right w:val="single" w:sz="4" w:space="0" w:color="auto"/>
            </w:tcBorders>
          </w:tcPr>
          <w:p w14:paraId="50261695"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Therapieversagen </w:t>
            </w:r>
          </w:p>
        </w:tc>
        <w:tc>
          <w:tcPr>
            <w:tcW w:w="6378" w:type="dxa"/>
            <w:tcBorders>
              <w:top w:val="single" w:sz="4" w:space="0" w:color="auto"/>
              <w:left w:val="single" w:sz="4" w:space="0" w:color="auto"/>
              <w:bottom w:val="single" w:sz="4" w:space="0" w:color="auto"/>
              <w:right w:val="single" w:sz="4" w:space="0" w:color="auto"/>
            </w:tcBorders>
          </w:tcPr>
          <w:p w14:paraId="603D24D9" w14:textId="77777777" w:rsidR="005754D0" w:rsidRPr="00945E91" w:rsidRDefault="005754D0" w:rsidP="00732322">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&gt;26% Blasten im Knochenmark oder Periphere Blasten</w:t>
            </w:r>
          </w:p>
        </w:tc>
      </w:tr>
    </w:tbl>
    <w:p w14:paraId="4938DEFB" w14:textId="77777777" w:rsidR="005754D0" w:rsidRPr="00945E91" w:rsidRDefault="005754D0" w:rsidP="005754D0">
      <w:pPr>
        <w:spacing w:line="240" w:lineRule="auto"/>
        <w:jc w:val="left"/>
        <w:rPr>
          <w:rFonts w:asciiTheme="minorHAnsi" w:hAnsiTheme="minorHAnsi" w:cstheme="minorHAnsi"/>
          <w:lang w:val="de-DE"/>
        </w:rPr>
      </w:pPr>
    </w:p>
    <w:p w14:paraId="25CF142F" w14:textId="77777777" w:rsidR="005754D0" w:rsidRPr="00945E91" w:rsidRDefault="005754D0" w:rsidP="005754D0">
      <w:pPr>
        <w:spacing w:line="240" w:lineRule="auto"/>
        <w:jc w:val="left"/>
        <w:rPr>
          <w:rFonts w:asciiTheme="minorHAnsi" w:hAnsiTheme="minorHAnsi" w:cstheme="minorHAnsi"/>
          <w:lang w:val="de-DE"/>
        </w:rPr>
      </w:pPr>
    </w:p>
    <w:p w14:paraId="1446101D" w14:textId="394A93AC"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b/>
          <w:lang w:val="de-DE"/>
        </w:rPr>
        <w:t>Zytologisches Therapieansprechen in der späteren Therapiephase (beginnend mit der Remissions-kontrolle vor Konsolidierung I)</w:t>
      </w:r>
    </w:p>
    <w:tbl>
      <w:tblPr>
        <w:tblW w:w="974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369"/>
        <w:gridCol w:w="6378"/>
      </w:tblGrid>
      <w:tr w:rsidR="005754D0" w:rsidRPr="00945E91" w14:paraId="10AA84CB" w14:textId="77777777" w:rsidTr="00732322">
        <w:trPr>
          <w:trHeight w:val="103"/>
        </w:trPr>
        <w:tc>
          <w:tcPr>
            <w:tcW w:w="9747" w:type="dxa"/>
            <w:gridSpan w:val="2"/>
            <w:tcBorders>
              <w:top w:val="single" w:sz="6" w:space="0" w:color="auto"/>
              <w:left w:val="single" w:sz="6" w:space="0" w:color="auto"/>
              <w:bottom w:val="single" w:sz="4" w:space="0" w:color="auto"/>
              <w:right w:val="single" w:sz="6" w:space="0" w:color="auto"/>
            </w:tcBorders>
          </w:tcPr>
          <w:p w14:paraId="5EE4F57C"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sz w:val="18"/>
                <w:lang w:val="de-DE"/>
              </w:rPr>
              <w:t xml:space="preserve">Die Remissionsevaluierung findet mittels konventioneller zytologischer Beurteilung und nicht mittels FACS-Analyse statt. </w:t>
            </w:r>
          </w:p>
        </w:tc>
      </w:tr>
      <w:tr w:rsidR="005754D0" w:rsidRPr="00945E91" w14:paraId="27CC1BDB" w14:textId="77777777" w:rsidTr="00732322">
        <w:trPr>
          <w:trHeight w:val="386"/>
        </w:trPr>
        <w:tc>
          <w:tcPr>
            <w:tcW w:w="3369" w:type="dxa"/>
            <w:tcBorders>
              <w:top w:val="single" w:sz="4" w:space="0" w:color="auto"/>
              <w:left w:val="single" w:sz="4" w:space="0" w:color="auto"/>
              <w:bottom w:val="single" w:sz="4" w:space="0" w:color="auto"/>
              <w:right w:val="single" w:sz="4" w:space="0" w:color="auto"/>
            </w:tcBorders>
          </w:tcPr>
          <w:p w14:paraId="78B5250D"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Vollständige Remission (CR) </w:t>
            </w:r>
          </w:p>
        </w:tc>
        <w:tc>
          <w:tcPr>
            <w:tcW w:w="6378" w:type="dxa"/>
            <w:tcBorders>
              <w:top w:val="single" w:sz="4" w:space="0" w:color="auto"/>
              <w:left w:val="single" w:sz="4" w:space="0" w:color="auto"/>
              <w:bottom w:val="single" w:sz="4" w:space="0" w:color="auto"/>
              <w:right w:val="single" w:sz="4" w:space="0" w:color="auto"/>
            </w:tcBorders>
          </w:tcPr>
          <w:p w14:paraId="585B6499"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Knochenmark: 0-5% Blasten</w:t>
            </w:r>
          </w:p>
          <w:p w14:paraId="452F2B9B"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Peripheres Blut:</w:t>
            </w:r>
          </w:p>
          <w:p w14:paraId="3DA8B3F9"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Keine Blasten</w:t>
            </w:r>
          </w:p>
          <w:p w14:paraId="0C0D290F"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Thrombozyten &gt;80-100 G/l</w:t>
            </w:r>
          </w:p>
          <w:p w14:paraId="6FECD081"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Granulozyten &gt;1 G/l</w:t>
            </w:r>
          </w:p>
          <w:p w14:paraId="6B07DD92"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Keine Erythrozytentransfusionspflicht</w:t>
            </w:r>
          </w:p>
        </w:tc>
      </w:tr>
      <w:tr w:rsidR="005754D0" w:rsidRPr="00945E91" w14:paraId="527741BC" w14:textId="77777777" w:rsidTr="00732322">
        <w:trPr>
          <w:trHeight w:val="259"/>
        </w:trPr>
        <w:tc>
          <w:tcPr>
            <w:tcW w:w="3369" w:type="dxa"/>
            <w:tcBorders>
              <w:top w:val="single" w:sz="4" w:space="0" w:color="auto"/>
              <w:left w:val="single" w:sz="4" w:space="0" w:color="auto"/>
              <w:bottom w:val="single" w:sz="4" w:space="0" w:color="auto"/>
              <w:right w:val="single" w:sz="4" w:space="0" w:color="auto"/>
            </w:tcBorders>
          </w:tcPr>
          <w:p w14:paraId="5C557719"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CRi</w:t>
            </w:r>
          </w:p>
        </w:tc>
        <w:tc>
          <w:tcPr>
            <w:tcW w:w="6378" w:type="dxa"/>
            <w:tcBorders>
              <w:top w:val="single" w:sz="4" w:space="0" w:color="auto"/>
              <w:left w:val="single" w:sz="4" w:space="0" w:color="auto"/>
              <w:bottom w:val="single" w:sz="4" w:space="0" w:color="auto"/>
              <w:right w:val="single" w:sz="4" w:space="0" w:color="auto"/>
            </w:tcBorders>
          </w:tcPr>
          <w:p w14:paraId="55C6F26A"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Alle CR-Kriterien, aber:</w:t>
            </w:r>
          </w:p>
          <w:p w14:paraId="4C4EC1C5"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Thrombozyten &lt; 80 G/l und/oder</w:t>
            </w:r>
          </w:p>
          <w:p w14:paraId="046C86AD"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Granulozyten &lt; 1 G/l</w:t>
            </w:r>
          </w:p>
        </w:tc>
      </w:tr>
      <w:tr w:rsidR="005754D0" w:rsidRPr="00945E91" w14:paraId="7006F927" w14:textId="77777777" w:rsidTr="00732322">
        <w:trPr>
          <w:trHeight w:val="259"/>
        </w:trPr>
        <w:tc>
          <w:tcPr>
            <w:tcW w:w="3369" w:type="dxa"/>
            <w:tcBorders>
              <w:top w:val="single" w:sz="4" w:space="0" w:color="auto"/>
              <w:left w:val="single" w:sz="4" w:space="0" w:color="auto"/>
              <w:bottom w:val="single" w:sz="4" w:space="0" w:color="auto"/>
              <w:right w:val="single" w:sz="4" w:space="0" w:color="auto"/>
            </w:tcBorders>
          </w:tcPr>
          <w:p w14:paraId="4421AD8D"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Teilremission (PR) </w:t>
            </w:r>
          </w:p>
        </w:tc>
        <w:tc>
          <w:tcPr>
            <w:tcW w:w="6378" w:type="dxa"/>
            <w:tcBorders>
              <w:top w:val="single" w:sz="4" w:space="0" w:color="auto"/>
              <w:left w:val="single" w:sz="4" w:space="0" w:color="auto"/>
              <w:bottom w:val="single" w:sz="4" w:space="0" w:color="auto"/>
              <w:right w:val="single" w:sz="4" w:space="0" w:color="auto"/>
            </w:tcBorders>
          </w:tcPr>
          <w:p w14:paraId="5B0BD569"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5-25% Blasten im Knochenmark und keine peripheren Blasten </w:t>
            </w:r>
          </w:p>
        </w:tc>
      </w:tr>
      <w:tr w:rsidR="005754D0" w:rsidRPr="00945E91" w14:paraId="38A0E446" w14:textId="77777777" w:rsidTr="00732322">
        <w:trPr>
          <w:trHeight w:val="393"/>
        </w:trPr>
        <w:tc>
          <w:tcPr>
            <w:tcW w:w="3369" w:type="dxa"/>
            <w:tcBorders>
              <w:top w:val="single" w:sz="4" w:space="0" w:color="auto"/>
              <w:left w:val="single" w:sz="4" w:space="0" w:color="auto"/>
              <w:bottom w:val="single" w:sz="4" w:space="0" w:color="auto"/>
              <w:right w:val="single" w:sz="4" w:space="0" w:color="auto"/>
            </w:tcBorders>
          </w:tcPr>
          <w:p w14:paraId="56914F78"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Therapieversagen </w:t>
            </w:r>
          </w:p>
        </w:tc>
        <w:tc>
          <w:tcPr>
            <w:tcW w:w="6378" w:type="dxa"/>
            <w:tcBorders>
              <w:top w:val="single" w:sz="4" w:space="0" w:color="auto"/>
              <w:left w:val="single" w:sz="4" w:space="0" w:color="auto"/>
              <w:bottom w:val="single" w:sz="4" w:space="0" w:color="auto"/>
              <w:right w:val="single" w:sz="4" w:space="0" w:color="auto"/>
            </w:tcBorders>
          </w:tcPr>
          <w:p w14:paraId="1FA283A4"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&gt;26% Blasten im Knochenmark oder Periphere Blasten</w:t>
            </w:r>
          </w:p>
        </w:tc>
      </w:tr>
    </w:tbl>
    <w:p w14:paraId="0F622607" w14:textId="77777777" w:rsidR="005754D0" w:rsidRPr="00945E91" w:rsidRDefault="005754D0" w:rsidP="005754D0">
      <w:pPr>
        <w:spacing w:line="240" w:lineRule="auto"/>
        <w:jc w:val="left"/>
        <w:rPr>
          <w:rFonts w:asciiTheme="minorHAnsi" w:hAnsiTheme="minorHAnsi" w:cstheme="minorHAnsi"/>
          <w:lang w:val="de-DE"/>
        </w:rPr>
      </w:pPr>
    </w:p>
    <w:p w14:paraId="435990CB" w14:textId="77777777" w:rsidR="005754D0" w:rsidRPr="00945E91" w:rsidRDefault="005754D0" w:rsidP="005754D0">
      <w:pPr>
        <w:spacing w:line="240" w:lineRule="auto"/>
        <w:jc w:val="left"/>
        <w:rPr>
          <w:rFonts w:asciiTheme="minorHAnsi" w:hAnsiTheme="minorHAnsi" w:cstheme="minorHAnsi"/>
          <w:b/>
          <w:lang w:val="de-DE"/>
        </w:rPr>
      </w:pPr>
    </w:p>
    <w:p w14:paraId="53E70DC1" w14:textId="7699BC53" w:rsidR="005754D0" w:rsidRPr="00945E91" w:rsidRDefault="005754D0" w:rsidP="005754D0">
      <w:pPr>
        <w:spacing w:line="240" w:lineRule="auto"/>
        <w:jc w:val="left"/>
        <w:rPr>
          <w:rFonts w:asciiTheme="minorHAnsi" w:hAnsiTheme="minorHAnsi" w:cstheme="minorHAnsi"/>
          <w:b/>
          <w:lang w:val="de-DE"/>
        </w:rPr>
      </w:pPr>
      <w:r w:rsidRPr="00945E91">
        <w:rPr>
          <w:rFonts w:asciiTheme="minorHAnsi" w:hAnsiTheme="minorHAnsi" w:cstheme="minorHAnsi"/>
          <w:b/>
          <w:lang w:val="de-DE"/>
        </w:rPr>
        <w:t>Bewertung des molekularen Ansprechens</w:t>
      </w:r>
    </w:p>
    <w:p w14:paraId="62078133"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Die MRD-Responsekriterien für das AEIOP-Protokoll sind in Kapitel 2.7.2. abgebildet und bilden die Grundlage für die Therapiestratifizierung (Kapitel 3.3.1 und 3.3.2).</w:t>
      </w:r>
    </w:p>
    <w:p w14:paraId="54F4646F" w14:textId="77777777" w:rsidR="005754D0" w:rsidRPr="00945E91" w:rsidRDefault="005754D0" w:rsidP="005754D0">
      <w:pPr>
        <w:spacing w:line="240" w:lineRule="auto"/>
        <w:jc w:val="left"/>
        <w:rPr>
          <w:rFonts w:asciiTheme="minorHAnsi" w:hAnsiTheme="minorHAnsi" w:cstheme="minorHAnsi"/>
          <w:lang w:val="de-DE"/>
        </w:rPr>
      </w:pPr>
    </w:p>
    <w:p w14:paraId="3EBDC72C" w14:textId="52AA9D25"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Das in der nachfolgenden Tabelle dargestellte quantitative molekulare Therapieansprechen in den GMALL-Protokollen gilt nur für Patienten-spezifische Marker. Für andere Marker (z.B. BCR-ABL) gibt </w:t>
      </w:r>
      <w:r w:rsidR="00D97058">
        <w:rPr>
          <w:rFonts w:asciiTheme="minorHAnsi" w:hAnsiTheme="minorHAnsi" w:cstheme="minorHAnsi"/>
          <w:lang w:val="de-DE"/>
        </w:rPr>
        <w:t xml:space="preserve">es </w:t>
      </w:r>
      <w:r w:rsidRPr="00945E91">
        <w:rPr>
          <w:rFonts w:asciiTheme="minorHAnsi" w:hAnsiTheme="minorHAnsi" w:cstheme="minorHAnsi"/>
          <w:lang w:val="de-DE"/>
        </w:rPr>
        <w:t>keine klar definierten Werte, um das Therapieansprechen zu beurteilen; Ziel bei all diesen Markern ist einzig die komplette molekulare Remission (CMR).</w:t>
      </w:r>
    </w:p>
    <w:p w14:paraId="118EBC74" w14:textId="02DAA92D" w:rsidR="00732322" w:rsidRPr="00945E91" w:rsidRDefault="00732322">
      <w:pPr>
        <w:spacing w:line="240" w:lineRule="auto"/>
        <w:jc w:val="left"/>
        <w:rPr>
          <w:rFonts w:asciiTheme="minorHAnsi" w:hAnsiTheme="minorHAnsi" w:cstheme="minorHAnsi"/>
          <w:lang w:val="de-DE"/>
        </w:rPr>
      </w:pPr>
      <w:r w:rsidRPr="00945E91">
        <w:rPr>
          <w:rFonts w:asciiTheme="minorHAnsi" w:hAnsiTheme="minorHAnsi" w:cstheme="minorHAnsi"/>
          <w:lang w:val="de-DE"/>
        </w:rPr>
        <w:br w:type="page"/>
      </w:r>
    </w:p>
    <w:p w14:paraId="1998E1EA" w14:textId="77777777" w:rsidR="005754D0" w:rsidRPr="00945E91" w:rsidRDefault="005754D0" w:rsidP="005754D0">
      <w:pPr>
        <w:spacing w:line="240" w:lineRule="auto"/>
        <w:jc w:val="left"/>
        <w:rPr>
          <w:rFonts w:asciiTheme="minorHAnsi" w:hAnsiTheme="minorHAnsi" w:cstheme="minorHAnsi"/>
          <w:lang w:val="de-D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378"/>
      </w:tblGrid>
      <w:tr w:rsidR="005754D0" w:rsidRPr="00945E91" w14:paraId="26E732B6" w14:textId="77777777" w:rsidTr="00732322">
        <w:trPr>
          <w:trHeight w:val="317"/>
        </w:trPr>
        <w:tc>
          <w:tcPr>
            <w:tcW w:w="3369" w:type="dxa"/>
          </w:tcPr>
          <w:p w14:paraId="2BE05CF9"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Molekulare Remission (MolCR) </w:t>
            </w:r>
          </w:p>
        </w:tc>
        <w:tc>
          <w:tcPr>
            <w:tcW w:w="6378" w:type="dxa"/>
          </w:tcPr>
          <w:p w14:paraId="595B8416"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Negativer MRD-Status, gemessen mit einer Sensitivität von mindestens 10</w:t>
            </w:r>
            <w:r w:rsidRPr="00945E91">
              <w:rPr>
                <w:rFonts w:asciiTheme="minorHAnsi" w:hAnsiTheme="minorHAnsi" w:cstheme="minorHAnsi"/>
                <w:vertAlign w:val="superscript"/>
                <w:lang w:val="de-DE"/>
              </w:rPr>
              <w:t>-4</w:t>
            </w:r>
            <w:r w:rsidRPr="00945E91">
              <w:rPr>
                <w:rFonts w:asciiTheme="minorHAnsi" w:hAnsiTheme="minorHAnsi" w:cstheme="minorHAnsi"/>
                <w:lang w:val="de-DE"/>
              </w:rPr>
              <w:t xml:space="preserve"> </w:t>
            </w:r>
          </w:p>
        </w:tc>
      </w:tr>
      <w:tr w:rsidR="005754D0" w:rsidRPr="00945E91" w14:paraId="32662814" w14:textId="77777777" w:rsidTr="00732322">
        <w:trPr>
          <w:trHeight w:val="393"/>
        </w:trPr>
        <w:tc>
          <w:tcPr>
            <w:tcW w:w="3369" w:type="dxa"/>
          </w:tcPr>
          <w:p w14:paraId="0E91271E"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Molekulares Therapieversagen oder Molekulares Rezidiv</w:t>
            </w:r>
          </w:p>
        </w:tc>
        <w:tc>
          <w:tcPr>
            <w:tcW w:w="6378" w:type="dxa"/>
          </w:tcPr>
          <w:p w14:paraId="719669CF"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Positiver MRD-Status über 10</w:t>
            </w:r>
            <w:r w:rsidRPr="00945E91">
              <w:rPr>
                <w:rFonts w:asciiTheme="minorHAnsi" w:hAnsiTheme="minorHAnsi" w:cstheme="minorHAnsi"/>
                <w:vertAlign w:val="superscript"/>
                <w:lang w:val="de-DE"/>
              </w:rPr>
              <w:t>-4</w:t>
            </w:r>
            <w:r w:rsidRPr="00945E91">
              <w:rPr>
                <w:rFonts w:asciiTheme="minorHAnsi" w:hAnsiTheme="minorHAnsi" w:cstheme="minorHAnsi"/>
                <w:lang w:val="de-DE"/>
              </w:rPr>
              <w:t xml:space="preserve"> </w:t>
            </w:r>
          </w:p>
        </w:tc>
      </w:tr>
      <w:tr w:rsidR="005754D0" w:rsidRPr="00945E91" w14:paraId="17A18379" w14:textId="77777777" w:rsidTr="00732322">
        <w:trPr>
          <w:trHeight w:val="919"/>
        </w:trPr>
        <w:tc>
          <w:tcPr>
            <w:tcW w:w="3369" w:type="dxa"/>
          </w:tcPr>
          <w:p w14:paraId="141C671A" w14:textId="77777777" w:rsidR="005754D0" w:rsidRPr="00945E91" w:rsidRDefault="005754D0" w:rsidP="005754D0">
            <w:p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Molekulares Ansprechen nicht evaluierbar (MolNE) </w:t>
            </w:r>
          </w:p>
        </w:tc>
        <w:tc>
          <w:tcPr>
            <w:tcW w:w="6378" w:type="dxa"/>
          </w:tcPr>
          <w:p w14:paraId="20AC1023"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MRD positiv unter 10</w:t>
            </w:r>
            <w:r w:rsidRPr="00945E91">
              <w:rPr>
                <w:rFonts w:asciiTheme="minorHAnsi" w:hAnsiTheme="minorHAnsi" w:cstheme="minorHAnsi"/>
                <w:vertAlign w:val="superscript"/>
                <w:lang w:val="de-DE"/>
              </w:rPr>
              <w:t>-4</w:t>
            </w:r>
            <w:r w:rsidRPr="00945E91">
              <w:rPr>
                <w:rFonts w:asciiTheme="minorHAnsi" w:hAnsiTheme="minorHAnsi" w:cstheme="minorHAnsi"/>
                <w:lang w:val="de-DE"/>
              </w:rPr>
              <w:t>, nicht quantifizierbar</w:t>
            </w:r>
          </w:p>
          <w:p w14:paraId="03F3D155"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MRD positiv unter 10</w:t>
            </w:r>
            <w:r w:rsidRPr="00945E91">
              <w:rPr>
                <w:rFonts w:asciiTheme="minorHAnsi" w:hAnsiTheme="minorHAnsi" w:cstheme="minorHAnsi"/>
                <w:vertAlign w:val="superscript"/>
                <w:lang w:val="de-DE"/>
              </w:rPr>
              <w:t>-4</w:t>
            </w:r>
            <w:r w:rsidRPr="00945E91">
              <w:rPr>
                <w:rFonts w:asciiTheme="minorHAnsi" w:hAnsiTheme="minorHAnsi" w:cstheme="minorHAnsi"/>
                <w:lang w:val="de-DE"/>
              </w:rPr>
              <w:t xml:space="preserve">, quantifizierbar </w:t>
            </w:r>
          </w:p>
          <w:p w14:paraId="3BB24959"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MRD positiv, nicht quantifizierbar</w:t>
            </w:r>
          </w:p>
          <w:p w14:paraId="41B4C043"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MRD-negativ, nicht ausreichende Sensitivität </w:t>
            </w:r>
          </w:p>
          <w:p w14:paraId="4E409784"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Fehlender Marker</w:t>
            </w:r>
          </w:p>
          <w:p w14:paraId="1F01803E" w14:textId="77777777" w:rsidR="005754D0" w:rsidRPr="00945E91" w:rsidRDefault="005754D0" w:rsidP="00D11A8E">
            <w:pPr>
              <w:pStyle w:val="Listenabsatz"/>
              <w:numPr>
                <w:ilvl w:val="0"/>
                <w:numId w:val="22"/>
              </w:numPr>
              <w:autoSpaceDE w:val="0"/>
              <w:autoSpaceDN w:val="0"/>
              <w:adjustRightInd w:val="0"/>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Fehlendes Material zu dem Zeitpunkt </w:t>
            </w:r>
          </w:p>
        </w:tc>
      </w:tr>
    </w:tbl>
    <w:p w14:paraId="2A3D6E3C" w14:textId="77777777" w:rsidR="005754D0" w:rsidRPr="00945E91" w:rsidRDefault="005754D0" w:rsidP="005754D0">
      <w:pPr>
        <w:spacing w:line="240" w:lineRule="auto"/>
        <w:jc w:val="left"/>
        <w:rPr>
          <w:rFonts w:asciiTheme="minorHAnsi" w:hAnsiTheme="minorHAnsi" w:cstheme="minorHAnsi"/>
          <w:lang w:val="de-DE"/>
        </w:rPr>
      </w:pPr>
    </w:p>
    <w:p w14:paraId="11BAACE5" w14:textId="77777777" w:rsidR="005754D0" w:rsidRPr="00945E91" w:rsidRDefault="005754D0" w:rsidP="005754D0">
      <w:pPr>
        <w:spacing w:line="240" w:lineRule="auto"/>
        <w:jc w:val="left"/>
        <w:rPr>
          <w:rFonts w:asciiTheme="minorHAnsi" w:hAnsiTheme="minorHAnsi" w:cstheme="minorHAnsi"/>
          <w:b/>
          <w:bCs/>
          <w:lang w:val="de-DE"/>
        </w:rPr>
      </w:pPr>
    </w:p>
    <w:p w14:paraId="41879067" w14:textId="77777777" w:rsidR="005754D0" w:rsidRPr="00945E91" w:rsidRDefault="005754D0" w:rsidP="005754D0">
      <w:pPr>
        <w:spacing w:line="240" w:lineRule="auto"/>
        <w:jc w:val="left"/>
        <w:rPr>
          <w:rFonts w:asciiTheme="minorHAnsi" w:hAnsiTheme="minorHAnsi" w:cstheme="minorHAnsi"/>
          <w:b/>
          <w:bCs/>
          <w:lang w:val="de-DE"/>
        </w:rPr>
      </w:pPr>
      <w:r w:rsidRPr="00945E91">
        <w:rPr>
          <w:rFonts w:asciiTheme="minorHAnsi" w:hAnsiTheme="minorHAnsi" w:cstheme="minorHAnsi"/>
          <w:b/>
          <w:bCs/>
          <w:lang w:val="de-DE"/>
        </w:rPr>
        <w:t>Bewertung des Ansprechens extramedullärer Befälle (bei ALL und LBL)</w:t>
      </w:r>
    </w:p>
    <w:p w14:paraId="08BB96A3"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bCs/>
          <w:lang w:val="de-DE"/>
        </w:rPr>
        <w:t>Das Restaging extramedullärer RF/Lymphome sollte bei jeder KMP erfolgen.</w:t>
      </w:r>
    </w:p>
    <w:tbl>
      <w:tblPr>
        <w:tblW w:w="97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69"/>
        <w:gridCol w:w="6378"/>
      </w:tblGrid>
      <w:tr w:rsidR="005754D0" w:rsidRPr="00945E91" w14:paraId="3FE32185" w14:textId="77777777" w:rsidTr="005754D0">
        <w:trPr>
          <w:trHeight w:val="446"/>
        </w:trPr>
        <w:tc>
          <w:tcPr>
            <w:tcW w:w="9747" w:type="dxa"/>
            <w:gridSpan w:val="2"/>
            <w:tcBorders>
              <w:top w:val="single" w:sz="6" w:space="0" w:color="auto"/>
              <w:bottom w:val="single" w:sz="6" w:space="0" w:color="auto"/>
            </w:tcBorders>
          </w:tcPr>
          <w:p w14:paraId="1F8EAF2D" w14:textId="77777777" w:rsidR="005754D0" w:rsidRPr="00945E91" w:rsidRDefault="005754D0" w:rsidP="005754D0">
            <w:pPr>
              <w:spacing w:line="240" w:lineRule="auto"/>
              <w:jc w:val="left"/>
              <w:rPr>
                <w:rFonts w:asciiTheme="minorHAnsi" w:hAnsiTheme="minorHAnsi" w:cstheme="minorHAnsi"/>
                <w:sz w:val="18"/>
                <w:lang w:val="de-DE"/>
              </w:rPr>
            </w:pPr>
            <w:r w:rsidRPr="00945E91">
              <w:rPr>
                <w:rFonts w:asciiTheme="minorHAnsi" w:hAnsiTheme="minorHAnsi" w:cstheme="minorHAnsi"/>
                <w:sz w:val="18"/>
                <w:lang w:val="de-DE"/>
              </w:rPr>
              <w:t>Hinweis: Bei der Bewertung der Bildgebung für die Remissionskontrolle extramedullärer Befälle wird immer die vergleichende Ausmessung im Verhältnis zum Ausgangsbefund durchgeführt.</w:t>
            </w:r>
          </w:p>
        </w:tc>
      </w:tr>
      <w:tr w:rsidR="005754D0" w:rsidRPr="00945E91" w14:paraId="3E762962" w14:textId="77777777" w:rsidTr="005754D0">
        <w:trPr>
          <w:trHeight w:val="446"/>
        </w:trPr>
        <w:tc>
          <w:tcPr>
            <w:tcW w:w="3369" w:type="dxa"/>
            <w:tcBorders>
              <w:top w:val="single" w:sz="6" w:space="0" w:color="auto"/>
            </w:tcBorders>
          </w:tcPr>
          <w:p w14:paraId="0789D2CC"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Vollständige Remission (CR) </w:t>
            </w:r>
          </w:p>
        </w:tc>
        <w:tc>
          <w:tcPr>
            <w:tcW w:w="6378" w:type="dxa"/>
            <w:tcBorders>
              <w:top w:val="single" w:sz="6" w:space="0" w:color="auto"/>
            </w:tcBorders>
          </w:tcPr>
          <w:p w14:paraId="4D6889AA"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Keine nachweisbaren Befälle und Lymphknoten mit Durchmesser &gt;1,5 cm müssen unter 1,5 cm zurückgegangen sein</w:t>
            </w:r>
          </w:p>
        </w:tc>
      </w:tr>
      <w:tr w:rsidR="005754D0" w:rsidRPr="00945E91" w14:paraId="27006544" w14:textId="77777777" w:rsidTr="005754D0">
        <w:trPr>
          <w:trHeight w:val="259"/>
        </w:trPr>
        <w:tc>
          <w:tcPr>
            <w:tcW w:w="3369" w:type="dxa"/>
          </w:tcPr>
          <w:p w14:paraId="561E5A49"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CRu </w:t>
            </w:r>
          </w:p>
        </w:tc>
        <w:tc>
          <w:tcPr>
            <w:tcW w:w="6378" w:type="dxa"/>
          </w:tcPr>
          <w:p w14:paraId="657A7982" w14:textId="77777777" w:rsidR="005754D0" w:rsidRPr="00945E91" w:rsidRDefault="005754D0" w:rsidP="00D11A8E">
            <w:pPr>
              <w:pStyle w:val="Listenabsatz"/>
              <w:numPr>
                <w:ilvl w:val="0"/>
                <w:numId w:val="25"/>
              </w:num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Lymphknoten &gt;1,5 cm </w:t>
            </w:r>
          </w:p>
          <w:p w14:paraId="26946C03" w14:textId="77777777" w:rsidR="005754D0" w:rsidRPr="00945E91" w:rsidRDefault="005754D0" w:rsidP="00D11A8E">
            <w:pPr>
              <w:pStyle w:val="Listenabsatz"/>
              <w:numPr>
                <w:ilvl w:val="0"/>
                <w:numId w:val="25"/>
              </w:num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Rückgang der Tumormanifestation um &gt;75% </w:t>
            </w:r>
          </w:p>
        </w:tc>
      </w:tr>
      <w:tr w:rsidR="005754D0" w:rsidRPr="00945E91" w14:paraId="666EB7BB" w14:textId="77777777" w:rsidTr="005754D0">
        <w:trPr>
          <w:trHeight w:val="182"/>
        </w:trPr>
        <w:tc>
          <w:tcPr>
            <w:tcW w:w="3369" w:type="dxa"/>
          </w:tcPr>
          <w:p w14:paraId="5539A1B1"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Teilremission (PR) </w:t>
            </w:r>
          </w:p>
        </w:tc>
        <w:tc>
          <w:tcPr>
            <w:tcW w:w="6378" w:type="dxa"/>
          </w:tcPr>
          <w:p w14:paraId="1EFCE1CA"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Rückgang der Tumormanifestation um &gt;50% </w:t>
            </w:r>
          </w:p>
        </w:tc>
      </w:tr>
      <w:tr w:rsidR="005754D0" w:rsidRPr="00945E91" w14:paraId="5B327DF7" w14:textId="77777777" w:rsidTr="005754D0">
        <w:trPr>
          <w:trHeight w:val="261"/>
        </w:trPr>
        <w:tc>
          <w:tcPr>
            <w:tcW w:w="3369" w:type="dxa"/>
          </w:tcPr>
          <w:p w14:paraId="408B675C"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Therapieversagen </w:t>
            </w:r>
          </w:p>
        </w:tc>
        <w:tc>
          <w:tcPr>
            <w:tcW w:w="6378" w:type="dxa"/>
          </w:tcPr>
          <w:p w14:paraId="3F0919E0"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Rückgang der Tumormanifestation um &lt;50% oder Zunahme der Tumormanifestationen </w:t>
            </w:r>
          </w:p>
        </w:tc>
      </w:tr>
    </w:tbl>
    <w:p w14:paraId="3B175388"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t xml:space="preserve"> </w:t>
      </w:r>
    </w:p>
    <w:p w14:paraId="08EC6A57" w14:textId="77777777" w:rsidR="005754D0" w:rsidRPr="00945E91" w:rsidRDefault="005754D0" w:rsidP="005754D0">
      <w:pPr>
        <w:spacing w:line="240" w:lineRule="auto"/>
        <w:jc w:val="left"/>
        <w:rPr>
          <w:rFonts w:asciiTheme="minorHAnsi" w:hAnsiTheme="minorHAnsi" w:cstheme="minorHAnsi"/>
          <w:b/>
          <w:bCs/>
          <w:lang w:val="de-DE"/>
        </w:rPr>
      </w:pPr>
    </w:p>
    <w:p w14:paraId="70B84E97" w14:textId="134A8526" w:rsidR="005754D0" w:rsidRPr="00945E91" w:rsidRDefault="005754D0" w:rsidP="005754D0">
      <w:pPr>
        <w:spacing w:line="240" w:lineRule="auto"/>
        <w:jc w:val="left"/>
        <w:rPr>
          <w:rFonts w:asciiTheme="minorHAnsi" w:hAnsiTheme="minorHAnsi" w:cstheme="minorHAnsi"/>
          <w:b/>
          <w:bCs/>
          <w:lang w:val="de-DE"/>
        </w:rPr>
      </w:pPr>
      <w:r w:rsidRPr="00945E91">
        <w:rPr>
          <w:rFonts w:asciiTheme="minorHAnsi" w:hAnsiTheme="minorHAnsi" w:cstheme="minorHAnsi"/>
          <w:b/>
          <w:bCs/>
          <w:lang w:val="de-DE"/>
        </w:rPr>
        <w:t>Bewertung des Ansprechens extramedullärer Befälle (bei ALL und LBL) mittels PET-CT</w:t>
      </w:r>
      <w:r w:rsidR="00C21AC1">
        <w:rPr>
          <w:rFonts w:asciiTheme="minorHAnsi" w:hAnsiTheme="minorHAnsi" w:cstheme="minorHAnsi"/>
          <w:b/>
          <w:bCs/>
          <w:lang w:val="de-DE"/>
        </w:rPr>
        <w:t xml:space="preserve"> </w:t>
      </w:r>
    </w:p>
    <w:p w14:paraId="69ABDF87"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bCs/>
          <w:lang w:val="de-DE"/>
        </w:rPr>
        <w:t>Das Restaging extramedullärer RF/Lymphome sollte bei jeder KMP erfolgen.</w:t>
      </w:r>
    </w:p>
    <w:tbl>
      <w:tblPr>
        <w:tblStyle w:val="TableNormal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796"/>
      </w:tblGrid>
      <w:tr w:rsidR="005754D0" w:rsidRPr="00945E91" w14:paraId="201598DB" w14:textId="77777777" w:rsidTr="005754D0">
        <w:trPr>
          <w:trHeight w:val="568"/>
        </w:trPr>
        <w:tc>
          <w:tcPr>
            <w:tcW w:w="9639" w:type="dxa"/>
            <w:gridSpan w:val="2"/>
          </w:tcPr>
          <w:p w14:paraId="01AB34CF" w14:textId="77DF3AB2" w:rsidR="00227D54" w:rsidRPr="00227D54" w:rsidRDefault="005754D0" w:rsidP="00227D54">
            <w:pPr>
              <w:pStyle w:val="TableParagraph"/>
              <w:spacing w:line="252" w:lineRule="exact"/>
              <w:ind w:left="107" w:right="1117"/>
              <w:rPr>
                <w:rFonts w:asciiTheme="minorHAnsi" w:eastAsia="Times New Roman" w:hAnsiTheme="minorHAnsi" w:cstheme="minorHAnsi"/>
                <w:color w:val="FF0000"/>
                <w:sz w:val="18"/>
                <w:szCs w:val="20"/>
                <w:lang w:bidi="ar-SA"/>
              </w:rPr>
            </w:pPr>
            <w:r w:rsidRPr="00945E91">
              <w:rPr>
                <w:rFonts w:asciiTheme="minorHAnsi" w:eastAsia="Times New Roman" w:hAnsiTheme="minorHAnsi" w:cstheme="minorHAnsi"/>
                <w:sz w:val="18"/>
                <w:szCs w:val="20"/>
                <w:lang w:bidi="ar-SA"/>
              </w:rPr>
              <w:t>Hinweis: Bei der Bewertung der Bildgebung für die Remissionskontrolle extramedullärer Befälle wird immer der Vergleich zum Ausgangsbefund durchgeführt.</w:t>
            </w:r>
            <w:r w:rsidR="00520E37">
              <w:rPr>
                <w:rFonts w:asciiTheme="minorHAnsi" w:eastAsia="Times New Roman" w:hAnsiTheme="minorHAnsi" w:cstheme="minorHAnsi"/>
                <w:sz w:val="18"/>
                <w:szCs w:val="20"/>
                <w:lang w:bidi="ar-SA"/>
              </w:rPr>
              <w:t xml:space="preserve"> </w:t>
            </w:r>
            <w:r w:rsidR="00520E37" w:rsidRPr="00227D54">
              <w:rPr>
                <w:rFonts w:asciiTheme="minorHAnsi" w:eastAsia="Times New Roman" w:hAnsiTheme="minorHAnsi" w:cstheme="minorHAnsi"/>
                <w:color w:val="FF0000"/>
                <w:sz w:val="18"/>
                <w:szCs w:val="20"/>
                <w:lang w:bidi="ar-SA"/>
              </w:rPr>
              <w:t>Ein negativer PET-Befund wird bei eine Deauville-Score von 1-3 angesetzt (in Analogie zu</w:t>
            </w:r>
            <w:r w:rsidR="00254461" w:rsidRPr="00227D54">
              <w:rPr>
                <w:rFonts w:asciiTheme="minorHAnsi" w:eastAsia="Times New Roman" w:hAnsiTheme="minorHAnsi" w:cstheme="minorHAnsi"/>
                <w:color w:val="FF0000"/>
                <w:sz w:val="18"/>
                <w:szCs w:val="20"/>
                <w:lang w:bidi="ar-SA"/>
              </w:rPr>
              <w:t xml:space="preserve"> den </w:t>
            </w:r>
            <w:r w:rsidR="00227D54">
              <w:rPr>
                <w:rFonts w:asciiTheme="minorHAnsi" w:eastAsia="Times New Roman" w:hAnsiTheme="minorHAnsi" w:cstheme="minorHAnsi"/>
                <w:color w:val="FF0000"/>
                <w:sz w:val="18"/>
                <w:szCs w:val="20"/>
                <w:lang w:bidi="ar-SA"/>
              </w:rPr>
              <w:t>Kriterien nach RECIL</w:t>
            </w:r>
            <w:r w:rsidR="00254461" w:rsidRPr="00227D54">
              <w:rPr>
                <w:rFonts w:asciiTheme="minorHAnsi" w:eastAsia="Times New Roman" w:hAnsiTheme="minorHAnsi" w:cstheme="minorHAnsi"/>
                <w:color w:val="FF0000"/>
                <w:sz w:val="18"/>
                <w:szCs w:val="20"/>
                <w:lang w:bidi="ar-SA"/>
              </w:rPr>
              <w:t xml:space="preserve"> 2017 und L</w:t>
            </w:r>
            <w:r w:rsidR="00227D54">
              <w:rPr>
                <w:rFonts w:asciiTheme="minorHAnsi" w:eastAsia="Times New Roman" w:hAnsiTheme="minorHAnsi" w:cstheme="minorHAnsi"/>
                <w:color w:val="FF0000"/>
                <w:sz w:val="18"/>
                <w:szCs w:val="20"/>
                <w:lang w:bidi="ar-SA"/>
              </w:rPr>
              <w:t>ugano 2014</w:t>
            </w:r>
            <w:r w:rsidR="00520E37" w:rsidRPr="00227D54">
              <w:rPr>
                <w:rFonts w:asciiTheme="minorHAnsi" w:eastAsia="Times New Roman" w:hAnsiTheme="minorHAnsi" w:cstheme="minorHAnsi"/>
                <w:color w:val="FF0000"/>
                <w:sz w:val="18"/>
                <w:szCs w:val="20"/>
                <w:lang w:bidi="ar-SA"/>
              </w:rPr>
              <w:t xml:space="preserve"> </w:t>
            </w:r>
            <w:r w:rsidR="00254461" w:rsidRPr="00227D54">
              <w:rPr>
                <w:rFonts w:asciiTheme="minorHAnsi" w:eastAsia="Times New Roman" w:hAnsiTheme="minorHAnsi" w:cstheme="minorHAnsi"/>
                <w:color w:val="FF0000"/>
                <w:sz w:val="18"/>
                <w:szCs w:val="20"/>
                <w:lang w:bidi="ar-SA"/>
              </w:rPr>
              <w:t>bei anderen Lymphomen). Der Abstand bei Interims-PET-CTs sollte so lang wie möglich nach der vorangehenden Chemotherapie erfolgen. Das PET-CT bei Therapieende sollte idealerweise 6-8 Wochen nach der letzten Chemotherapie erfolgen, jedoch mindestens 3 Wochen. Nach Strahlentherapie sollte der Abstand 3 Monate betragen.</w:t>
            </w:r>
          </w:p>
        </w:tc>
      </w:tr>
      <w:tr w:rsidR="005754D0" w:rsidRPr="00945E91" w14:paraId="102933C0" w14:textId="77777777" w:rsidTr="005754D0">
        <w:trPr>
          <w:trHeight w:val="1120"/>
        </w:trPr>
        <w:tc>
          <w:tcPr>
            <w:tcW w:w="1843" w:type="dxa"/>
          </w:tcPr>
          <w:p w14:paraId="7795D11D" w14:textId="77777777" w:rsidR="005754D0" w:rsidRPr="00945E91" w:rsidRDefault="005754D0" w:rsidP="005754D0">
            <w:pPr>
              <w:pStyle w:val="TableParagraph"/>
              <w:rPr>
                <w:rFonts w:asciiTheme="minorHAnsi" w:hAnsiTheme="minorHAnsi" w:cstheme="minorHAnsi"/>
              </w:rPr>
            </w:pPr>
          </w:p>
          <w:p w14:paraId="49844849"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position w:val="3"/>
              </w:rPr>
              <w:t>CR</w:t>
            </w:r>
            <w:r w:rsidRPr="00945E91">
              <w:rPr>
                <w:rFonts w:asciiTheme="minorHAnsi" w:hAnsiTheme="minorHAnsi" w:cstheme="minorHAnsi"/>
                <w:vertAlign w:val="subscript"/>
              </w:rPr>
              <w:t>PET-NEG</w:t>
            </w:r>
          </w:p>
        </w:tc>
        <w:tc>
          <w:tcPr>
            <w:tcW w:w="7796" w:type="dxa"/>
          </w:tcPr>
          <w:p w14:paraId="72D5F102"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Keine nachweisbaren Befälle</w:t>
            </w:r>
          </w:p>
          <w:p w14:paraId="148BC76D"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Lymphknoten mit Durchmesser &gt; 1,5 cm müssen auf unter 1,5 cm zurückgegangen sein</w:t>
            </w:r>
          </w:p>
          <w:p w14:paraId="516E5113"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Negativer PET-Befund</w:t>
            </w:r>
          </w:p>
        </w:tc>
      </w:tr>
      <w:tr w:rsidR="005754D0" w:rsidRPr="00945E91" w14:paraId="6DFBEB1D" w14:textId="77777777" w:rsidTr="005754D0">
        <w:trPr>
          <w:trHeight w:val="726"/>
        </w:trPr>
        <w:tc>
          <w:tcPr>
            <w:tcW w:w="1843" w:type="dxa"/>
          </w:tcPr>
          <w:p w14:paraId="17B30B2B" w14:textId="77777777" w:rsidR="005754D0" w:rsidRPr="00945E91" w:rsidRDefault="005754D0" w:rsidP="005754D0">
            <w:pPr>
              <w:pStyle w:val="TableParagraph"/>
              <w:rPr>
                <w:rFonts w:asciiTheme="minorHAnsi" w:hAnsiTheme="minorHAnsi" w:cstheme="minorHAnsi"/>
              </w:rPr>
            </w:pPr>
          </w:p>
          <w:p w14:paraId="4AC02FDC"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position w:val="3"/>
              </w:rPr>
              <w:t>CRu</w:t>
            </w:r>
            <w:r w:rsidRPr="00945E91">
              <w:rPr>
                <w:rFonts w:asciiTheme="minorHAnsi" w:hAnsiTheme="minorHAnsi" w:cstheme="minorHAnsi"/>
                <w:vertAlign w:val="subscript"/>
              </w:rPr>
              <w:t>PET-NEG</w:t>
            </w:r>
          </w:p>
        </w:tc>
        <w:tc>
          <w:tcPr>
            <w:tcW w:w="7796" w:type="dxa"/>
          </w:tcPr>
          <w:p w14:paraId="49F8F073"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Lymphknoten &gt;1,5 cm</w:t>
            </w:r>
          </w:p>
          <w:p w14:paraId="6E2D4A56"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Rückgang der Tumormanifestation um &gt;75%</w:t>
            </w:r>
          </w:p>
          <w:p w14:paraId="5A89A7EC"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Negativer PET-Befund</w:t>
            </w:r>
          </w:p>
        </w:tc>
      </w:tr>
      <w:tr w:rsidR="005754D0" w:rsidRPr="00945E91" w14:paraId="1AA435A6" w14:textId="77777777" w:rsidTr="005754D0">
        <w:trPr>
          <w:trHeight w:val="443"/>
        </w:trPr>
        <w:tc>
          <w:tcPr>
            <w:tcW w:w="1843" w:type="dxa"/>
          </w:tcPr>
          <w:p w14:paraId="7477A454"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position w:val="3"/>
              </w:rPr>
              <w:t>PR</w:t>
            </w:r>
            <w:r w:rsidRPr="00945E91">
              <w:rPr>
                <w:rFonts w:asciiTheme="minorHAnsi" w:hAnsiTheme="minorHAnsi" w:cstheme="minorHAnsi"/>
                <w:vertAlign w:val="subscript"/>
              </w:rPr>
              <w:t>PET-NEG</w:t>
            </w:r>
          </w:p>
        </w:tc>
        <w:tc>
          <w:tcPr>
            <w:tcW w:w="7796" w:type="dxa"/>
          </w:tcPr>
          <w:p w14:paraId="2CE820D4"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Rückgang der Tumormanifestation um &gt;50%</w:t>
            </w:r>
          </w:p>
          <w:p w14:paraId="604037A9"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Negativer PET-Befund</w:t>
            </w:r>
          </w:p>
        </w:tc>
      </w:tr>
      <w:tr w:rsidR="005754D0" w:rsidRPr="00945E91" w14:paraId="547FE2BB" w14:textId="77777777" w:rsidTr="005754D0">
        <w:trPr>
          <w:trHeight w:val="481"/>
        </w:trPr>
        <w:tc>
          <w:tcPr>
            <w:tcW w:w="1843" w:type="dxa"/>
          </w:tcPr>
          <w:p w14:paraId="28AAE052"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position w:val="3"/>
              </w:rPr>
              <w:t>CRu</w:t>
            </w:r>
            <w:r w:rsidRPr="00945E91">
              <w:rPr>
                <w:rFonts w:asciiTheme="minorHAnsi" w:hAnsiTheme="minorHAnsi" w:cstheme="minorHAnsi"/>
                <w:vertAlign w:val="subscript"/>
              </w:rPr>
              <w:t>PET-POS</w:t>
            </w:r>
          </w:p>
        </w:tc>
        <w:tc>
          <w:tcPr>
            <w:tcW w:w="7796" w:type="dxa"/>
          </w:tcPr>
          <w:p w14:paraId="3E6C7A6A"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Kriterien der CRu</w:t>
            </w:r>
          </w:p>
          <w:p w14:paraId="62A0F911"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Positiver PET-Befund</w:t>
            </w:r>
          </w:p>
        </w:tc>
      </w:tr>
      <w:tr w:rsidR="005754D0" w:rsidRPr="00945E91" w14:paraId="7B0B600B" w14:textId="77777777" w:rsidTr="005754D0">
        <w:trPr>
          <w:trHeight w:val="519"/>
        </w:trPr>
        <w:tc>
          <w:tcPr>
            <w:tcW w:w="1843" w:type="dxa"/>
          </w:tcPr>
          <w:p w14:paraId="492A0CCE"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position w:val="3"/>
              </w:rPr>
              <w:t>PR</w:t>
            </w:r>
            <w:r w:rsidRPr="00945E91">
              <w:rPr>
                <w:rFonts w:asciiTheme="minorHAnsi" w:hAnsiTheme="minorHAnsi" w:cstheme="minorHAnsi"/>
                <w:vertAlign w:val="subscript"/>
              </w:rPr>
              <w:t>PET-POS</w:t>
            </w:r>
          </w:p>
        </w:tc>
        <w:tc>
          <w:tcPr>
            <w:tcW w:w="7796" w:type="dxa"/>
          </w:tcPr>
          <w:p w14:paraId="6D3A11C0"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Rückgang der Tumormanifestation um &gt;50%</w:t>
            </w:r>
          </w:p>
          <w:p w14:paraId="67C7E790"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Positiver PET-Befund</w:t>
            </w:r>
          </w:p>
        </w:tc>
      </w:tr>
      <w:tr w:rsidR="005754D0" w:rsidRPr="00945E91" w14:paraId="4433E223" w14:textId="77777777" w:rsidTr="005754D0">
        <w:trPr>
          <w:trHeight w:val="543"/>
        </w:trPr>
        <w:tc>
          <w:tcPr>
            <w:tcW w:w="1843" w:type="dxa"/>
          </w:tcPr>
          <w:p w14:paraId="7E7072F0" w14:textId="77777777" w:rsidR="005754D0" w:rsidRPr="00945E91" w:rsidRDefault="005754D0" w:rsidP="005754D0">
            <w:pPr>
              <w:pStyle w:val="TableParagraph"/>
              <w:ind w:left="107"/>
              <w:rPr>
                <w:rFonts w:asciiTheme="minorHAnsi" w:hAnsiTheme="minorHAnsi" w:cstheme="minorHAnsi"/>
              </w:rPr>
            </w:pPr>
            <w:r w:rsidRPr="00945E91">
              <w:rPr>
                <w:rFonts w:asciiTheme="minorHAnsi" w:hAnsiTheme="minorHAnsi" w:cstheme="minorHAnsi"/>
              </w:rPr>
              <w:t>Therapieversagen</w:t>
            </w:r>
          </w:p>
        </w:tc>
        <w:tc>
          <w:tcPr>
            <w:tcW w:w="7796" w:type="dxa"/>
          </w:tcPr>
          <w:p w14:paraId="3AF66596"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Rückgang der Tumormanifestation um &lt;50% oder</w:t>
            </w:r>
          </w:p>
          <w:p w14:paraId="19A403D6" w14:textId="77777777" w:rsidR="005754D0" w:rsidRPr="00945E91" w:rsidRDefault="005754D0" w:rsidP="00D11A8E">
            <w:pPr>
              <w:pStyle w:val="Listenabsatz"/>
              <w:numPr>
                <w:ilvl w:val="0"/>
                <w:numId w:val="30"/>
              </w:numPr>
              <w:spacing w:line="240" w:lineRule="auto"/>
              <w:jc w:val="left"/>
              <w:rPr>
                <w:rFonts w:asciiTheme="minorHAnsi" w:hAnsiTheme="minorHAnsi" w:cstheme="minorHAnsi"/>
                <w:lang w:val="de-DE"/>
              </w:rPr>
            </w:pPr>
            <w:r w:rsidRPr="00945E91">
              <w:rPr>
                <w:rFonts w:asciiTheme="minorHAnsi" w:hAnsiTheme="minorHAnsi" w:cstheme="minorHAnsi"/>
                <w:lang w:val="de-DE"/>
              </w:rPr>
              <w:t>Zunahme der Tumormanifestationen</w:t>
            </w:r>
          </w:p>
        </w:tc>
      </w:tr>
    </w:tbl>
    <w:p w14:paraId="157737CD" w14:textId="77777777" w:rsidR="005754D0" w:rsidRPr="00945E91" w:rsidRDefault="005754D0" w:rsidP="005754D0">
      <w:pPr>
        <w:spacing w:line="240" w:lineRule="auto"/>
        <w:jc w:val="left"/>
        <w:rPr>
          <w:rFonts w:asciiTheme="minorHAnsi" w:hAnsiTheme="minorHAnsi" w:cstheme="minorHAnsi"/>
          <w:lang w:val="de-DE"/>
        </w:rPr>
      </w:pPr>
      <w:r w:rsidRPr="00945E91">
        <w:rPr>
          <w:rFonts w:asciiTheme="minorHAnsi" w:hAnsiTheme="minorHAnsi" w:cstheme="minorHAnsi"/>
          <w:lang w:val="de-DE"/>
        </w:rPr>
        <w:br w:type="page"/>
      </w:r>
    </w:p>
    <w:p w14:paraId="5389EC93" w14:textId="7881F23E" w:rsidR="003655E2" w:rsidRPr="00945E91" w:rsidRDefault="000C7408" w:rsidP="000C7408">
      <w:pPr>
        <w:pStyle w:val="berschrift1"/>
        <w:jc w:val="both"/>
        <w:rPr>
          <w:rFonts w:cstheme="minorHAnsi"/>
          <w:color w:val="000000" w:themeColor="text1"/>
          <w:lang w:val="de-DE"/>
        </w:rPr>
      </w:pPr>
      <w:bookmarkStart w:id="59" w:name="_Toc408380483"/>
      <w:bookmarkStart w:id="60" w:name="_Toc74412418"/>
      <w:r w:rsidRPr="00945E91">
        <w:rPr>
          <w:rFonts w:cstheme="minorHAnsi"/>
          <w:color w:val="000000" w:themeColor="text1"/>
          <w:lang w:val="de-DE"/>
        </w:rPr>
        <w:lastRenderedPageBreak/>
        <w:t>4</w:t>
      </w:r>
      <w:r w:rsidRPr="00945E91">
        <w:rPr>
          <w:rFonts w:cstheme="minorHAnsi"/>
          <w:color w:val="000000" w:themeColor="text1"/>
          <w:lang w:val="de-DE"/>
        </w:rPr>
        <w:tab/>
      </w:r>
      <w:r w:rsidR="003655E2" w:rsidRPr="00945E91">
        <w:rPr>
          <w:rFonts w:cstheme="minorHAnsi"/>
          <w:color w:val="000000" w:themeColor="text1"/>
          <w:lang w:val="de-DE"/>
        </w:rPr>
        <w:t>Besondere klinische Situationen</w:t>
      </w:r>
      <w:bookmarkEnd w:id="59"/>
      <w:bookmarkEnd w:id="60"/>
      <w:r w:rsidR="003655E2" w:rsidRPr="00945E91">
        <w:rPr>
          <w:rFonts w:cstheme="minorHAnsi"/>
          <w:color w:val="000000" w:themeColor="text1"/>
          <w:lang w:val="de-DE"/>
        </w:rPr>
        <w:t xml:space="preserve"> </w:t>
      </w:r>
    </w:p>
    <w:p w14:paraId="07310FC4" w14:textId="77777777" w:rsidR="00D11A8E" w:rsidRPr="00945E91" w:rsidRDefault="00D11A8E" w:rsidP="00D11A8E">
      <w:pPr>
        <w:pStyle w:val="Textkrper-Einzug2"/>
        <w:spacing w:after="0" w:line="276" w:lineRule="auto"/>
        <w:ind w:left="0"/>
        <w:jc w:val="left"/>
        <w:rPr>
          <w:rFonts w:asciiTheme="minorHAnsi" w:hAnsiTheme="minorHAnsi" w:cstheme="minorHAnsi"/>
          <w:lang w:val="de-DE"/>
        </w:rPr>
      </w:pPr>
      <w:r w:rsidRPr="00945E91">
        <w:rPr>
          <w:rFonts w:asciiTheme="minorHAnsi" w:hAnsiTheme="minorHAnsi" w:cstheme="minorHAnsi"/>
          <w:lang w:val="de-DE"/>
        </w:rPr>
        <w:t>Weitere Angaben sind in den Konsensusempfehlungen sowie in den CATO-Protokollen angegeben.</w:t>
      </w:r>
    </w:p>
    <w:p w14:paraId="00367D5E" w14:textId="77777777" w:rsidR="00D11A8E" w:rsidRPr="00945E91" w:rsidRDefault="00D11A8E" w:rsidP="00D11A8E">
      <w:pPr>
        <w:pStyle w:val="Textkrper-Einzug2"/>
        <w:spacing w:after="0" w:line="276" w:lineRule="auto"/>
        <w:ind w:left="0"/>
        <w:jc w:val="left"/>
        <w:rPr>
          <w:rFonts w:asciiTheme="minorHAnsi" w:hAnsiTheme="minorHAnsi" w:cstheme="minorHAnsi"/>
          <w:b/>
          <w:lang w:val="de-DE"/>
        </w:rPr>
      </w:pPr>
    </w:p>
    <w:p w14:paraId="4574243D" w14:textId="77777777" w:rsidR="00D11A8E" w:rsidRPr="00945E91" w:rsidRDefault="00D11A8E" w:rsidP="00D11A8E">
      <w:pPr>
        <w:pStyle w:val="berschrift2"/>
        <w:rPr>
          <w:rFonts w:asciiTheme="minorHAnsi" w:hAnsiTheme="minorHAnsi" w:cstheme="minorHAnsi"/>
          <w:lang w:val="de-DE"/>
        </w:rPr>
      </w:pPr>
      <w:bookmarkStart w:id="61" w:name="_Toc74412419"/>
      <w:r w:rsidRPr="00945E91">
        <w:rPr>
          <w:rFonts w:asciiTheme="minorHAnsi" w:hAnsiTheme="minorHAnsi" w:cstheme="minorHAnsi"/>
          <w:lang w:val="de-DE"/>
        </w:rPr>
        <w:t>4.1. Asparaginase</w:t>
      </w:r>
      <w:bookmarkEnd w:id="61"/>
    </w:p>
    <w:p w14:paraId="139F0EA2" w14:textId="77777777" w:rsidR="00D11A8E" w:rsidRPr="00595E61" w:rsidRDefault="00D11A8E" w:rsidP="00595E61">
      <w:pPr>
        <w:pStyle w:val="Textkrper-Einzug2"/>
        <w:spacing w:line="276" w:lineRule="auto"/>
        <w:ind w:left="0"/>
        <w:jc w:val="left"/>
        <w:rPr>
          <w:rFonts w:asciiTheme="minorHAnsi" w:hAnsiTheme="minorHAnsi" w:cstheme="minorHAnsi"/>
          <w:szCs w:val="22"/>
          <w:lang w:val="de-DE"/>
        </w:rPr>
      </w:pPr>
      <w:r w:rsidRPr="00595E61">
        <w:rPr>
          <w:rFonts w:asciiTheme="minorHAnsi" w:hAnsiTheme="minorHAnsi" w:cstheme="minorHAnsi"/>
          <w:szCs w:val="22"/>
          <w:u w:val="single"/>
          <w:lang w:val="de-DE"/>
        </w:rPr>
        <w:t>Relative Kontraindikationen</w:t>
      </w:r>
      <w:r w:rsidRPr="00595E61">
        <w:rPr>
          <w:rFonts w:asciiTheme="minorHAnsi" w:hAnsiTheme="minorHAnsi" w:cstheme="minorHAnsi"/>
          <w:szCs w:val="22"/>
          <w:lang w:val="de-DE"/>
        </w:rPr>
        <w:t>: Akute symptomatische Venenthrombose in den letzten 4 Wochen, aktive DIC, aktive, klinisch relevante Blutung oder schwere Blutungskomplikationen, gravierende Leberschädigung, Pankreatitis</w:t>
      </w:r>
    </w:p>
    <w:p w14:paraId="58010FE0" w14:textId="77777777" w:rsidR="00D11A8E" w:rsidRPr="00595E61" w:rsidRDefault="00D11A8E" w:rsidP="00595E61">
      <w:pPr>
        <w:pStyle w:val="Textkrper-Einzug2"/>
        <w:spacing w:line="276" w:lineRule="auto"/>
        <w:ind w:left="0"/>
        <w:jc w:val="left"/>
        <w:rPr>
          <w:rFonts w:asciiTheme="minorHAnsi" w:hAnsiTheme="minorHAnsi" w:cstheme="minorHAnsi"/>
          <w:szCs w:val="22"/>
          <w:u w:val="single"/>
          <w:lang w:val="de-DE"/>
        </w:rPr>
      </w:pPr>
      <w:r w:rsidRPr="00595E61">
        <w:rPr>
          <w:rFonts w:asciiTheme="minorHAnsi" w:hAnsiTheme="minorHAnsi" w:cstheme="minorHAnsi"/>
          <w:szCs w:val="22"/>
          <w:u w:val="single"/>
          <w:lang w:val="de-DE"/>
        </w:rPr>
        <w:t>Praktische Durchführung und Überwachung</w:t>
      </w:r>
    </w:p>
    <w:p w14:paraId="3BCAF8F7" w14:textId="0B921FD0"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Zusätzliche Blutabnahmen</w:t>
      </w:r>
      <w:r w:rsidR="00323A59" w:rsidRPr="00595E61">
        <w:rPr>
          <w:rFonts w:asciiTheme="minorHAnsi" w:hAnsiTheme="minorHAnsi" w:cstheme="minorHAnsi"/>
          <w:szCs w:val="22"/>
          <w:lang w:val="de-DE"/>
        </w:rPr>
        <w:t xml:space="preserve">  3 x /Woche (bei pathologischen Befunden häufiger)</w:t>
      </w:r>
      <w:r w:rsidRPr="00595E61">
        <w:rPr>
          <w:rFonts w:asciiTheme="minorHAnsi" w:hAnsiTheme="minorHAnsi" w:cstheme="minorHAnsi"/>
          <w:szCs w:val="22"/>
          <w:lang w:val="de-DE"/>
        </w:rPr>
        <w:t>:</w:t>
      </w:r>
      <w:r w:rsidRPr="00595E61">
        <w:rPr>
          <w:rFonts w:asciiTheme="minorHAnsi" w:hAnsiTheme="minorHAnsi" w:cstheme="minorHAnsi"/>
          <w:b/>
          <w:szCs w:val="22"/>
          <w:lang w:val="de-DE"/>
        </w:rPr>
        <w:t xml:space="preserve"> </w:t>
      </w:r>
      <w:r w:rsidRPr="00595E61">
        <w:rPr>
          <w:rFonts w:asciiTheme="minorHAnsi" w:hAnsiTheme="minorHAnsi" w:cstheme="minorHAnsi"/>
          <w:szCs w:val="22"/>
          <w:lang w:val="de-DE"/>
        </w:rPr>
        <w:t xml:space="preserve">PTT, PTZ, Fibrinogen, </w:t>
      </w:r>
      <w:r w:rsidR="00323A59" w:rsidRPr="00595E61">
        <w:rPr>
          <w:rFonts w:asciiTheme="minorHAnsi" w:hAnsiTheme="minorHAnsi" w:cstheme="minorHAnsi"/>
          <w:szCs w:val="22"/>
          <w:lang w:val="de-DE"/>
        </w:rPr>
        <w:t xml:space="preserve">AT III, </w:t>
      </w:r>
      <w:r w:rsidRPr="00595E61">
        <w:rPr>
          <w:rFonts w:asciiTheme="minorHAnsi" w:hAnsiTheme="minorHAnsi" w:cstheme="minorHAnsi"/>
          <w:szCs w:val="22"/>
          <w:lang w:val="de-DE"/>
        </w:rPr>
        <w:t>D-Dimer (bei Hypofibrinogenämie, bei Fibrinogen &lt; 150 mg/dl regelmäßig ISTH-DIC-Score bestimmen), Triglyzeride, Lipase, Amylase, Glukose, Ammoniak bei ZNS-Symptomatik</w:t>
      </w:r>
    </w:p>
    <w:p w14:paraId="74BDE77B"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p>
    <w:p w14:paraId="34664C06" w14:textId="6D9A41BA"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 xml:space="preserve">Anhaltende Abweichungen der Gerinnungsparameter ohne klinisches Korrelat und ohne andere </w:t>
      </w:r>
      <w:r w:rsidR="00F2483C" w:rsidRPr="00595E61">
        <w:rPr>
          <w:rFonts w:asciiTheme="minorHAnsi" w:hAnsiTheme="minorHAnsi" w:cstheme="minorHAnsi"/>
          <w:szCs w:val="22"/>
          <w:lang w:val="de-DE"/>
        </w:rPr>
        <w:t>Toxizität</w:t>
      </w:r>
      <w:r w:rsidRPr="00595E61">
        <w:rPr>
          <w:rFonts w:asciiTheme="minorHAnsi" w:hAnsiTheme="minorHAnsi" w:cstheme="minorHAnsi"/>
          <w:szCs w:val="22"/>
          <w:lang w:val="de-DE"/>
        </w:rPr>
        <w:t xml:space="preserve"> stellen keine Kontraindikation für den 2. Teil des HDMTX/ASP-Blocks dar. Es besteht auch keine Indikation für eine Dosisreduzierung.</w:t>
      </w:r>
    </w:p>
    <w:p w14:paraId="537F6336"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p>
    <w:p w14:paraId="590DF112"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Thromboseprophylaxe siehe 3.1.1., Seite 8</w:t>
      </w:r>
    </w:p>
    <w:p w14:paraId="06E6334F"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p>
    <w:p w14:paraId="484B032A" w14:textId="74AB5E20"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 xml:space="preserve">Unmittelbar vorausgehende oder gleichzeitige Behandlung mit Vincristin kann die Toxizität von Pegaspargase verstärken und erhöht das Risiko anaphylaktischer Reaktionen. </w:t>
      </w:r>
      <w:r w:rsidR="00F2483C" w:rsidRPr="00595E61">
        <w:rPr>
          <w:rFonts w:asciiTheme="minorHAnsi" w:hAnsiTheme="minorHAnsi" w:cstheme="minorHAnsi"/>
          <w:szCs w:val="22"/>
          <w:lang w:val="de-DE"/>
        </w:rPr>
        <w:t>Die Anwendung</w:t>
      </w:r>
      <w:r w:rsidRPr="00595E61">
        <w:rPr>
          <w:rFonts w:asciiTheme="minorHAnsi" w:hAnsiTheme="minorHAnsi" w:cstheme="minorHAnsi"/>
          <w:szCs w:val="22"/>
          <w:lang w:val="de-DE"/>
        </w:rPr>
        <w:t xml:space="preserve"> von Oncaspar vor Vincristin kann die Neurotoxizität von Vincristin erhöhen. Aus diesem Grund muss die Vincristin-Gabe mindestens 12 Stunden vor Verabreichung von Oncaspar stattfinden, um eine Toxizität auf ein Minimum zu beschränken.</w:t>
      </w:r>
    </w:p>
    <w:p w14:paraId="00C53535" w14:textId="77777777" w:rsidR="00D11A8E" w:rsidRPr="00595E61" w:rsidRDefault="00D11A8E" w:rsidP="00595E61">
      <w:pPr>
        <w:pStyle w:val="Textkrper-Einzug2"/>
        <w:spacing w:after="0" w:line="276" w:lineRule="auto"/>
        <w:jc w:val="left"/>
        <w:rPr>
          <w:rFonts w:asciiTheme="minorHAnsi" w:hAnsiTheme="minorHAnsi" w:cstheme="minorHAnsi"/>
          <w:szCs w:val="22"/>
          <w:lang w:val="de-DE"/>
        </w:rPr>
      </w:pPr>
    </w:p>
    <w:p w14:paraId="2896E8A7" w14:textId="77777777" w:rsidR="00D11A8E" w:rsidRPr="00595E61" w:rsidRDefault="00D11A8E" w:rsidP="00595E61">
      <w:pPr>
        <w:pStyle w:val="Textkrper-Einzug2"/>
        <w:spacing w:after="0" w:line="276" w:lineRule="auto"/>
        <w:ind w:left="0"/>
        <w:jc w:val="left"/>
        <w:rPr>
          <w:rFonts w:asciiTheme="minorHAnsi" w:hAnsiTheme="minorHAnsi" w:cstheme="minorHAnsi"/>
          <w:b/>
          <w:szCs w:val="22"/>
          <w:lang w:val="de-DE"/>
        </w:rPr>
      </w:pPr>
      <w:r w:rsidRPr="00595E61">
        <w:rPr>
          <w:rFonts w:asciiTheme="minorHAnsi" w:hAnsiTheme="minorHAnsi" w:cstheme="minorHAnsi"/>
          <w:b/>
          <w:szCs w:val="22"/>
          <w:lang w:val="de-DE"/>
        </w:rPr>
        <w:t>Indikation für Dosisreduzierung auf 500 U/m2 bereits bei Erstgabe:</w:t>
      </w:r>
    </w:p>
    <w:p w14:paraId="40682390" w14:textId="77777777" w:rsidR="00D11A8E" w:rsidRPr="00595E61" w:rsidRDefault="00D11A8E" w:rsidP="00595E61">
      <w:pPr>
        <w:pStyle w:val="Textkrper-Einzug2"/>
        <w:numPr>
          <w:ilvl w:val="0"/>
          <w:numId w:val="26"/>
        </w:numPr>
        <w:spacing w:after="0" w:line="276" w:lineRule="auto"/>
        <w:ind w:left="283" w:hanging="284"/>
        <w:jc w:val="left"/>
        <w:rPr>
          <w:rFonts w:asciiTheme="minorHAnsi" w:hAnsiTheme="minorHAnsi" w:cstheme="minorHAnsi"/>
          <w:szCs w:val="22"/>
          <w:lang w:val="de-DE"/>
        </w:rPr>
      </w:pPr>
      <w:r w:rsidRPr="00595E61">
        <w:rPr>
          <w:rFonts w:asciiTheme="minorHAnsi" w:hAnsiTheme="minorHAnsi" w:cstheme="minorHAnsi"/>
          <w:szCs w:val="22"/>
          <w:lang w:val="de-DE"/>
        </w:rPr>
        <w:t>Steatosis hepatis (Detektion bei bildgebenden Untersuchungen in der Vorphase)</w:t>
      </w:r>
    </w:p>
    <w:p w14:paraId="762928EF" w14:textId="77777777" w:rsidR="00D11A8E" w:rsidRPr="00595E61" w:rsidRDefault="00D11A8E" w:rsidP="00595E61">
      <w:pPr>
        <w:pStyle w:val="Textkrper-Einzug2"/>
        <w:numPr>
          <w:ilvl w:val="0"/>
          <w:numId w:val="26"/>
        </w:numPr>
        <w:spacing w:after="0" w:line="276" w:lineRule="auto"/>
        <w:ind w:left="283" w:hanging="284"/>
        <w:jc w:val="left"/>
        <w:rPr>
          <w:rFonts w:asciiTheme="minorHAnsi" w:hAnsiTheme="minorHAnsi" w:cstheme="minorHAnsi"/>
          <w:szCs w:val="22"/>
          <w:lang w:val="de-DE"/>
        </w:rPr>
      </w:pPr>
      <w:r w:rsidRPr="00595E61">
        <w:rPr>
          <w:rFonts w:asciiTheme="minorHAnsi" w:hAnsiTheme="minorHAnsi" w:cstheme="minorHAnsi"/>
          <w:szCs w:val="22"/>
          <w:lang w:val="de-DE"/>
        </w:rPr>
        <w:t>BMI &gt; 30</w:t>
      </w:r>
    </w:p>
    <w:p w14:paraId="24144446" w14:textId="77777777" w:rsidR="00D11A8E" w:rsidRPr="00595E61" w:rsidRDefault="00D11A8E" w:rsidP="00595E61">
      <w:pPr>
        <w:pStyle w:val="Textkrper-Einzug2"/>
        <w:numPr>
          <w:ilvl w:val="0"/>
          <w:numId w:val="26"/>
        </w:numPr>
        <w:spacing w:after="0" w:line="276" w:lineRule="auto"/>
        <w:ind w:left="283" w:hanging="284"/>
        <w:jc w:val="left"/>
        <w:rPr>
          <w:rFonts w:asciiTheme="minorHAnsi" w:hAnsiTheme="minorHAnsi" w:cstheme="minorHAnsi"/>
          <w:szCs w:val="22"/>
          <w:lang w:val="de-DE"/>
        </w:rPr>
      </w:pPr>
      <w:r w:rsidRPr="00595E61">
        <w:rPr>
          <w:rFonts w:asciiTheme="minorHAnsi" w:hAnsiTheme="minorHAnsi" w:cstheme="minorHAnsi"/>
          <w:szCs w:val="22"/>
          <w:lang w:val="de-DE"/>
        </w:rPr>
        <w:t>Lebertoxizität der vorangegangenen Chemotherapie</w:t>
      </w:r>
    </w:p>
    <w:p w14:paraId="388BF730" w14:textId="77777777" w:rsidR="00D11A8E" w:rsidRPr="00595E61" w:rsidRDefault="00D11A8E" w:rsidP="00595E61">
      <w:pPr>
        <w:pStyle w:val="Textkrper-Einzug2"/>
        <w:numPr>
          <w:ilvl w:val="0"/>
          <w:numId w:val="26"/>
        </w:numPr>
        <w:spacing w:after="0" w:line="276" w:lineRule="auto"/>
        <w:ind w:left="283" w:hanging="284"/>
        <w:jc w:val="left"/>
        <w:rPr>
          <w:rFonts w:asciiTheme="minorHAnsi" w:hAnsiTheme="minorHAnsi" w:cstheme="minorHAnsi"/>
          <w:szCs w:val="22"/>
          <w:lang w:val="de-DE"/>
        </w:rPr>
      </w:pPr>
      <w:r w:rsidRPr="00595E61">
        <w:rPr>
          <w:rFonts w:asciiTheme="minorHAnsi" w:hAnsiTheme="minorHAnsi" w:cstheme="minorHAnsi"/>
          <w:szCs w:val="22"/>
          <w:lang w:val="de-DE"/>
        </w:rPr>
        <w:t>Andere bekannte Vorschädigung der Leber</w:t>
      </w:r>
    </w:p>
    <w:p w14:paraId="6C96CA65" w14:textId="77777777" w:rsidR="00D11A8E" w:rsidRPr="00595E61" w:rsidRDefault="00D11A8E" w:rsidP="00595E61">
      <w:pPr>
        <w:pStyle w:val="Textkrper-Einzug2"/>
        <w:spacing w:after="0" w:line="276" w:lineRule="auto"/>
        <w:jc w:val="left"/>
        <w:rPr>
          <w:rFonts w:asciiTheme="minorHAnsi" w:hAnsiTheme="minorHAnsi" w:cstheme="minorHAnsi"/>
          <w:szCs w:val="22"/>
          <w:lang w:val="de-DE"/>
        </w:rPr>
      </w:pPr>
    </w:p>
    <w:p w14:paraId="6FDF7C59"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Bei problemloser Applikation sollte die Dosis in nachfolgenden Zyklen stufenweise auf 1000 U/m</w:t>
      </w:r>
      <w:r w:rsidRPr="00595E61">
        <w:rPr>
          <w:rFonts w:asciiTheme="minorHAnsi" w:hAnsiTheme="minorHAnsi" w:cstheme="minorHAnsi"/>
          <w:szCs w:val="22"/>
          <w:vertAlign w:val="superscript"/>
          <w:lang w:val="de-DE"/>
        </w:rPr>
        <w:t>2</w:t>
      </w:r>
      <w:r w:rsidRPr="00595E61">
        <w:rPr>
          <w:rFonts w:asciiTheme="minorHAnsi" w:hAnsiTheme="minorHAnsi" w:cstheme="minorHAnsi"/>
          <w:szCs w:val="22"/>
          <w:lang w:val="de-DE"/>
        </w:rPr>
        <w:t xml:space="preserve"> und dann ggf. auf 2000 U/m</w:t>
      </w:r>
      <w:r w:rsidRPr="00595E61">
        <w:rPr>
          <w:rFonts w:asciiTheme="minorHAnsi" w:hAnsiTheme="minorHAnsi" w:cstheme="minorHAnsi"/>
          <w:szCs w:val="22"/>
          <w:vertAlign w:val="superscript"/>
          <w:lang w:val="de-DE"/>
        </w:rPr>
        <w:t>2</w:t>
      </w:r>
      <w:r w:rsidRPr="00595E61">
        <w:rPr>
          <w:rFonts w:asciiTheme="minorHAnsi" w:hAnsiTheme="minorHAnsi" w:cstheme="minorHAnsi"/>
          <w:szCs w:val="22"/>
          <w:lang w:val="de-DE"/>
        </w:rPr>
        <w:t xml:space="preserve"> erhöht werden.</w:t>
      </w:r>
    </w:p>
    <w:p w14:paraId="6BB265AE"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p>
    <w:p w14:paraId="35F3AE16" w14:textId="54E64D4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 xml:space="preserve">Bei Patienten mit protrahierter Asparaginaseaktivität in der Konsolidationstherapie (erkennbar durch Gerinnungsstörungen &gt;2 Wochen und/oder Asparaginase deutlich &gt;100 U/l nach 2 Wochen) oder </w:t>
      </w:r>
      <w:r w:rsidR="00F2483C" w:rsidRPr="00595E61">
        <w:rPr>
          <w:rFonts w:asciiTheme="minorHAnsi" w:hAnsiTheme="minorHAnsi" w:cstheme="minorHAnsi"/>
          <w:szCs w:val="22"/>
          <w:lang w:val="de-DE"/>
        </w:rPr>
        <w:t>Toxizität</w:t>
      </w:r>
      <w:r w:rsidRPr="00595E61">
        <w:rPr>
          <w:rFonts w:asciiTheme="minorHAnsi" w:hAnsiTheme="minorHAnsi" w:cstheme="minorHAnsi"/>
          <w:szCs w:val="22"/>
          <w:lang w:val="de-DE"/>
        </w:rPr>
        <w:t xml:space="preserve"> kann die Asparaginase-Dosis stufenweise gesenkt werden von 2000 U/m</w:t>
      </w:r>
      <w:r w:rsidRPr="00595E61">
        <w:rPr>
          <w:rFonts w:asciiTheme="minorHAnsi" w:hAnsiTheme="minorHAnsi" w:cstheme="minorHAnsi"/>
          <w:szCs w:val="22"/>
          <w:vertAlign w:val="superscript"/>
          <w:lang w:val="de-DE"/>
        </w:rPr>
        <w:t>2</w:t>
      </w:r>
      <w:r w:rsidRPr="00595E61">
        <w:rPr>
          <w:rFonts w:asciiTheme="minorHAnsi" w:hAnsiTheme="minorHAnsi" w:cstheme="minorHAnsi"/>
          <w:szCs w:val="22"/>
          <w:lang w:val="de-DE"/>
        </w:rPr>
        <w:t xml:space="preserve"> auf 1000 U/m</w:t>
      </w:r>
      <w:r w:rsidRPr="00595E61">
        <w:rPr>
          <w:rFonts w:asciiTheme="minorHAnsi" w:hAnsiTheme="minorHAnsi" w:cstheme="minorHAnsi"/>
          <w:szCs w:val="22"/>
          <w:vertAlign w:val="superscript"/>
          <w:lang w:val="de-DE"/>
        </w:rPr>
        <w:t>2</w:t>
      </w:r>
      <w:r w:rsidRPr="00595E61">
        <w:rPr>
          <w:rFonts w:asciiTheme="minorHAnsi" w:hAnsiTheme="minorHAnsi" w:cstheme="minorHAnsi"/>
          <w:szCs w:val="22"/>
          <w:lang w:val="de-DE"/>
        </w:rPr>
        <w:t xml:space="preserve"> und dann ggf. auf 500 U/m</w:t>
      </w:r>
      <w:r w:rsidRPr="00595E61">
        <w:rPr>
          <w:rFonts w:asciiTheme="minorHAnsi" w:hAnsiTheme="minorHAnsi" w:cstheme="minorHAnsi"/>
          <w:szCs w:val="22"/>
          <w:vertAlign w:val="superscript"/>
          <w:lang w:val="de-DE"/>
        </w:rPr>
        <w:t>2</w:t>
      </w:r>
      <w:r w:rsidRPr="00595E61">
        <w:rPr>
          <w:rFonts w:asciiTheme="minorHAnsi" w:hAnsiTheme="minorHAnsi" w:cstheme="minorHAnsi"/>
          <w:szCs w:val="22"/>
          <w:lang w:val="de-DE"/>
        </w:rPr>
        <w:t>. Bei jeder Senkung der Dosis sollte eine Aktivitätsmessung nach 2 Wochen durchgeführt werden. Die Aktivität sollte nach 2 Wochen über 50 U/l betragen.</w:t>
      </w:r>
    </w:p>
    <w:p w14:paraId="606A4ECB" w14:textId="77777777" w:rsidR="00D11A8E" w:rsidRPr="00595E61" w:rsidRDefault="00D11A8E" w:rsidP="00595E61">
      <w:pPr>
        <w:pStyle w:val="Textkrper-Einzug2"/>
        <w:spacing w:after="0" w:line="276" w:lineRule="auto"/>
        <w:jc w:val="left"/>
        <w:rPr>
          <w:rFonts w:asciiTheme="minorHAnsi" w:hAnsiTheme="minorHAnsi" w:cstheme="minorHAnsi"/>
          <w:b/>
          <w:szCs w:val="22"/>
          <w:u w:val="single"/>
          <w:lang w:val="de-DE"/>
        </w:rPr>
      </w:pPr>
    </w:p>
    <w:p w14:paraId="695DA28D" w14:textId="77777777" w:rsidR="00D11A8E" w:rsidRPr="00595E61" w:rsidRDefault="00D11A8E" w:rsidP="00595E61">
      <w:pPr>
        <w:pStyle w:val="Textkrper-Einzug2"/>
        <w:spacing w:after="0" w:line="276" w:lineRule="auto"/>
        <w:ind w:left="0"/>
        <w:jc w:val="left"/>
        <w:rPr>
          <w:rFonts w:asciiTheme="minorHAnsi" w:hAnsiTheme="minorHAnsi" w:cstheme="minorHAnsi"/>
          <w:b/>
          <w:szCs w:val="22"/>
          <w:lang w:val="de-DE"/>
        </w:rPr>
      </w:pPr>
      <w:r w:rsidRPr="00595E61">
        <w:rPr>
          <w:rFonts w:asciiTheme="minorHAnsi" w:hAnsiTheme="minorHAnsi" w:cstheme="minorHAnsi"/>
          <w:b/>
          <w:szCs w:val="22"/>
          <w:lang w:val="de-DE"/>
        </w:rPr>
        <w:t xml:space="preserve">Messung der Asparaginase-Aktivität </w:t>
      </w:r>
    </w:p>
    <w:p w14:paraId="4831EF23"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 xml:space="preserve">Lt. Rücksprache mit Münster ist die Messung auch außerhalb der GMALL-Studiengruppe derzeit kostenlos. Die PEG-Asp wird täglich ausgewertet, Erwinase und E. coli Asp jeden 2.-3. Tag. </w:t>
      </w:r>
    </w:p>
    <w:p w14:paraId="3EAFEB7B" w14:textId="77777777"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p>
    <w:p w14:paraId="7DE99862" w14:textId="77777777" w:rsidR="00D11A8E" w:rsidRPr="00595E61" w:rsidRDefault="00D11A8E" w:rsidP="00595E61">
      <w:pPr>
        <w:pStyle w:val="Textkrper-Einzug2"/>
        <w:spacing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lastRenderedPageBreak/>
        <w:t>Die Blutabnahme erfolgt an Tag +7 und +14 nach PEG-Asparaginase; für die anderen Asparaginasearten erfolgt die Blutabnahme unmittelbar vor der nächsten Asparaginaseapplikation (z.B. Erwinase: Tag 4, 8, 12, 16, 20, 24, 28 jeweils vor der evtl. Erwinase-Gabe an diesem Tag). Idealerweise sollte der Versand am Wochenanfang erfolgen (Mo/Di).</w:t>
      </w:r>
    </w:p>
    <w:p w14:paraId="0587EB7B" w14:textId="77777777" w:rsidR="00D11A8E" w:rsidRPr="00595E61" w:rsidRDefault="00D11A8E" w:rsidP="00595E61">
      <w:pPr>
        <w:pStyle w:val="Textkrper-Einzug2"/>
        <w:spacing w:after="0" w:line="276" w:lineRule="auto"/>
        <w:jc w:val="left"/>
        <w:rPr>
          <w:rFonts w:asciiTheme="minorHAnsi" w:hAnsiTheme="minorHAnsi" w:cstheme="minorHAnsi"/>
          <w:szCs w:val="22"/>
          <w:lang w:val="de-DE"/>
        </w:rPr>
      </w:pPr>
    </w:p>
    <w:p w14:paraId="4A61752C" w14:textId="77777777" w:rsidR="00D11A8E" w:rsidRPr="00595E61" w:rsidRDefault="00D11A8E" w:rsidP="00595E61">
      <w:pPr>
        <w:pStyle w:val="Textkrper-Einzug2"/>
        <w:numPr>
          <w:ilvl w:val="0"/>
          <w:numId w:val="33"/>
        </w:numPr>
        <w:spacing w:after="0" w:line="276" w:lineRule="auto"/>
        <w:ind w:left="283"/>
        <w:jc w:val="left"/>
        <w:rPr>
          <w:rFonts w:asciiTheme="minorHAnsi" w:hAnsiTheme="minorHAnsi" w:cstheme="minorHAnsi"/>
          <w:szCs w:val="22"/>
          <w:lang w:val="de-DE"/>
        </w:rPr>
      </w:pPr>
      <w:r w:rsidRPr="00595E61">
        <w:rPr>
          <w:rFonts w:asciiTheme="minorHAnsi" w:hAnsiTheme="minorHAnsi" w:cstheme="minorHAnsi"/>
          <w:szCs w:val="22"/>
          <w:lang w:val="de-DE"/>
        </w:rPr>
        <w:t xml:space="preserve">1 Serum-Röhrchen, das rasch zentrifugiert werden soll (als Serum dann 1 Woche lagerbar): </w:t>
      </w:r>
    </w:p>
    <w:p w14:paraId="17D8E843" w14:textId="77777777" w:rsidR="00D11A8E" w:rsidRPr="00595E61" w:rsidRDefault="00D11A8E" w:rsidP="00595E61">
      <w:pPr>
        <w:pStyle w:val="Textkrper-Einzug2"/>
        <w:numPr>
          <w:ilvl w:val="0"/>
          <w:numId w:val="33"/>
        </w:numPr>
        <w:spacing w:after="0" w:line="276" w:lineRule="auto"/>
        <w:ind w:left="283"/>
        <w:jc w:val="left"/>
        <w:rPr>
          <w:rFonts w:asciiTheme="minorHAnsi" w:hAnsiTheme="minorHAnsi" w:cstheme="minorHAnsi"/>
          <w:szCs w:val="22"/>
          <w:lang w:val="de-DE"/>
        </w:rPr>
      </w:pPr>
      <w:r w:rsidRPr="00595E61">
        <w:rPr>
          <w:rFonts w:asciiTheme="minorHAnsi" w:hAnsiTheme="minorHAnsi" w:cstheme="minorHAnsi"/>
          <w:szCs w:val="22"/>
          <w:lang w:val="de-DE"/>
        </w:rPr>
        <w:t xml:space="preserve">Ausgefülltes Anforderungszettel </w:t>
      </w:r>
      <w:r w:rsidRPr="00595E61">
        <w:rPr>
          <w:rFonts w:asciiTheme="minorHAnsi" w:hAnsiTheme="minorHAnsi" w:cstheme="minorHAnsi"/>
          <w:b/>
          <w:szCs w:val="22"/>
          <w:lang w:val="de-DE"/>
        </w:rPr>
        <w:t xml:space="preserve">(siehe Anhang) </w:t>
      </w:r>
      <w:r w:rsidRPr="00595E61">
        <w:rPr>
          <w:rFonts w:asciiTheme="minorHAnsi" w:hAnsiTheme="minorHAnsi" w:cstheme="minorHAnsi"/>
          <w:szCs w:val="22"/>
          <w:lang w:val="de-DE"/>
        </w:rPr>
        <w:t>mit</w:t>
      </w:r>
    </w:p>
    <w:p w14:paraId="77530C8E" w14:textId="77777777" w:rsidR="00D11A8E" w:rsidRPr="00595E61" w:rsidRDefault="00D11A8E" w:rsidP="00595E61">
      <w:pPr>
        <w:pStyle w:val="Textkrper-Einzug2"/>
        <w:numPr>
          <w:ilvl w:val="0"/>
          <w:numId w:val="34"/>
        </w:numPr>
        <w:spacing w:after="0" w:line="276" w:lineRule="auto"/>
        <w:ind w:left="283"/>
        <w:jc w:val="left"/>
        <w:rPr>
          <w:rFonts w:asciiTheme="minorHAnsi" w:hAnsiTheme="minorHAnsi" w:cstheme="minorHAnsi"/>
          <w:szCs w:val="22"/>
          <w:lang w:val="de-DE"/>
        </w:rPr>
      </w:pPr>
      <w:r w:rsidRPr="00595E61">
        <w:rPr>
          <w:rFonts w:asciiTheme="minorHAnsi" w:hAnsiTheme="minorHAnsi" w:cstheme="minorHAnsi"/>
          <w:szCs w:val="22"/>
          <w:lang w:val="de-DE"/>
        </w:rPr>
        <w:t>Angaben zum Patienten und Erkrankung (z.B. common B-ALL)</w:t>
      </w:r>
    </w:p>
    <w:p w14:paraId="4815A8F5" w14:textId="77777777" w:rsidR="00D11A8E" w:rsidRPr="00595E61" w:rsidRDefault="00D11A8E" w:rsidP="00595E61">
      <w:pPr>
        <w:pStyle w:val="Textkrper-Einzug2"/>
        <w:numPr>
          <w:ilvl w:val="0"/>
          <w:numId w:val="34"/>
        </w:numPr>
        <w:spacing w:after="0" w:line="276" w:lineRule="auto"/>
        <w:ind w:left="283"/>
        <w:jc w:val="left"/>
        <w:rPr>
          <w:rFonts w:asciiTheme="minorHAnsi" w:hAnsiTheme="minorHAnsi" w:cstheme="minorHAnsi"/>
          <w:szCs w:val="22"/>
          <w:lang w:val="de-DE"/>
        </w:rPr>
      </w:pPr>
      <w:r w:rsidRPr="00595E61">
        <w:rPr>
          <w:rFonts w:asciiTheme="minorHAnsi" w:hAnsiTheme="minorHAnsi" w:cstheme="minorHAnsi"/>
          <w:szCs w:val="22"/>
          <w:lang w:val="de-DE"/>
        </w:rPr>
        <w:t>Angaben zur Asparaginase (die E. coli Asp kann auf dem Formular nicht angekreuzt werden: bitte händisch vermerken)</w:t>
      </w:r>
    </w:p>
    <w:p w14:paraId="01FFA523" w14:textId="77777777" w:rsidR="00D11A8E" w:rsidRPr="00595E61" w:rsidRDefault="00D11A8E" w:rsidP="00595E61">
      <w:pPr>
        <w:pStyle w:val="Textkrper-Einzug2"/>
        <w:numPr>
          <w:ilvl w:val="0"/>
          <w:numId w:val="34"/>
        </w:numPr>
        <w:spacing w:after="0" w:line="276" w:lineRule="auto"/>
        <w:ind w:left="283"/>
        <w:jc w:val="left"/>
        <w:rPr>
          <w:rFonts w:asciiTheme="minorHAnsi" w:hAnsiTheme="minorHAnsi" w:cstheme="minorHAnsi"/>
          <w:szCs w:val="22"/>
          <w:lang w:val="de-DE"/>
        </w:rPr>
      </w:pPr>
      <w:r w:rsidRPr="00595E61">
        <w:rPr>
          <w:rFonts w:asciiTheme="minorHAnsi" w:hAnsiTheme="minorHAnsi" w:cstheme="minorHAnsi"/>
          <w:szCs w:val="22"/>
          <w:lang w:val="de-DE"/>
        </w:rPr>
        <w:t xml:space="preserve">Auf dem Begleitschein bitte vermerken, dass wir die Probe außerhalb der GMALL verschicken. </w:t>
      </w:r>
    </w:p>
    <w:p w14:paraId="476ED2EE" w14:textId="77777777" w:rsidR="00D11A8E" w:rsidRPr="00595E61" w:rsidRDefault="00D11A8E" w:rsidP="00595E61">
      <w:pPr>
        <w:pStyle w:val="Textkrper-Einzug2"/>
        <w:spacing w:after="0" w:line="276" w:lineRule="auto"/>
        <w:jc w:val="left"/>
        <w:rPr>
          <w:rFonts w:asciiTheme="minorHAnsi" w:hAnsiTheme="minorHAnsi" w:cstheme="minorHAnsi"/>
          <w:szCs w:val="22"/>
          <w:lang w:val="de-DE"/>
        </w:rPr>
      </w:pPr>
    </w:p>
    <w:p w14:paraId="68D1197A" w14:textId="3DC48406" w:rsidR="00D11A8E" w:rsidRPr="00595E61" w:rsidRDefault="00D11A8E" w:rsidP="00595E61">
      <w:pPr>
        <w:pStyle w:val="Textkrper-Einzug2"/>
        <w:spacing w:after="0" w:line="276" w:lineRule="auto"/>
        <w:ind w:left="0"/>
        <w:jc w:val="left"/>
        <w:rPr>
          <w:rFonts w:asciiTheme="minorHAnsi" w:hAnsiTheme="minorHAnsi" w:cstheme="minorHAnsi"/>
          <w:szCs w:val="22"/>
          <w:lang w:val="de-DE"/>
        </w:rPr>
      </w:pPr>
      <w:r w:rsidRPr="00595E61">
        <w:rPr>
          <w:rFonts w:asciiTheme="minorHAnsi" w:hAnsiTheme="minorHAnsi" w:cstheme="minorHAnsi"/>
          <w:szCs w:val="22"/>
          <w:lang w:val="de-DE"/>
        </w:rPr>
        <w:t>Das Labor</w:t>
      </w:r>
      <w:r w:rsidR="00F2483C" w:rsidRPr="00595E61">
        <w:rPr>
          <w:rFonts w:asciiTheme="minorHAnsi" w:hAnsiTheme="minorHAnsi" w:cstheme="minorHAnsi"/>
          <w:szCs w:val="22"/>
          <w:lang w:val="de-DE"/>
        </w:rPr>
        <w:t xml:space="preserve"> im Labor OKL-ELI</w:t>
      </w:r>
      <w:r w:rsidRPr="00595E61">
        <w:rPr>
          <w:rFonts w:asciiTheme="minorHAnsi" w:hAnsiTheme="minorHAnsi" w:cstheme="minorHAnsi"/>
          <w:szCs w:val="22"/>
          <w:lang w:val="de-DE"/>
        </w:rPr>
        <w:t xml:space="preserve"> (</w:t>
      </w:r>
      <w:r w:rsidR="00F2483C" w:rsidRPr="00595E61">
        <w:rPr>
          <w:rFonts w:asciiTheme="minorHAnsi" w:hAnsiTheme="minorHAnsi" w:cstheme="minorHAnsi"/>
          <w:szCs w:val="22"/>
          <w:lang w:val="de-DE"/>
        </w:rPr>
        <w:t>Leitung OA</w:t>
      </w:r>
      <w:r w:rsidRPr="00595E61">
        <w:rPr>
          <w:rFonts w:asciiTheme="minorHAnsi" w:hAnsiTheme="minorHAnsi" w:cstheme="minorHAnsi"/>
          <w:szCs w:val="22"/>
          <w:lang w:val="de-DE"/>
        </w:rPr>
        <w:t xml:space="preserve"> Vockenhuber) </w:t>
      </w:r>
      <w:r w:rsidR="00F2483C" w:rsidRPr="00595E61">
        <w:rPr>
          <w:rFonts w:asciiTheme="minorHAnsi" w:hAnsiTheme="minorHAnsi" w:cstheme="minorHAnsi"/>
          <w:szCs w:val="22"/>
          <w:lang w:val="de-DE"/>
        </w:rPr>
        <w:t>ist informiert</w:t>
      </w:r>
      <w:r w:rsidRPr="00595E61">
        <w:rPr>
          <w:rFonts w:asciiTheme="minorHAnsi" w:hAnsiTheme="minorHAnsi" w:cstheme="minorHAnsi"/>
          <w:szCs w:val="22"/>
          <w:lang w:val="de-DE"/>
        </w:rPr>
        <w:t xml:space="preserve">: die Proben </w:t>
      </w:r>
      <w:r w:rsidR="00F2483C" w:rsidRPr="00595E61">
        <w:rPr>
          <w:rFonts w:asciiTheme="minorHAnsi" w:hAnsiTheme="minorHAnsi" w:cstheme="minorHAnsi"/>
          <w:szCs w:val="22"/>
          <w:lang w:val="de-DE"/>
        </w:rPr>
        <w:t xml:space="preserve">daher </w:t>
      </w:r>
      <w:r w:rsidRPr="00595E61">
        <w:rPr>
          <w:rFonts w:asciiTheme="minorHAnsi" w:hAnsiTheme="minorHAnsi" w:cstheme="minorHAnsi"/>
          <w:szCs w:val="22"/>
          <w:lang w:val="de-DE"/>
        </w:rPr>
        <w:t xml:space="preserve">einfach mit Begleitschein ins Labor schicken. </w:t>
      </w:r>
    </w:p>
    <w:p w14:paraId="019EDC8B" w14:textId="2694AF6A" w:rsidR="00D11A8E" w:rsidRPr="00945E91" w:rsidRDefault="00D11A8E" w:rsidP="00D11A8E">
      <w:pPr>
        <w:pStyle w:val="Textkrper-Einzug2"/>
        <w:spacing w:after="0" w:line="276" w:lineRule="auto"/>
        <w:ind w:left="360"/>
        <w:jc w:val="left"/>
        <w:rPr>
          <w:rFonts w:asciiTheme="minorHAnsi" w:hAnsiTheme="minorHAnsi" w:cstheme="minorHAnsi"/>
          <w:b/>
          <w:sz w:val="20"/>
          <w:lang w:val="de-DE"/>
        </w:rPr>
      </w:pPr>
    </w:p>
    <w:p w14:paraId="467F7013" w14:textId="77777777" w:rsidR="00D11A8E" w:rsidRPr="00595E61" w:rsidRDefault="00D11A8E" w:rsidP="00595E61">
      <w:pPr>
        <w:pStyle w:val="Textkrper-Einzug2"/>
        <w:spacing w:after="0" w:line="276" w:lineRule="auto"/>
        <w:ind w:left="0"/>
        <w:jc w:val="left"/>
        <w:rPr>
          <w:rFonts w:asciiTheme="minorHAnsi" w:hAnsiTheme="minorHAnsi" w:cstheme="minorHAnsi"/>
          <w:b/>
          <w:szCs w:val="22"/>
          <w:lang w:val="de-DE"/>
        </w:rPr>
      </w:pPr>
      <w:r w:rsidRPr="00595E61">
        <w:rPr>
          <w:rFonts w:asciiTheme="minorHAnsi" w:hAnsiTheme="minorHAnsi" w:cstheme="minorHAnsi"/>
          <w:b/>
          <w:szCs w:val="22"/>
          <w:lang w:val="de-DE"/>
        </w:rPr>
        <w:t xml:space="preserve">Ziele der Asparaginase-Aktivitätsmessung </w:t>
      </w:r>
    </w:p>
    <w:p w14:paraId="21FB6FDB" w14:textId="77777777" w:rsidR="00D11A8E" w:rsidRPr="00595E61" w:rsidRDefault="00D11A8E" w:rsidP="00595E61">
      <w:pPr>
        <w:pStyle w:val="Textkrper-Einzug2"/>
        <w:numPr>
          <w:ilvl w:val="0"/>
          <w:numId w:val="27"/>
        </w:numPr>
        <w:spacing w:after="0" w:line="276" w:lineRule="auto"/>
        <w:ind w:left="284"/>
        <w:jc w:val="left"/>
        <w:rPr>
          <w:rFonts w:asciiTheme="minorHAnsi" w:hAnsiTheme="minorHAnsi" w:cstheme="minorHAnsi"/>
          <w:szCs w:val="22"/>
          <w:u w:val="single"/>
          <w:lang w:val="de-DE"/>
        </w:rPr>
      </w:pPr>
      <w:r w:rsidRPr="00595E61">
        <w:rPr>
          <w:rFonts w:asciiTheme="minorHAnsi" w:hAnsiTheme="minorHAnsi" w:cstheme="minorHAnsi"/>
          <w:szCs w:val="22"/>
          <w:u w:val="single"/>
          <w:lang w:val="de-DE"/>
        </w:rPr>
        <w:t>Detektion von Silent Inactivation</w:t>
      </w:r>
    </w:p>
    <w:p w14:paraId="45FEF987" w14:textId="42C6FC3B" w:rsidR="00D11A8E" w:rsidRPr="00595E61" w:rsidRDefault="00D11A8E" w:rsidP="00595E61">
      <w:pPr>
        <w:pStyle w:val="Textkrper-Einzug2"/>
        <w:spacing w:after="0" w:line="276" w:lineRule="auto"/>
        <w:ind w:left="284"/>
        <w:jc w:val="left"/>
        <w:rPr>
          <w:rFonts w:asciiTheme="minorHAnsi" w:hAnsiTheme="minorHAnsi" w:cstheme="minorHAnsi"/>
          <w:szCs w:val="22"/>
          <w:lang w:val="de-DE"/>
        </w:rPr>
      </w:pPr>
      <w:r w:rsidRPr="00595E61">
        <w:rPr>
          <w:rFonts w:asciiTheme="minorHAnsi" w:hAnsiTheme="minorHAnsi" w:cstheme="minorHAnsi"/>
          <w:szCs w:val="22"/>
          <w:lang w:val="de-DE"/>
        </w:rPr>
        <w:t>Bei Patienten mit peg-Asparaginase Aktivität unter 50 U/l bereits an Tag 7 nach Applikation von 2000 U/m² ist von einer Silent Inactivation auszugehen. Die fortgesetzte Gabe von PEG-Asparaginase ist dann nicht sinnvoll. Um eine weitere Asparagin</w:t>
      </w:r>
      <w:r w:rsidR="00F2483C" w:rsidRPr="00595E61">
        <w:rPr>
          <w:rFonts w:asciiTheme="minorHAnsi" w:hAnsiTheme="minorHAnsi" w:cstheme="minorHAnsi"/>
          <w:szCs w:val="22"/>
          <w:lang w:val="de-DE"/>
        </w:rPr>
        <w:t>ase</w:t>
      </w:r>
      <w:r w:rsidRPr="00595E61">
        <w:rPr>
          <w:rFonts w:asciiTheme="minorHAnsi" w:hAnsiTheme="minorHAnsi" w:cstheme="minorHAnsi"/>
          <w:szCs w:val="22"/>
          <w:lang w:val="de-DE"/>
        </w:rPr>
        <w:t>depletion und damit antileukämische Wirkung zu erzielen, sollte eine Umstellung auf Erwinase erfolgen.</w:t>
      </w:r>
    </w:p>
    <w:p w14:paraId="61B78922" w14:textId="77777777" w:rsidR="00D11A8E" w:rsidRPr="00595E61" w:rsidRDefault="00D11A8E" w:rsidP="00595E61">
      <w:pPr>
        <w:pStyle w:val="Textkrper-Einzug2"/>
        <w:numPr>
          <w:ilvl w:val="0"/>
          <w:numId w:val="27"/>
        </w:numPr>
        <w:spacing w:after="0" w:line="276" w:lineRule="auto"/>
        <w:ind w:left="284"/>
        <w:jc w:val="left"/>
        <w:rPr>
          <w:rFonts w:asciiTheme="minorHAnsi" w:hAnsiTheme="minorHAnsi" w:cstheme="minorHAnsi"/>
          <w:szCs w:val="22"/>
          <w:u w:val="single"/>
          <w:lang w:val="de-DE"/>
        </w:rPr>
      </w:pPr>
      <w:r w:rsidRPr="00595E61">
        <w:rPr>
          <w:rFonts w:asciiTheme="minorHAnsi" w:hAnsiTheme="minorHAnsi" w:cstheme="minorHAnsi"/>
          <w:szCs w:val="22"/>
          <w:u w:val="single"/>
          <w:lang w:val="de-DE"/>
        </w:rPr>
        <w:t>Bestimmung der individuellen Wirkdauer</w:t>
      </w:r>
    </w:p>
    <w:p w14:paraId="5914B611" w14:textId="06DF3D14" w:rsidR="00D11A8E" w:rsidRPr="00595E61" w:rsidRDefault="00D11A8E" w:rsidP="00595E61">
      <w:pPr>
        <w:pStyle w:val="Textkrper-Einzug2"/>
        <w:spacing w:after="0" w:line="276" w:lineRule="auto"/>
        <w:ind w:left="284"/>
        <w:jc w:val="left"/>
        <w:rPr>
          <w:rFonts w:asciiTheme="minorHAnsi" w:hAnsiTheme="minorHAnsi" w:cstheme="minorHAnsi"/>
          <w:szCs w:val="22"/>
          <w:lang w:val="de-DE"/>
        </w:rPr>
      </w:pPr>
      <w:r w:rsidRPr="00595E61">
        <w:rPr>
          <w:rFonts w:asciiTheme="minorHAnsi" w:hAnsiTheme="minorHAnsi" w:cstheme="minorHAnsi"/>
          <w:szCs w:val="22"/>
          <w:lang w:val="de-DE"/>
        </w:rPr>
        <w:t xml:space="preserve">Die Dauer der peg-Asparaginase-Aktivität nach Gabe von 2000 U/m² zeigt eine große interindividuelle Variabilität zwischen 2 und 4 Wochen. Daher sollte bei allen Patienten in der Induktion die Wirkdauer bestimmt werden. Bei Patienten mit protrahierter Asparaginaseaktivität in der Konsolidationstherapie (erkennbar durch Gerinnungsstörungen &gt; 2 Wochen und/oder Asparaginase deutlich &gt;100 U/l nach 2 Wochen) oder </w:t>
      </w:r>
      <w:r w:rsidR="00F2483C" w:rsidRPr="00595E61">
        <w:rPr>
          <w:rFonts w:asciiTheme="minorHAnsi" w:hAnsiTheme="minorHAnsi" w:cstheme="minorHAnsi"/>
          <w:szCs w:val="22"/>
          <w:lang w:val="de-DE"/>
        </w:rPr>
        <w:t>Toxizität</w:t>
      </w:r>
      <w:r w:rsidRPr="00595E61">
        <w:rPr>
          <w:rFonts w:asciiTheme="minorHAnsi" w:hAnsiTheme="minorHAnsi" w:cstheme="minorHAnsi"/>
          <w:szCs w:val="22"/>
          <w:lang w:val="de-DE"/>
        </w:rPr>
        <w:t xml:space="preserve"> kann die Asparaginase-Dosis stufenweise gesenkt werden von 2000 U/m2auf 1000 U/m2 und dann ggf. auf 500 U/m2. Bei jeder Senkung der Dosis sollte unbedingt eine Aktivitätsmessung nach 2 Wochen durchgeführt werden. Die Aktivität sollte nach 2 Wochen &gt; 50 U/l betragen.</w:t>
      </w:r>
    </w:p>
    <w:p w14:paraId="0A99866B" w14:textId="77777777" w:rsidR="00D11A8E" w:rsidRPr="00595E61" w:rsidRDefault="00D11A8E" w:rsidP="00595E61">
      <w:pPr>
        <w:pStyle w:val="Textkrper-Einzug2"/>
        <w:numPr>
          <w:ilvl w:val="0"/>
          <w:numId w:val="27"/>
        </w:numPr>
        <w:spacing w:after="0" w:line="276" w:lineRule="auto"/>
        <w:ind w:left="284"/>
        <w:jc w:val="left"/>
        <w:rPr>
          <w:rFonts w:asciiTheme="minorHAnsi" w:hAnsiTheme="minorHAnsi" w:cstheme="minorHAnsi"/>
          <w:szCs w:val="22"/>
          <w:u w:val="single"/>
          <w:lang w:val="de-DE"/>
        </w:rPr>
      </w:pPr>
      <w:r w:rsidRPr="00595E61">
        <w:rPr>
          <w:rFonts w:asciiTheme="minorHAnsi" w:hAnsiTheme="minorHAnsi" w:cstheme="minorHAnsi"/>
          <w:szCs w:val="22"/>
          <w:u w:val="single"/>
          <w:lang w:val="de-DE"/>
        </w:rPr>
        <w:t>Wirksamkeit der Erwinase-Therapie</w:t>
      </w:r>
    </w:p>
    <w:p w14:paraId="3EC65AFD" w14:textId="77777777" w:rsidR="00D11A8E" w:rsidRPr="00595E61" w:rsidRDefault="00D11A8E" w:rsidP="00595E61">
      <w:pPr>
        <w:pStyle w:val="Textkrper-Einzug2"/>
        <w:spacing w:after="0" w:line="276" w:lineRule="auto"/>
        <w:ind w:left="284"/>
        <w:jc w:val="left"/>
        <w:rPr>
          <w:rFonts w:asciiTheme="minorHAnsi" w:hAnsiTheme="minorHAnsi" w:cstheme="minorHAnsi"/>
          <w:szCs w:val="22"/>
          <w:lang w:val="de-DE"/>
        </w:rPr>
      </w:pPr>
      <w:r w:rsidRPr="00595E61">
        <w:rPr>
          <w:rFonts w:asciiTheme="minorHAnsi" w:hAnsiTheme="minorHAnsi" w:cstheme="minorHAnsi"/>
          <w:szCs w:val="22"/>
          <w:lang w:val="de-DE"/>
        </w:rPr>
        <w:t>Nach einer ggf. durchgeführten Umstellung auf Erwinase müssen die Messungen ebenfalls durchgeführt werden. Ziel ist es, festzustellen, ob eine Asparaginase-Aktivität über 50 U/l über einen der Therapie mit PEG-Asparaginase vergleichbaren Zeitraum erreicht werden kann.</w:t>
      </w:r>
    </w:p>
    <w:p w14:paraId="5A9D6484" w14:textId="6869C4EE" w:rsidR="00D11A8E" w:rsidRPr="00595E61" w:rsidRDefault="00D11A8E" w:rsidP="00595E61">
      <w:pPr>
        <w:pStyle w:val="Textkrper-Einzug2"/>
        <w:numPr>
          <w:ilvl w:val="0"/>
          <w:numId w:val="27"/>
        </w:numPr>
        <w:spacing w:after="0" w:line="276" w:lineRule="auto"/>
        <w:ind w:left="284"/>
        <w:jc w:val="left"/>
        <w:rPr>
          <w:rFonts w:asciiTheme="minorHAnsi" w:hAnsiTheme="minorHAnsi" w:cstheme="minorHAnsi"/>
          <w:szCs w:val="22"/>
          <w:u w:val="single"/>
          <w:lang w:val="de-DE"/>
        </w:rPr>
      </w:pPr>
      <w:r w:rsidRPr="00595E61">
        <w:rPr>
          <w:rFonts w:asciiTheme="minorHAnsi" w:hAnsiTheme="minorHAnsi" w:cstheme="minorHAnsi"/>
          <w:szCs w:val="22"/>
          <w:u w:val="single"/>
          <w:lang w:val="de-DE"/>
        </w:rPr>
        <w:t>Wirksamkeit der L-Asparaginase (E.</w:t>
      </w:r>
      <w:r w:rsidR="00933BCB" w:rsidRPr="00595E61">
        <w:rPr>
          <w:rFonts w:asciiTheme="minorHAnsi" w:hAnsiTheme="minorHAnsi" w:cstheme="minorHAnsi"/>
          <w:szCs w:val="22"/>
          <w:u w:val="single"/>
          <w:lang w:val="de-DE"/>
        </w:rPr>
        <w:t xml:space="preserve"> </w:t>
      </w:r>
      <w:r w:rsidRPr="00595E61">
        <w:rPr>
          <w:rFonts w:asciiTheme="minorHAnsi" w:hAnsiTheme="minorHAnsi" w:cstheme="minorHAnsi"/>
          <w:szCs w:val="22"/>
          <w:u w:val="single"/>
          <w:lang w:val="de-DE"/>
        </w:rPr>
        <w:t>coli)</w:t>
      </w:r>
      <w:r w:rsidR="00933BCB" w:rsidRPr="00595E61">
        <w:rPr>
          <w:rFonts w:asciiTheme="minorHAnsi" w:hAnsiTheme="minorHAnsi" w:cstheme="minorHAnsi"/>
          <w:szCs w:val="22"/>
          <w:u w:val="single"/>
          <w:lang w:val="de-DE"/>
        </w:rPr>
        <w:t xml:space="preserve"> -</w:t>
      </w:r>
      <w:r w:rsidRPr="00595E61">
        <w:rPr>
          <w:rFonts w:asciiTheme="minorHAnsi" w:hAnsiTheme="minorHAnsi" w:cstheme="minorHAnsi"/>
          <w:szCs w:val="22"/>
          <w:u w:val="single"/>
          <w:lang w:val="de-DE"/>
        </w:rPr>
        <w:t>Therapie (Spectr</w:t>
      </w:r>
      <w:r w:rsidR="00933BCB" w:rsidRPr="00595E61">
        <w:rPr>
          <w:rFonts w:asciiTheme="minorHAnsi" w:hAnsiTheme="minorHAnsi" w:cstheme="minorHAnsi"/>
          <w:szCs w:val="22"/>
          <w:u w:val="single"/>
          <w:lang w:val="de-DE"/>
        </w:rPr>
        <w:t>i</w:t>
      </w:r>
      <w:r w:rsidRPr="00595E61">
        <w:rPr>
          <w:rFonts w:asciiTheme="minorHAnsi" w:hAnsiTheme="minorHAnsi" w:cstheme="minorHAnsi"/>
          <w:szCs w:val="22"/>
          <w:u w:val="single"/>
          <w:lang w:val="de-DE"/>
        </w:rPr>
        <w:t>la)</w:t>
      </w:r>
    </w:p>
    <w:p w14:paraId="6325F62A" w14:textId="77777777" w:rsidR="00D11A8E" w:rsidRPr="00595E61" w:rsidRDefault="00D11A8E" w:rsidP="00595E61">
      <w:pPr>
        <w:pStyle w:val="Textkrper-Einzug2"/>
        <w:spacing w:after="0" w:line="276" w:lineRule="auto"/>
        <w:ind w:left="284"/>
        <w:jc w:val="left"/>
        <w:rPr>
          <w:rFonts w:asciiTheme="minorHAnsi" w:hAnsiTheme="minorHAnsi" w:cstheme="minorHAnsi"/>
          <w:szCs w:val="22"/>
          <w:lang w:val="de-DE"/>
        </w:rPr>
      </w:pPr>
      <w:r w:rsidRPr="00595E61">
        <w:rPr>
          <w:rFonts w:asciiTheme="minorHAnsi" w:hAnsiTheme="minorHAnsi" w:cstheme="minorHAnsi"/>
          <w:szCs w:val="22"/>
          <w:lang w:val="de-DE"/>
        </w:rPr>
        <w:t xml:space="preserve">Nach einer ggf. durchgeführten Umstellung auf Spectrila müssen die Messungen ebenfalls durchgeführt werden. Ziel ist es, festzustellen, ob eine Asparaginase-Aktivität über 50 U/l über einen der Therapie mit PEG-Asparaginase vergleichbaren Zeitraum erreicht werden kann. Nach mehrmaliger Gabe von Asparaginase in einer Dosis von 5.000 E/m² jeden dritten Tag lagen die Talspiegel der Asparaginase-Aktivität im Serum zwischen 108 und 510 U/l.   </w:t>
      </w:r>
    </w:p>
    <w:p w14:paraId="42619DC5" w14:textId="1FA427A2" w:rsidR="00D11A8E" w:rsidRDefault="00D11A8E" w:rsidP="00D11A8E">
      <w:pPr>
        <w:spacing w:line="276" w:lineRule="auto"/>
        <w:jc w:val="left"/>
        <w:rPr>
          <w:rFonts w:asciiTheme="minorHAnsi" w:hAnsiTheme="minorHAnsi" w:cstheme="minorHAnsi"/>
          <w:b/>
          <w:lang w:val="de-DE"/>
        </w:rPr>
      </w:pPr>
    </w:p>
    <w:p w14:paraId="779143BF" w14:textId="77777777" w:rsidR="00595E61" w:rsidRPr="00945E91" w:rsidRDefault="00595E61" w:rsidP="00D11A8E">
      <w:pPr>
        <w:spacing w:line="276" w:lineRule="auto"/>
        <w:jc w:val="left"/>
        <w:rPr>
          <w:rFonts w:asciiTheme="minorHAnsi" w:hAnsiTheme="minorHAnsi" w:cstheme="minorHAnsi"/>
          <w:b/>
          <w:lang w:val="de-DE"/>
        </w:rPr>
      </w:pPr>
    </w:p>
    <w:p w14:paraId="35EE79B7" w14:textId="40AA9DE3" w:rsidR="00D11A8E" w:rsidRPr="00945E91" w:rsidRDefault="00D11A8E" w:rsidP="00D11A8E">
      <w:pPr>
        <w:pStyle w:val="berschrift2"/>
        <w:rPr>
          <w:rFonts w:asciiTheme="minorHAnsi" w:hAnsiTheme="minorHAnsi" w:cstheme="minorHAnsi"/>
          <w:lang w:val="de-DE"/>
        </w:rPr>
      </w:pPr>
      <w:bookmarkStart w:id="62" w:name="_Toc74412420"/>
      <w:r w:rsidRPr="00945E91">
        <w:rPr>
          <w:rFonts w:asciiTheme="minorHAnsi" w:hAnsiTheme="minorHAnsi" w:cstheme="minorHAnsi"/>
          <w:lang w:val="de-DE"/>
        </w:rPr>
        <w:lastRenderedPageBreak/>
        <w:t>4.2</w:t>
      </w:r>
      <w:r w:rsidR="00732322" w:rsidRPr="00945E91">
        <w:rPr>
          <w:rFonts w:asciiTheme="minorHAnsi" w:hAnsiTheme="minorHAnsi" w:cstheme="minorHAnsi"/>
          <w:lang w:val="de-DE"/>
        </w:rPr>
        <w:t xml:space="preserve"> </w:t>
      </w:r>
      <w:r w:rsidRPr="00945E91">
        <w:rPr>
          <w:rFonts w:asciiTheme="minorHAnsi" w:hAnsiTheme="minorHAnsi" w:cstheme="minorHAnsi"/>
          <w:lang w:val="de-DE"/>
        </w:rPr>
        <w:t>Methotrexat (MTX)</w:t>
      </w:r>
      <w:bookmarkEnd w:id="62"/>
    </w:p>
    <w:p w14:paraId="203ADB47" w14:textId="77777777" w:rsidR="00D11A8E" w:rsidRPr="00595E61" w:rsidRDefault="00D11A8E" w:rsidP="00D11A8E">
      <w:pPr>
        <w:pStyle w:val="Textkrper-Einzug2"/>
        <w:numPr>
          <w:ilvl w:val="0"/>
          <w:numId w:val="31"/>
        </w:numPr>
        <w:spacing w:after="0" w:line="276" w:lineRule="auto"/>
        <w:jc w:val="left"/>
        <w:rPr>
          <w:rFonts w:asciiTheme="minorHAnsi" w:hAnsiTheme="minorHAnsi" w:cstheme="minorHAnsi"/>
          <w:szCs w:val="22"/>
          <w:lang w:val="de-DE"/>
        </w:rPr>
      </w:pPr>
      <w:r w:rsidRPr="00595E61">
        <w:rPr>
          <w:rFonts w:asciiTheme="minorHAnsi" w:hAnsiTheme="minorHAnsi" w:cstheme="minorHAnsi"/>
          <w:szCs w:val="22"/>
          <w:lang w:val="de-DE"/>
        </w:rPr>
        <w:t>Zur Vermeidung eines akuten Nierenversagens keine Routine-Röntgen Untersuchungen mit i.v. Kontrastmittel vor oder während HDMTX-Therapie! Potentiell nephrotoxische Substanzen sollten vor MTX-Therapie abgesetzt und frühestens nach Abfall der MTX-Aktivität wieder angesetzt werden. Dazu gehören: NSAR, Penicillin, β-Lactame, Cotrimoxazol, PPI. Lebertoxizität: Ein Transaminasenanstieg auf das 2-3fache tritt nach HDMTX-Administration nicht selten auf und sollte für sich genommen nicht zu einer Modifikation der Therapie führen.</w:t>
      </w:r>
    </w:p>
    <w:p w14:paraId="0CFAE479" w14:textId="77777777" w:rsidR="00D11A8E" w:rsidRPr="00595E61" w:rsidRDefault="00D11A8E" w:rsidP="00D11A8E">
      <w:pPr>
        <w:pStyle w:val="Textkrper-Einzug2"/>
        <w:numPr>
          <w:ilvl w:val="0"/>
          <w:numId w:val="31"/>
        </w:numPr>
        <w:spacing w:after="0" w:line="276" w:lineRule="auto"/>
        <w:jc w:val="left"/>
        <w:rPr>
          <w:rFonts w:asciiTheme="minorHAnsi" w:hAnsiTheme="minorHAnsi" w:cstheme="minorHAnsi"/>
          <w:szCs w:val="22"/>
          <w:lang w:val="de-DE"/>
        </w:rPr>
      </w:pPr>
      <w:r w:rsidRPr="00595E61">
        <w:rPr>
          <w:rFonts w:asciiTheme="minorHAnsi" w:hAnsiTheme="minorHAnsi" w:cstheme="minorHAnsi"/>
          <w:szCs w:val="22"/>
          <w:lang w:val="de-DE"/>
        </w:rPr>
        <w:t>Bei Patienten über 70 Jahren ist eine nochmalige Dosisreduktion vorgesehen.</w:t>
      </w:r>
    </w:p>
    <w:p w14:paraId="101BB9D8" w14:textId="77777777" w:rsidR="00D11A8E" w:rsidRPr="00595E61" w:rsidRDefault="00D11A8E" w:rsidP="00D11A8E">
      <w:pPr>
        <w:pStyle w:val="Textkrper-Einzug2"/>
        <w:numPr>
          <w:ilvl w:val="0"/>
          <w:numId w:val="31"/>
        </w:numPr>
        <w:spacing w:after="0" w:line="276" w:lineRule="auto"/>
        <w:jc w:val="left"/>
        <w:rPr>
          <w:rFonts w:asciiTheme="minorHAnsi" w:hAnsiTheme="minorHAnsi" w:cstheme="minorHAnsi"/>
          <w:szCs w:val="22"/>
          <w:lang w:val="de-DE"/>
        </w:rPr>
      </w:pPr>
      <w:r w:rsidRPr="00595E61">
        <w:rPr>
          <w:rFonts w:asciiTheme="minorHAnsi" w:hAnsiTheme="minorHAnsi" w:cstheme="minorHAnsi"/>
          <w:szCs w:val="22"/>
          <w:lang w:val="de-DE"/>
        </w:rPr>
        <w:t>Im Anhang findet sich eine Vorlage für die Zeitpunkte zur MTX-Spiegelbestimmung und den Leukovorin-Rescue. Auf dem i-Laufwerk ist ein Excelfile, der zur automatisierten Berechnung herangezogen werden kann.</w:t>
      </w:r>
    </w:p>
    <w:p w14:paraId="12B55CAD" w14:textId="6D11E0B5" w:rsidR="00D11A8E" w:rsidRPr="00945E91" w:rsidRDefault="00D11A8E" w:rsidP="00D11A8E">
      <w:pPr>
        <w:pStyle w:val="Textkrper-Einzug2"/>
        <w:spacing w:after="0" w:line="276" w:lineRule="auto"/>
        <w:ind w:left="708"/>
        <w:jc w:val="left"/>
        <w:rPr>
          <w:rFonts w:asciiTheme="minorHAnsi" w:hAnsiTheme="minorHAnsi" w:cstheme="minorHAnsi"/>
          <w:lang w:val="de-DE"/>
        </w:rPr>
      </w:pPr>
    </w:p>
    <w:p w14:paraId="02E64CF6" w14:textId="77777777" w:rsidR="00D11A8E" w:rsidRPr="00945E91" w:rsidRDefault="00D11A8E" w:rsidP="00732322">
      <w:pPr>
        <w:pStyle w:val="Textkrper-Einzug2"/>
        <w:spacing w:after="0" w:line="276" w:lineRule="auto"/>
        <w:ind w:left="0"/>
        <w:jc w:val="left"/>
        <w:rPr>
          <w:rFonts w:asciiTheme="minorHAnsi" w:hAnsiTheme="minorHAnsi" w:cstheme="minorHAnsi"/>
          <w:lang w:val="de-DE"/>
        </w:rPr>
      </w:pPr>
    </w:p>
    <w:p w14:paraId="52B11E15" w14:textId="4EFCEC7D" w:rsidR="00D11A8E" w:rsidRPr="00945E91" w:rsidRDefault="00D11A8E" w:rsidP="00D11A8E">
      <w:pPr>
        <w:pStyle w:val="berschrift2"/>
        <w:rPr>
          <w:rFonts w:asciiTheme="minorHAnsi" w:hAnsiTheme="minorHAnsi" w:cstheme="minorHAnsi"/>
          <w:lang w:val="de-DE"/>
        </w:rPr>
      </w:pPr>
      <w:bookmarkStart w:id="63" w:name="_Toc74412421"/>
      <w:r w:rsidRPr="00945E91">
        <w:rPr>
          <w:rFonts w:asciiTheme="minorHAnsi" w:hAnsiTheme="minorHAnsi" w:cstheme="minorHAnsi"/>
          <w:lang w:val="de-DE"/>
        </w:rPr>
        <w:t>4.3</w:t>
      </w:r>
      <w:r w:rsidR="00732322" w:rsidRPr="00945E91">
        <w:rPr>
          <w:rFonts w:asciiTheme="minorHAnsi" w:hAnsiTheme="minorHAnsi" w:cstheme="minorHAnsi"/>
          <w:lang w:val="de-DE"/>
        </w:rPr>
        <w:t xml:space="preserve"> </w:t>
      </w:r>
      <w:r w:rsidRPr="00945E91">
        <w:rPr>
          <w:rFonts w:asciiTheme="minorHAnsi" w:hAnsiTheme="minorHAnsi" w:cstheme="minorHAnsi"/>
          <w:lang w:val="de-DE"/>
        </w:rPr>
        <w:t>6-Mercaptopurin</w:t>
      </w:r>
      <w:bookmarkEnd w:id="63"/>
    </w:p>
    <w:p w14:paraId="610D8921" w14:textId="77777777" w:rsidR="00D11A8E" w:rsidRPr="00595E61" w:rsidRDefault="00D11A8E" w:rsidP="00D11A8E">
      <w:pPr>
        <w:pStyle w:val="Textkrper-Einzug2"/>
        <w:numPr>
          <w:ilvl w:val="0"/>
          <w:numId w:val="31"/>
        </w:numPr>
        <w:spacing w:after="0" w:line="276" w:lineRule="auto"/>
        <w:jc w:val="left"/>
        <w:rPr>
          <w:rFonts w:asciiTheme="minorHAnsi" w:hAnsiTheme="minorHAnsi" w:cstheme="minorHAnsi"/>
          <w:lang w:val="de-DE"/>
        </w:rPr>
      </w:pPr>
      <w:r w:rsidRPr="00595E61">
        <w:rPr>
          <w:rFonts w:asciiTheme="minorHAnsi" w:hAnsiTheme="minorHAnsi" w:cstheme="minorHAnsi"/>
          <w:lang w:val="de-DE"/>
        </w:rPr>
        <w:t xml:space="preserve">Die Tabletten sollten abends auf leeren Magen eingenommen werden (mind. 30 Minuten vor oder 60 Minuten nach einer Mahlzeit, möglichst nicht zusammen mit Milch). </w:t>
      </w:r>
    </w:p>
    <w:p w14:paraId="5F52916D" w14:textId="77777777" w:rsidR="00D11A8E" w:rsidRPr="00595E61" w:rsidRDefault="00D11A8E" w:rsidP="00D11A8E">
      <w:pPr>
        <w:pStyle w:val="Textkrper-Einzug2"/>
        <w:numPr>
          <w:ilvl w:val="0"/>
          <w:numId w:val="31"/>
        </w:numPr>
        <w:spacing w:after="0" w:line="276" w:lineRule="auto"/>
        <w:jc w:val="left"/>
        <w:rPr>
          <w:rFonts w:asciiTheme="minorHAnsi" w:hAnsiTheme="minorHAnsi" w:cstheme="minorHAnsi"/>
          <w:lang w:val="de-DE"/>
        </w:rPr>
      </w:pPr>
      <w:r w:rsidRPr="00595E61">
        <w:rPr>
          <w:rFonts w:asciiTheme="minorHAnsi" w:hAnsiTheme="minorHAnsi" w:cstheme="minorHAnsi"/>
          <w:lang w:val="de-DE"/>
        </w:rPr>
        <w:t>Falls Allopurinol erforderlich ist, Dosisreduktion für 6-MP auf 1/3 (!) wegen potenzierender Wirkung.</w:t>
      </w:r>
    </w:p>
    <w:p w14:paraId="7DA1E5A6" w14:textId="36501A34" w:rsidR="00732322" w:rsidRPr="00595E61" w:rsidRDefault="00D11A8E" w:rsidP="00D11A8E">
      <w:pPr>
        <w:pStyle w:val="Textkrper-Einzug2"/>
        <w:numPr>
          <w:ilvl w:val="0"/>
          <w:numId w:val="31"/>
        </w:numPr>
        <w:spacing w:after="0" w:line="276" w:lineRule="auto"/>
        <w:jc w:val="left"/>
        <w:rPr>
          <w:rFonts w:asciiTheme="minorHAnsi" w:hAnsiTheme="minorHAnsi" w:cstheme="minorHAnsi"/>
          <w:lang w:val="de-DE"/>
        </w:rPr>
      </w:pPr>
      <w:r w:rsidRPr="00595E61">
        <w:rPr>
          <w:rFonts w:asciiTheme="minorHAnsi" w:hAnsiTheme="minorHAnsi" w:cstheme="minorHAnsi"/>
          <w:lang w:val="de-DE"/>
        </w:rPr>
        <w:t>50mg Tabletten, keine Stückelung möglich, daher ggfs. Dosis alternierend auf die Tage verteilen.</w:t>
      </w:r>
    </w:p>
    <w:p w14:paraId="3A0A0426" w14:textId="77777777" w:rsidR="00732322" w:rsidRPr="00595E61" w:rsidRDefault="00732322">
      <w:pPr>
        <w:spacing w:line="240" w:lineRule="auto"/>
        <w:jc w:val="left"/>
        <w:rPr>
          <w:rFonts w:asciiTheme="minorHAnsi" w:hAnsiTheme="minorHAnsi" w:cstheme="minorHAnsi"/>
          <w:lang w:val="de-DE"/>
        </w:rPr>
      </w:pPr>
      <w:r w:rsidRPr="00595E61">
        <w:rPr>
          <w:rFonts w:asciiTheme="minorHAnsi" w:hAnsiTheme="minorHAnsi" w:cstheme="minorHAnsi"/>
          <w:lang w:val="de-DE"/>
        </w:rPr>
        <w:br w:type="page"/>
      </w:r>
    </w:p>
    <w:p w14:paraId="5389EC9E" w14:textId="6A908026" w:rsidR="003655E2" w:rsidRPr="00945E91" w:rsidRDefault="003655E2" w:rsidP="00595E61">
      <w:pPr>
        <w:pStyle w:val="berschrift1"/>
        <w:numPr>
          <w:ilvl w:val="0"/>
          <w:numId w:val="50"/>
        </w:numPr>
        <w:ind w:hanging="720"/>
        <w:jc w:val="both"/>
        <w:rPr>
          <w:rFonts w:cstheme="minorHAnsi"/>
          <w:color w:val="000000" w:themeColor="text1"/>
          <w:lang w:val="de-DE"/>
        </w:rPr>
      </w:pPr>
      <w:bookmarkStart w:id="64" w:name="_Toc367183619"/>
      <w:bookmarkStart w:id="65" w:name="_Toc367183857"/>
      <w:bookmarkStart w:id="66" w:name="_Toc408380484"/>
      <w:bookmarkStart w:id="67" w:name="_Toc74412422"/>
      <w:r w:rsidRPr="00945E91">
        <w:rPr>
          <w:rFonts w:cstheme="minorHAnsi"/>
          <w:color w:val="000000" w:themeColor="text1"/>
          <w:lang w:val="de-DE"/>
        </w:rPr>
        <w:lastRenderedPageBreak/>
        <w:t>Verlaufskontrolle und Nachsorge</w:t>
      </w:r>
      <w:bookmarkEnd w:id="64"/>
      <w:bookmarkEnd w:id="65"/>
      <w:bookmarkEnd w:id="66"/>
      <w:bookmarkEnd w:id="67"/>
    </w:p>
    <w:p w14:paraId="71C7F669" w14:textId="77777777" w:rsidR="00D11A8E" w:rsidRPr="00945E91" w:rsidRDefault="00D11A8E" w:rsidP="00D11A8E">
      <w:pPr>
        <w:widowControl w:val="0"/>
        <w:autoSpaceDE w:val="0"/>
        <w:autoSpaceDN w:val="0"/>
        <w:spacing w:before="213" w:line="240" w:lineRule="auto"/>
        <w:jc w:val="left"/>
        <w:rPr>
          <w:rFonts w:asciiTheme="minorHAnsi" w:eastAsia="Arial" w:hAnsiTheme="minorHAnsi" w:cstheme="minorHAnsi"/>
          <w:b/>
          <w:sz w:val="20"/>
          <w:szCs w:val="22"/>
          <w:lang w:val="de-DE" w:bidi="de-DE"/>
        </w:rPr>
      </w:pPr>
      <w:r w:rsidRPr="00945E91">
        <w:rPr>
          <w:rFonts w:asciiTheme="minorHAnsi" w:eastAsia="Arial" w:hAnsiTheme="minorHAnsi" w:cstheme="minorHAnsi"/>
          <w:b/>
          <w:sz w:val="20"/>
          <w:szCs w:val="22"/>
          <w:lang w:val="de-DE" w:bidi="de-DE"/>
        </w:rPr>
        <w:t>Empfehlung für Nachsorgeuntersuchungen bei ALL-Patienten (Zeitpunkt nach Erstdiagnose)</w:t>
      </w:r>
    </w:p>
    <w:tbl>
      <w:tblPr>
        <w:tblStyle w:val="TableNormal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1795"/>
        <w:gridCol w:w="1564"/>
        <w:gridCol w:w="2160"/>
        <w:gridCol w:w="1843"/>
      </w:tblGrid>
      <w:tr w:rsidR="00D11A8E" w:rsidRPr="00945E91" w14:paraId="5CD02511" w14:textId="77777777" w:rsidTr="00D21C29">
        <w:trPr>
          <w:trHeight w:val="251"/>
        </w:trPr>
        <w:tc>
          <w:tcPr>
            <w:tcW w:w="2136" w:type="dxa"/>
            <w:shd w:val="clear" w:color="auto" w:fill="E6E6E6"/>
          </w:tcPr>
          <w:p w14:paraId="1F44FD47" w14:textId="77777777" w:rsidR="00D11A8E" w:rsidRPr="00945E91" w:rsidRDefault="00D11A8E" w:rsidP="00D21C29">
            <w:pPr>
              <w:spacing w:line="240" w:lineRule="auto"/>
              <w:jc w:val="left"/>
              <w:rPr>
                <w:rFonts w:asciiTheme="minorHAnsi" w:eastAsia="Arial" w:hAnsiTheme="minorHAnsi" w:cstheme="minorHAnsi"/>
                <w:sz w:val="20"/>
                <w:szCs w:val="20"/>
                <w:lang w:val="de-DE" w:bidi="de-DE"/>
              </w:rPr>
            </w:pPr>
          </w:p>
        </w:tc>
        <w:tc>
          <w:tcPr>
            <w:tcW w:w="1795" w:type="dxa"/>
            <w:shd w:val="clear" w:color="auto" w:fill="E6E6E6"/>
          </w:tcPr>
          <w:p w14:paraId="34B54C42" w14:textId="77777777" w:rsidR="00D11A8E" w:rsidRPr="00945E91" w:rsidRDefault="00D11A8E" w:rsidP="00D21C29">
            <w:pPr>
              <w:spacing w:line="232"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bis Ende 3. Jahr</w:t>
            </w:r>
          </w:p>
        </w:tc>
        <w:tc>
          <w:tcPr>
            <w:tcW w:w="1564" w:type="dxa"/>
            <w:shd w:val="clear" w:color="auto" w:fill="E6E6E6"/>
          </w:tcPr>
          <w:p w14:paraId="2A3B540C" w14:textId="77777777" w:rsidR="00D11A8E" w:rsidRPr="00945E91" w:rsidRDefault="00D11A8E" w:rsidP="00D21C29">
            <w:pPr>
              <w:spacing w:line="232"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4. Jahr</w:t>
            </w:r>
          </w:p>
        </w:tc>
        <w:tc>
          <w:tcPr>
            <w:tcW w:w="2160" w:type="dxa"/>
            <w:shd w:val="clear" w:color="auto" w:fill="E6E6E6"/>
          </w:tcPr>
          <w:p w14:paraId="4114228E"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5. Jahr</w:t>
            </w:r>
          </w:p>
        </w:tc>
        <w:tc>
          <w:tcPr>
            <w:tcW w:w="1843" w:type="dxa"/>
            <w:shd w:val="clear" w:color="auto" w:fill="E6E6E6"/>
          </w:tcPr>
          <w:p w14:paraId="3C7E8564" w14:textId="77777777" w:rsidR="00D11A8E" w:rsidRPr="00945E91" w:rsidRDefault="00D11A8E" w:rsidP="00D21C29">
            <w:pPr>
              <w:spacing w:line="232"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Später</w:t>
            </w:r>
          </w:p>
        </w:tc>
      </w:tr>
      <w:tr w:rsidR="00D11A8E" w:rsidRPr="00945E91" w14:paraId="628F77B2" w14:textId="77777777" w:rsidTr="00D21C29">
        <w:trPr>
          <w:trHeight w:val="254"/>
        </w:trPr>
        <w:tc>
          <w:tcPr>
            <w:tcW w:w="9498" w:type="dxa"/>
            <w:gridSpan w:val="5"/>
          </w:tcPr>
          <w:p w14:paraId="382AF1EA" w14:textId="77777777" w:rsidR="00D11A8E" w:rsidRPr="00945E91" w:rsidRDefault="00D11A8E" w:rsidP="00D21C29">
            <w:pPr>
              <w:spacing w:line="234" w:lineRule="exact"/>
              <w:ind w:left="107"/>
              <w:jc w:val="left"/>
              <w:rPr>
                <w:rFonts w:asciiTheme="minorHAnsi" w:eastAsia="Arial" w:hAnsiTheme="minorHAnsi" w:cstheme="minorHAnsi"/>
                <w:b/>
                <w:sz w:val="20"/>
                <w:szCs w:val="20"/>
                <w:lang w:val="de-DE" w:bidi="de-DE"/>
              </w:rPr>
            </w:pPr>
            <w:r w:rsidRPr="00945E91">
              <w:rPr>
                <w:rFonts w:asciiTheme="minorHAnsi" w:eastAsia="Arial" w:hAnsiTheme="minorHAnsi" w:cstheme="minorHAnsi"/>
                <w:b/>
                <w:sz w:val="20"/>
                <w:szCs w:val="20"/>
                <w:lang w:val="de-DE" w:bidi="de-DE"/>
              </w:rPr>
              <w:t>Erkrankungsstatus</w:t>
            </w:r>
          </w:p>
        </w:tc>
      </w:tr>
      <w:tr w:rsidR="00D11A8E" w:rsidRPr="00945E91" w14:paraId="73565FE9" w14:textId="77777777" w:rsidTr="00D21C29">
        <w:trPr>
          <w:trHeight w:val="252"/>
        </w:trPr>
        <w:tc>
          <w:tcPr>
            <w:tcW w:w="2136" w:type="dxa"/>
          </w:tcPr>
          <w:p w14:paraId="34EFD1C3"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Blutbild mit Diff</w:t>
            </w:r>
          </w:p>
        </w:tc>
        <w:tc>
          <w:tcPr>
            <w:tcW w:w="1795" w:type="dxa"/>
          </w:tcPr>
          <w:p w14:paraId="6F4F0778" w14:textId="77777777" w:rsidR="00D11A8E" w:rsidRPr="00945E91" w:rsidRDefault="00D11A8E" w:rsidP="00D21C29">
            <w:pPr>
              <w:spacing w:line="232"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Monatlich</w:t>
            </w:r>
          </w:p>
        </w:tc>
        <w:tc>
          <w:tcPr>
            <w:tcW w:w="1564" w:type="dxa"/>
          </w:tcPr>
          <w:p w14:paraId="45DE7A6F" w14:textId="77777777" w:rsidR="00D11A8E" w:rsidRPr="00945E91" w:rsidRDefault="00D11A8E" w:rsidP="00D21C29">
            <w:pPr>
              <w:spacing w:line="232"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2160" w:type="dxa"/>
          </w:tcPr>
          <w:p w14:paraId="030BC746"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6-monatlich</w:t>
            </w:r>
          </w:p>
        </w:tc>
        <w:tc>
          <w:tcPr>
            <w:tcW w:w="1843" w:type="dxa"/>
          </w:tcPr>
          <w:p w14:paraId="75E87ED3" w14:textId="77777777" w:rsidR="00D11A8E" w:rsidRPr="00945E91" w:rsidRDefault="00D11A8E" w:rsidP="00D21C29">
            <w:pPr>
              <w:spacing w:line="232"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28E55B16" w14:textId="77777777" w:rsidTr="00D21C29">
        <w:trPr>
          <w:trHeight w:val="505"/>
        </w:trPr>
        <w:tc>
          <w:tcPr>
            <w:tcW w:w="2136" w:type="dxa"/>
          </w:tcPr>
          <w:p w14:paraId="53AA56C5" w14:textId="77777777" w:rsidR="00D11A8E" w:rsidRPr="00945E91" w:rsidRDefault="00D11A8E" w:rsidP="00D21C29">
            <w:pPr>
              <w:spacing w:line="250"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Knochenmark/MRD</w:t>
            </w:r>
          </w:p>
        </w:tc>
        <w:tc>
          <w:tcPr>
            <w:tcW w:w="1795" w:type="dxa"/>
          </w:tcPr>
          <w:p w14:paraId="48CF9769" w14:textId="77777777" w:rsidR="00D11A8E" w:rsidRPr="00945E91" w:rsidRDefault="00D11A8E" w:rsidP="00D21C29">
            <w:pPr>
              <w:spacing w:line="250"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5EF07ACC" w14:textId="77777777" w:rsidR="00D11A8E" w:rsidRPr="00945E91" w:rsidRDefault="00D11A8E" w:rsidP="00D21C29">
            <w:pPr>
              <w:spacing w:line="250"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4AA3D447" w14:textId="77777777" w:rsidR="00D11A8E" w:rsidRPr="00945E91" w:rsidRDefault="00D11A8E" w:rsidP="00D21C29">
            <w:pPr>
              <w:spacing w:line="254" w:lineRule="exact"/>
              <w:ind w:left="107" w:right="371"/>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 keine MRD</w:t>
            </w:r>
          </w:p>
        </w:tc>
        <w:tc>
          <w:tcPr>
            <w:tcW w:w="1843" w:type="dxa"/>
          </w:tcPr>
          <w:p w14:paraId="0A137E6A" w14:textId="77777777" w:rsidR="00D11A8E" w:rsidRPr="00945E91" w:rsidRDefault="00D11A8E" w:rsidP="00D21C29">
            <w:pPr>
              <w:spacing w:line="250"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Nach Bedarf</w:t>
            </w:r>
          </w:p>
        </w:tc>
      </w:tr>
      <w:tr w:rsidR="00D11A8E" w:rsidRPr="00945E91" w14:paraId="2889DB0C" w14:textId="77777777" w:rsidTr="00D21C29">
        <w:trPr>
          <w:trHeight w:val="251"/>
        </w:trPr>
        <w:tc>
          <w:tcPr>
            <w:tcW w:w="9498" w:type="dxa"/>
            <w:gridSpan w:val="5"/>
          </w:tcPr>
          <w:p w14:paraId="01E425C6" w14:textId="77777777" w:rsidR="00D11A8E" w:rsidRPr="00945E91" w:rsidRDefault="00D11A8E" w:rsidP="00D21C29">
            <w:pPr>
              <w:spacing w:line="232" w:lineRule="exact"/>
              <w:ind w:left="107"/>
              <w:jc w:val="left"/>
              <w:rPr>
                <w:rFonts w:asciiTheme="minorHAnsi" w:eastAsia="Arial" w:hAnsiTheme="minorHAnsi" w:cstheme="minorHAnsi"/>
                <w:b/>
                <w:sz w:val="20"/>
                <w:szCs w:val="20"/>
                <w:lang w:val="de-DE" w:bidi="de-DE"/>
              </w:rPr>
            </w:pPr>
            <w:r w:rsidRPr="00945E91">
              <w:rPr>
                <w:rFonts w:asciiTheme="minorHAnsi" w:eastAsia="Arial" w:hAnsiTheme="minorHAnsi" w:cstheme="minorHAnsi"/>
                <w:b/>
                <w:sz w:val="20"/>
                <w:szCs w:val="20"/>
                <w:lang w:val="de-DE" w:bidi="de-DE"/>
              </w:rPr>
              <w:t>Anamnese und Patientenbefragung</w:t>
            </w:r>
          </w:p>
        </w:tc>
      </w:tr>
      <w:tr w:rsidR="00D11A8E" w:rsidRPr="00945E91" w14:paraId="7909BE9D" w14:textId="77777777" w:rsidTr="00D21C29">
        <w:trPr>
          <w:trHeight w:val="254"/>
        </w:trPr>
        <w:tc>
          <w:tcPr>
            <w:tcW w:w="2136" w:type="dxa"/>
          </w:tcPr>
          <w:p w14:paraId="4BA52517" w14:textId="77777777" w:rsidR="00D11A8E" w:rsidRPr="00945E91" w:rsidRDefault="00D11A8E" w:rsidP="00D21C29">
            <w:pPr>
              <w:spacing w:line="234"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Funktion und AZ</w:t>
            </w:r>
          </w:p>
        </w:tc>
        <w:tc>
          <w:tcPr>
            <w:tcW w:w="1795" w:type="dxa"/>
          </w:tcPr>
          <w:p w14:paraId="198CCA03" w14:textId="77777777" w:rsidR="00D11A8E" w:rsidRPr="00945E91" w:rsidRDefault="00D11A8E" w:rsidP="00D21C29">
            <w:pPr>
              <w:spacing w:line="234"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492E82B9" w14:textId="77777777" w:rsidR="00D11A8E" w:rsidRPr="00945E91" w:rsidRDefault="00D11A8E" w:rsidP="00D21C29">
            <w:pPr>
              <w:spacing w:line="234"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1859BE70" w14:textId="77777777" w:rsidR="00D11A8E" w:rsidRPr="00945E91" w:rsidRDefault="00D11A8E" w:rsidP="00D21C29">
            <w:pPr>
              <w:spacing w:line="234"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c>
          <w:tcPr>
            <w:tcW w:w="1843" w:type="dxa"/>
          </w:tcPr>
          <w:p w14:paraId="45EB9040" w14:textId="77777777" w:rsidR="00D11A8E" w:rsidRPr="00945E91" w:rsidRDefault="00D11A8E" w:rsidP="00D21C29">
            <w:pPr>
              <w:spacing w:line="234"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3890A5C4" w14:textId="77777777" w:rsidTr="00D21C29">
        <w:trPr>
          <w:trHeight w:val="251"/>
        </w:trPr>
        <w:tc>
          <w:tcPr>
            <w:tcW w:w="2136" w:type="dxa"/>
          </w:tcPr>
          <w:p w14:paraId="05E2854D"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Medikation</w:t>
            </w:r>
          </w:p>
        </w:tc>
        <w:tc>
          <w:tcPr>
            <w:tcW w:w="1795" w:type="dxa"/>
          </w:tcPr>
          <w:p w14:paraId="5E207C9D" w14:textId="77777777" w:rsidR="00D11A8E" w:rsidRPr="00945E91" w:rsidRDefault="00D11A8E" w:rsidP="00D21C29">
            <w:pPr>
              <w:spacing w:line="232"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1F59823B" w14:textId="77777777" w:rsidR="00D11A8E" w:rsidRPr="00945E91" w:rsidRDefault="00D11A8E" w:rsidP="00D21C29">
            <w:pPr>
              <w:spacing w:line="232"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47E5DA30"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c>
          <w:tcPr>
            <w:tcW w:w="1843" w:type="dxa"/>
          </w:tcPr>
          <w:p w14:paraId="57F04B96" w14:textId="77777777" w:rsidR="00D11A8E" w:rsidRPr="00945E91" w:rsidRDefault="00D11A8E" w:rsidP="00D21C29">
            <w:pPr>
              <w:spacing w:line="232"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36C3016A" w14:textId="77777777" w:rsidTr="00D21C29">
        <w:trPr>
          <w:trHeight w:val="253"/>
        </w:trPr>
        <w:tc>
          <w:tcPr>
            <w:tcW w:w="2136" w:type="dxa"/>
          </w:tcPr>
          <w:p w14:paraId="203415BD" w14:textId="77777777" w:rsidR="00D11A8E" w:rsidRPr="00945E91" w:rsidRDefault="00D11A8E" w:rsidP="00D21C29">
            <w:pPr>
              <w:spacing w:line="234"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Komorbiditäten</w:t>
            </w:r>
          </w:p>
        </w:tc>
        <w:tc>
          <w:tcPr>
            <w:tcW w:w="1795" w:type="dxa"/>
          </w:tcPr>
          <w:p w14:paraId="0932BCB8" w14:textId="77777777" w:rsidR="00D11A8E" w:rsidRPr="00945E91" w:rsidRDefault="00D11A8E" w:rsidP="00D21C29">
            <w:pPr>
              <w:spacing w:line="234"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7A7E9623" w14:textId="77777777" w:rsidR="00D11A8E" w:rsidRPr="00945E91" w:rsidRDefault="00D11A8E" w:rsidP="00D21C29">
            <w:pPr>
              <w:spacing w:line="234"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6552BEDD" w14:textId="77777777" w:rsidR="00D11A8E" w:rsidRPr="00945E91" w:rsidRDefault="00D11A8E" w:rsidP="00D21C29">
            <w:pPr>
              <w:spacing w:line="234"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c>
          <w:tcPr>
            <w:tcW w:w="1843" w:type="dxa"/>
          </w:tcPr>
          <w:p w14:paraId="327111C2" w14:textId="77777777" w:rsidR="00D11A8E" w:rsidRPr="00945E91" w:rsidRDefault="00D11A8E" w:rsidP="00D21C29">
            <w:pPr>
              <w:spacing w:line="234"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6D654759" w14:textId="77777777" w:rsidTr="00D21C29">
        <w:trPr>
          <w:trHeight w:val="251"/>
        </w:trPr>
        <w:tc>
          <w:tcPr>
            <w:tcW w:w="9498" w:type="dxa"/>
            <w:gridSpan w:val="5"/>
          </w:tcPr>
          <w:p w14:paraId="721A135A" w14:textId="77777777" w:rsidR="00D11A8E" w:rsidRPr="00945E91" w:rsidRDefault="00D11A8E" w:rsidP="00D21C29">
            <w:pPr>
              <w:spacing w:line="232" w:lineRule="exact"/>
              <w:ind w:left="107"/>
              <w:jc w:val="left"/>
              <w:rPr>
                <w:rFonts w:asciiTheme="minorHAnsi" w:eastAsia="Arial" w:hAnsiTheme="minorHAnsi" w:cstheme="minorHAnsi"/>
                <w:b/>
                <w:sz w:val="20"/>
                <w:szCs w:val="20"/>
                <w:lang w:val="de-DE" w:bidi="de-DE"/>
              </w:rPr>
            </w:pPr>
            <w:r w:rsidRPr="00945E91">
              <w:rPr>
                <w:rFonts w:asciiTheme="minorHAnsi" w:eastAsia="Arial" w:hAnsiTheme="minorHAnsi" w:cstheme="minorHAnsi"/>
                <w:b/>
                <w:sz w:val="20"/>
                <w:szCs w:val="20"/>
                <w:lang w:val="de-DE" w:bidi="de-DE"/>
              </w:rPr>
              <w:t>Untersuchungen</w:t>
            </w:r>
          </w:p>
        </w:tc>
      </w:tr>
      <w:tr w:rsidR="00D11A8E" w:rsidRPr="00945E91" w14:paraId="307ADFD3" w14:textId="77777777" w:rsidTr="00D21C29">
        <w:trPr>
          <w:trHeight w:val="506"/>
        </w:trPr>
        <w:tc>
          <w:tcPr>
            <w:tcW w:w="2136" w:type="dxa"/>
          </w:tcPr>
          <w:p w14:paraId="616F11A6" w14:textId="77777777" w:rsidR="00D11A8E" w:rsidRPr="00945E91" w:rsidRDefault="00D11A8E" w:rsidP="00D21C29">
            <w:pPr>
              <w:spacing w:before="4" w:line="252" w:lineRule="exact"/>
              <w:ind w:left="107" w:right="629"/>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Körperliche Untersuchung</w:t>
            </w:r>
          </w:p>
        </w:tc>
        <w:tc>
          <w:tcPr>
            <w:tcW w:w="1795" w:type="dxa"/>
          </w:tcPr>
          <w:p w14:paraId="7D04F1EE" w14:textId="77777777" w:rsidR="00D11A8E" w:rsidRPr="00945E91" w:rsidRDefault="00D11A8E" w:rsidP="00D21C29">
            <w:pPr>
              <w:spacing w:line="240" w:lineRule="auto"/>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41C2357E" w14:textId="77777777" w:rsidR="00D11A8E" w:rsidRPr="00945E91" w:rsidRDefault="00D11A8E" w:rsidP="00D21C29">
            <w:pPr>
              <w:spacing w:line="240" w:lineRule="auto"/>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528AEA54" w14:textId="77777777" w:rsidR="00D11A8E" w:rsidRPr="00945E91" w:rsidRDefault="00D11A8E" w:rsidP="00D21C29">
            <w:pPr>
              <w:spacing w:line="240" w:lineRule="auto"/>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c>
          <w:tcPr>
            <w:tcW w:w="1843" w:type="dxa"/>
          </w:tcPr>
          <w:p w14:paraId="364C8443" w14:textId="77777777" w:rsidR="00D11A8E" w:rsidRPr="00945E91" w:rsidRDefault="00D11A8E" w:rsidP="00D21C29">
            <w:pPr>
              <w:spacing w:line="240" w:lineRule="auto"/>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3CEE64B2" w14:textId="77777777" w:rsidTr="00D21C29">
        <w:trPr>
          <w:trHeight w:val="252"/>
        </w:trPr>
        <w:tc>
          <w:tcPr>
            <w:tcW w:w="2136" w:type="dxa"/>
          </w:tcPr>
          <w:p w14:paraId="74E96130"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Klinische Chemie</w:t>
            </w:r>
          </w:p>
        </w:tc>
        <w:tc>
          <w:tcPr>
            <w:tcW w:w="1795" w:type="dxa"/>
          </w:tcPr>
          <w:p w14:paraId="38426FD7" w14:textId="77777777" w:rsidR="00D11A8E" w:rsidRPr="00945E91" w:rsidRDefault="00D11A8E" w:rsidP="00D21C29">
            <w:pPr>
              <w:spacing w:line="232" w:lineRule="exact"/>
              <w:ind w:left="108"/>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3-monatlich</w:t>
            </w:r>
          </w:p>
        </w:tc>
        <w:tc>
          <w:tcPr>
            <w:tcW w:w="1564" w:type="dxa"/>
          </w:tcPr>
          <w:p w14:paraId="67C95941" w14:textId="77777777" w:rsidR="00D11A8E" w:rsidRPr="00945E91" w:rsidRDefault="00D11A8E" w:rsidP="00D21C29">
            <w:pPr>
              <w:spacing w:line="232" w:lineRule="exact"/>
              <w:ind w:left="106"/>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halbjährlich</w:t>
            </w:r>
          </w:p>
        </w:tc>
        <w:tc>
          <w:tcPr>
            <w:tcW w:w="2160" w:type="dxa"/>
          </w:tcPr>
          <w:p w14:paraId="3271FDC3" w14:textId="77777777" w:rsidR="00D11A8E" w:rsidRPr="00945E91" w:rsidRDefault="00D11A8E" w:rsidP="00D21C29">
            <w:pPr>
              <w:spacing w:line="232" w:lineRule="exact"/>
              <w:ind w:left="107"/>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c>
          <w:tcPr>
            <w:tcW w:w="1843" w:type="dxa"/>
          </w:tcPr>
          <w:p w14:paraId="5A20F1F0" w14:textId="77777777" w:rsidR="00D11A8E" w:rsidRPr="00945E91" w:rsidRDefault="00D11A8E" w:rsidP="00D21C29">
            <w:pPr>
              <w:spacing w:line="232" w:lineRule="exact"/>
              <w:ind w:left="110"/>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Jährlich</w:t>
            </w:r>
          </w:p>
        </w:tc>
      </w:tr>
      <w:tr w:rsidR="00D11A8E" w:rsidRPr="00945E91" w14:paraId="39976BC9" w14:textId="77777777" w:rsidTr="00D21C29">
        <w:trPr>
          <w:trHeight w:val="506"/>
        </w:trPr>
        <w:tc>
          <w:tcPr>
            <w:tcW w:w="2136" w:type="dxa"/>
          </w:tcPr>
          <w:p w14:paraId="2099D8B5" w14:textId="77777777" w:rsidR="00D11A8E" w:rsidRPr="00945E91" w:rsidRDefault="00D11A8E" w:rsidP="00D21C29">
            <w:pPr>
              <w:spacing w:line="254" w:lineRule="exact"/>
              <w:ind w:left="107" w:right="384"/>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Weitere Untersuchungen</w:t>
            </w:r>
          </w:p>
        </w:tc>
        <w:tc>
          <w:tcPr>
            <w:tcW w:w="7362" w:type="dxa"/>
            <w:gridSpan w:val="4"/>
          </w:tcPr>
          <w:p w14:paraId="491B5BA4" w14:textId="77777777" w:rsidR="00D11A8E" w:rsidRPr="00945E91" w:rsidRDefault="00D11A8E" w:rsidP="00D21C29">
            <w:pPr>
              <w:spacing w:line="254" w:lineRule="exact"/>
              <w:ind w:left="108" w:right="235"/>
              <w:jc w:val="left"/>
              <w:rPr>
                <w:rFonts w:asciiTheme="minorHAnsi" w:eastAsia="Arial" w:hAnsiTheme="minorHAnsi" w:cstheme="minorHAnsi"/>
                <w:sz w:val="20"/>
                <w:szCs w:val="20"/>
                <w:lang w:val="de-DE" w:bidi="de-DE"/>
              </w:rPr>
            </w:pPr>
            <w:r w:rsidRPr="00945E91">
              <w:rPr>
                <w:rFonts w:asciiTheme="minorHAnsi" w:eastAsia="Arial" w:hAnsiTheme="minorHAnsi" w:cstheme="minorHAnsi"/>
                <w:sz w:val="20"/>
                <w:szCs w:val="20"/>
                <w:lang w:val="de-DE" w:bidi="de-DE"/>
              </w:rPr>
              <w:t>Nach Bedarf bei entsprechender Symptomatik, Untersuchungsbefund und/oder Angaben des Patienten</w:t>
            </w:r>
          </w:p>
        </w:tc>
      </w:tr>
    </w:tbl>
    <w:p w14:paraId="010EC342" w14:textId="77777777" w:rsidR="00D11A8E" w:rsidRPr="00945E91" w:rsidRDefault="00D11A8E" w:rsidP="00D11A8E">
      <w:pPr>
        <w:widowControl w:val="0"/>
        <w:autoSpaceDE w:val="0"/>
        <w:autoSpaceDN w:val="0"/>
        <w:spacing w:line="240" w:lineRule="auto"/>
        <w:jc w:val="left"/>
        <w:rPr>
          <w:rFonts w:asciiTheme="minorHAnsi" w:eastAsia="Arial" w:hAnsiTheme="minorHAnsi" w:cstheme="minorHAnsi"/>
          <w:b/>
          <w:szCs w:val="22"/>
          <w:lang w:val="de-DE" w:bidi="de-DE"/>
        </w:rPr>
      </w:pPr>
    </w:p>
    <w:p w14:paraId="2E656829" w14:textId="77777777" w:rsidR="00D11A8E" w:rsidRPr="00945E91" w:rsidRDefault="00D11A8E" w:rsidP="00D11A8E">
      <w:pPr>
        <w:spacing w:line="240" w:lineRule="auto"/>
        <w:jc w:val="left"/>
        <w:rPr>
          <w:rFonts w:asciiTheme="minorHAnsi" w:hAnsiTheme="minorHAnsi" w:cstheme="minorHAnsi"/>
          <w:szCs w:val="22"/>
          <w:lang w:val="de-DE"/>
        </w:rPr>
      </w:pPr>
      <w:r w:rsidRPr="00945E91">
        <w:rPr>
          <w:rFonts w:asciiTheme="minorHAnsi" w:hAnsiTheme="minorHAnsi" w:cstheme="minorHAnsi"/>
          <w:szCs w:val="22"/>
          <w:lang w:val="de-DE"/>
        </w:rPr>
        <w:br w:type="page"/>
      </w:r>
    </w:p>
    <w:p w14:paraId="5389ECAB" w14:textId="31116127" w:rsidR="003655E2" w:rsidRPr="00945E91" w:rsidRDefault="003655E2" w:rsidP="00595E61">
      <w:pPr>
        <w:pStyle w:val="berschrift1"/>
        <w:numPr>
          <w:ilvl w:val="0"/>
          <w:numId w:val="50"/>
        </w:numPr>
        <w:ind w:hanging="720"/>
        <w:jc w:val="both"/>
        <w:rPr>
          <w:rFonts w:cstheme="minorHAnsi"/>
          <w:color w:val="000000" w:themeColor="text1"/>
          <w:lang w:val="de-DE"/>
        </w:rPr>
      </w:pPr>
      <w:bookmarkStart w:id="68" w:name="_Toc367183620"/>
      <w:bookmarkStart w:id="69" w:name="_Toc367183858"/>
      <w:bookmarkStart w:id="70" w:name="_Toc408380487"/>
      <w:bookmarkStart w:id="71" w:name="_Toc74412423"/>
      <w:r w:rsidRPr="00945E91">
        <w:rPr>
          <w:rFonts w:cstheme="minorHAnsi"/>
          <w:color w:val="000000" w:themeColor="text1"/>
          <w:lang w:val="de-DE"/>
        </w:rPr>
        <w:lastRenderedPageBreak/>
        <w:t>Dokumentation und Qualitätsparameter</w:t>
      </w:r>
      <w:bookmarkEnd w:id="68"/>
      <w:bookmarkEnd w:id="69"/>
      <w:bookmarkEnd w:id="70"/>
      <w:bookmarkEnd w:id="71"/>
    </w:p>
    <w:p w14:paraId="5389ECAC" w14:textId="77777777" w:rsidR="003655E2" w:rsidRPr="00945E91" w:rsidRDefault="003655E2" w:rsidP="000C0C21">
      <w:pPr>
        <w:pStyle w:val="Listenabsatz"/>
        <w:spacing w:line="276" w:lineRule="auto"/>
        <w:ind w:left="284" w:hanging="284"/>
        <w:jc w:val="both"/>
        <w:rPr>
          <w:rFonts w:asciiTheme="minorHAnsi" w:hAnsiTheme="minorHAnsi" w:cstheme="minorHAnsi"/>
          <w:noProof/>
          <w:color w:val="000000" w:themeColor="text1"/>
          <w:sz w:val="8"/>
          <w:szCs w:val="8"/>
          <w:lang w:val="de-DE"/>
        </w:rPr>
      </w:pPr>
    </w:p>
    <w:p w14:paraId="2DBD1F5C" w14:textId="70CED1DA" w:rsidR="009B5C04" w:rsidRPr="00945E91" w:rsidRDefault="005F3443" w:rsidP="000C0C21">
      <w:pPr>
        <w:spacing w:line="240" w:lineRule="auto"/>
        <w:jc w:val="both"/>
        <w:rPr>
          <w:rFonts w:asciiTheme="minorHAnsi" w:hAnsiTheme="minorHAnsi" w:cstheme="minorHAnsi"/>
          <w:noProof/>
          <w:color w:val="000000" w:themeColor="text1"/>
          <w:szCs w:val="22"/>
          <w:lang w:val="de-DE"/>
        </w:rPr>
      </w:pPr>
      <w:r w:rsidRPr="005F3443">
        <w:rPr>
          <w:rFonts w:asciiTheme="minorHAnsi" w:hAnsiTheme="minorHAnsi" w:cstheme="minorHAnsi"/>
          <w:noProof/>
          <w:color w:val="000000" w:themeColor="text1"/>
          <w:szCs w:val="22"/>
          <w:lang w:val="de-DE"/>
        </w:rPr>
        <w:t>Dokumentation entsprechend der lokalen Vorgaben in celsius37</w:t>
      </w:r>
      <w:r w:rsidR="00732322" w:rsidRPr="00945E91">
        <w:rPr>
          <w:rFonts w:asciiTheme="minorHAnsi" w:hAnsiTheme="minorHAnsi" w:cstheme="minorHAnsi"/>
          <w:noProof/>
          <w:color w:val="000000" w:themeColor="text1"/>
          <w:szCs w:val="22"/>
          <w:lang w:val="de-DE"/>
        </w:rPr>
        <w:t>.</w:t>
      </w:r>
      <w:bookmarkStart w:id="72" w:name="_GoBack"/>
      <w:bookmarkEnd w:id="72"/>
    </w:p>
    <w:p w14:paraId="3C8779EE" w14:textId="77777777" w:rsidR="00732322" w:rsidRPr="00945E91" w:rsidRDefault="00732322" w:rsidP="000C0C21">
      <w:pPr>
        <w:spacing w:line="240" w:lineRule="auto"/>
        <w:jc w:val="both"/>
        <w:rPr>
          <w:rFonts w:asciiTheme="minorHAnsi" w:hAnsiTheme="minorHAnsi" w:cstheme="minorHAnsi"/>
          <w:noProof/>
          <w:color w:val="000000" w:themeColor="text1"/>
          <w:szCs w:val="22"/>
          <w:lang w:val="de-DE"/>
        </w:rPr>
      </w:pPr>
    </w:p>
    <w:p w14:paraId="5389ECC0" w14:textId="02C8EA84" w:rsidR="003655E2" w:rsidRPr="00945E91" w:rsidRDefault="003655E2" w:rsidP="00595E61">
      <w:pPr>
        <w:pStyle w:val="berschrift1"/>
        <w:numPr>
          <w:ilvl w:val="0"/>
          <w:numId w:val="50"/>
        </w:numPr>
        <w:ind w:hanging="720"/>
        <w:jc w:val="both"/>
        <w:rPr>
          <w:rFonts w:cstheme="minorHAnsi"/>
          <w:color w:val="000000" w:themeColor="text1"/>
          <w:lang w:val="de-DE"/>
        </w:rPr>
      </w:pPr>
      <w:bookmarkStart w:id="73" w:name="_Toc367183621"/>
      <w:bookmarkStart w:id="74" w:name="_Toc367183859"/>
      <w:bookmarkStart w:id="75" w:name="_Toc408380488"/>
      <w:bookmarkStart w:id="76" w:name="_Toc74412424"/>
      <w:r w:rsidRPr="00945E91">
        <w:rPr>
          <w:rFonts w:cstheme="minorHAnsi"/>
          <w:color w:val="000000" w:themeColor="text1"/>
          <w:lang w:val="de-DE"/>
        </w:rPr>
        <w:t>Literatur/Quellenangaben</w:t>
      </w:r>
      <w:bookmarkEnd w:id="73"/>
      <w:bookmarkEnd w:id="74"/>
      <w:bookmarkEnd w:id="75"/>
      <w:bookmarkEnd w:id="76"/>
    </w:p>
    <w:p w14:paraId="1F42F9AF" w14:textId="77777777" w:rsidR="00D11A8E" w:rsidRPr="00945E91"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Konsensus-Empfehlung der German Multicenter Study Group for Adult ALL (GMALL) für die Therapie der Akuten lymphatischen Leukämie (ALL) und lymphoblastischer Lymphome (LBL) bei Erwachsenen/Adoleszenten (18-55 Jahre). N. Gökbuget, Version 3 vom 16.10.2017 (nach Beschluss vom GMALL-Studientreffen 09/2016)</w:t>
      </w:r>
    </w:p>
    <w:p w14:paraId="677160D9" w14:textId="77777777" w:rsidR="00D11A8E" w:rsidRPr="00945E91"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Konsensus-Empfehlung der German Multicenter Study Group for Adult ALL (GMALL) für die Therapie der Akuten lymphatischen Leukämie (ALL) und lymphoblastischer Lymphome (LBL) bei älteren Patienten (&gt; 55-75 Jahre). N. Gökbuget, Version 3 (16.10.2017)</w:t>
      </w:r>
    </w:p>
    <w:p w14:paraId="039D6078" w14:textId="77777777" w:rsidR="00D11A8E" w:rsidRPr="00945E91" w:rsidRDefault="00D11A8E" w:rsidP="00D11A8E">
      <w:pPr>
        <w:pStyle w:val="Textkrper-Einzug2"/>
        <w:numPr>
          <w:ilvl w:val="0"/>
          <w:numId w:val="39"/>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Therapieempfehlung der GMALL-Studiengruppe für „Frail“ Patienten mit ALL. N.Gökbuget, C.M.Hartog (09.07.2008)</w:t>
      </w:r>
    </w:p>
    <w:p w14:paraId="478A83D5" w14:textId="77777777" w:rsidR="00D11A8E" w:rsidRPr="00945E91" w:rsidRDefault="00D11A8E" w:rsidP="00D11A8E">
      <w:pPr>
        <w:pStyle w:val="Textkrper-Einzug2"/>
        <w:numPr>
          <w:ilvl w:val="0"/>
          <w:numId w:val="39"/>
        </w:numPr>
        <w:spacing w:after="0"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Konsensus-Empfehlung der German Multicenter Study Group for Adult ALL (GMALL) für die Therapie von erwachsenen Patienten mit Rezidiv einer akuten lymphatischen Leukämie. N.Gökbuget, Version 2 (15.8.2013) (nach Beschluss GMALL-Expertengruppe)</w:t>
      </w:r>
    </w:p>
    <w:p w14:paraId="27F04A9D" w14:textId="77777777" w:rsidR="00D11A8E" w:rsidRPr="00945E91"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945E91">
        <w:rPr>
          <w:rFonts w:asciiTheme="minorHAnsi" w:hAnsiTheme="minorHAnsi" w:cstheme="minorHAnsi"/>
          <w:szCs w:val="22"/>
          <w:lang w:val="de-DE"/>
        </w:rPr>
        <w:t>Onkopedia Leitlinie zur Akuten Lymphatischen Leukämie (ALL), Stand: Februar 2018. Nicola Gökbuget, Claudia Baldus, Monika Brüggemann, Alexander W. Hauswirth, Urs Schanz</w:t>
      </w:r>
    </w:p>
    <w:p w14:paraId="486B2068" w14:textId="77777777" w:rsidR="00D11A8E" w:rsidRPr="00945E91"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4537B0">
        <w:rPr>
          <w:rFonts w:asciiTheme="minorHAnsi" w:hAnsiTheme="minorHAnsi" w:cstheme="minorHAnsi"/>
          <w:szCs w:val="22"/>
          <w:lang w:val="de-DE"/>
        </w:rPr>
        <w:t xml:space="preserve">Terwilliger T, Abdul-Hay M. Acute lymphoblastic leukemia: a comprehensive review and 2017 update. </w:t>
      </w:r>
      <w:r w:rsidRPr="00945E91">
        <w:rPr>
          <w:rFonts w:asciiTheme="minorHAnsi" w:hAnsiTheme="minorHAnsi" w:cstheme="minorHAnsi"/>
          <w:szCs w:val="22"/>
          <w:lang w:val="de-DE"/>
        </w:rPr>
        <w:t>Blood Cancer Journal (2017) 7, e577; doi:10.1038/bcj.2017.53</w:t>
      </w:r>
    </w:p>
    <w:p w14:paraId="50C71889" w14:textId="77777777" w:rsidR="00D11A8E" w:rsidRPr="00945E91"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4537B0">
        <w:rPr>
          <w:rFonts w:asciiTheme="minorHAnsi" w:hAnsiTheme="minorHAnsi" w:cstheme="minorHAnsi"/>
          <w:szCs w:val="22"/>
          <w:lang w:val="de-DE"/>
        </w:rPr>
        <w:t xml:space="preserve">Leonard JP, Martin P, Roboz GJ. Practical Implications of the 2016 Revision of the World Health Organization Classification of Lymphoid and Myeloid Neoplasms and Acute Leukemia. </w:t>
      </w:r>
      <w:r w:rsidRPr="00945E91">
        <w:rPr>
          <w:rFonts w:asciiTheme="minorHAnsi" w:hAnsiTheme="minorHAnsi" w:cstheme="minorHAnsi"/>
          <w:szCs w:val="22"/>
          <w:lang w:val="de-DE"/>
        </w:rPr>
        <w:t>J Clin Oncol 35:2708-2715</w:t>
      </w:r>
    </w:p>
    <w:p w14:paraId="0105290C" w14:textId="77777777" w:rsidR="00D11A8E" w:rsidRPr="00E4054E" w:rsidRDefault="00D11A8E" w:rsidP="00D11A8E">
      <w:pPr>
        <w:pStyle w:val="Textkrper-Einzug2"/>
        <w:numPr>
          <w:ilvl w:val="0"/>
          <w:numId w:val="39"/>
        </w:numPr>
        <w:spacing w:line="276" w:lineRule="auto"/>
        <w:jc w:val="left"/>
        <w:rPr>
          <w:rFonts w:asciiTheme="minorHAnsi" w:hAnsiTheme="minorHAnsi" w:cstheme="minorHAnsi"/>
          <w:szCs w:val="22"/>
          <w:lang w:val="de-DE"/>
        </w:rPr>
      </w:pPr>
      <w:r w:rsidRPr="00E4054E">
        <w:rPr>
          <w:rFonts w:asciiTheme="minorHAnsi" w:hAnsiTheme="minorHAnsi" w:cstheme="minorHAnsi"/>
          <w:szCs w:val="22"/>
          <w:lang w:val="de-DE"/>
        </w:rPr>
        <w:t>Website des Kompetenznetzwerk Leukaämie (Stand 28.07.2018)</w:t>
      </w:r>
    </w:p>
    <w:p w14:paraId="453C201E" w14:textId="77777777" w:rsidR="00E4054E" w:rsidRPr="00C21AC1" w:rsidRDefault="00D11A8E" w:rsidP="00245044">
      <w:pPr>
        <w:pStyle w:val="Textkrper-Einzug2"/>
        <w:numPr>
          <w:ilvl w:val="0"/>
          <w:numId w:val="39"/>
        </w:numPr>
        <w:autoSpaceDE w:val="0"/>
        <w:autoSpaceDN w:val="0"/>
        <w:adjustRightInd w:val="0"/>
        <w:spacing w:line="240" w:lineRule="auto"/>
        <w:jc w:val="left"/>
        <w:rPr>
          <w:rFonts w:asciiTheme="minorHAnsi" w:hAnsiTheme="minorHAnsi" w:cstheme="minorHAnsi"/>
          <w:szCs w:val="22"/>
          <w:lang w:val="es-ES" w:eastAsia="de-AT"/>
        </w:rPr>
      </w:pPr>
      <w:r w:rsidRPr="00263E1D">
        <w:rPr>
          <w:rFonts w:asciiTheme="minorHAnsi" w:hAnsiTheme="minorHAnsi" w:cstheme="minorHAnsi"/>
          <w:szCs w:val="22"/>
          <w:lang w:val="de-DE"/>
        </w:rPr>
        <w:t>Cairo MS, Coiffier B, Reiter A. Recommendations for the evaluation of risk and prophylaxis of tumour lysis syndrome (TLS) in adults and children with malignant diseases: an expert TLS panel consensus. Br J Haematol 2010; 149:578.</w:t>
      </w:r>
    </w:p>
    <w:p w14:paraId="07BDBA9F" w14:textId="7284AA7B" w:rsidR="00263E1D" w:rsidRPr="00227D54" w:rsidRDefault="00341399" w:rsidP="00245044">
      <w:pPr>
        <w:pStyle w:val="Textkrper-Einzug2"/>
        <w:numPr>
          <w:ilvl w:val="0"/>
          <w:numId w:val="39"/>
        </w:numPr>
        <w:autoSpaceDE w:val="0"/>
        <w:autoSpaceDN w:val="0"/>
        <w:adjustRightInd w:val="0"/>
        <w:spacing w:line="240" w:lineRule="auto"/>
        <w:jc w:val="left"/>
        <w:rPr>
          <w:rFonts w:ascii="AdvOT1ef757c0" w:hAnsi="AdvOT1ef757c0" w:cs="AdvOT1ef757c0"/>
          <w:sz w:val="42"/>
          <w:szCs w:val="42"/>
          <w:lang w:val="es-ES" w:eastAsia="de-AT"/>
        </w:rPr>
      </w:pPr>
      <w:r w:rsidRPr="00227D54">
        <w:rPr>
          <w:rFonts w:asciiTheme="minorHAnsi" w:hAnsiTheme="minorHAnsi" w:cstheme="minorHAnsi"/>
          <w:szCs w:val="22"/>
          <w:lang w:val="es-ES" w:eastAsia="de-AT"/>
        </w:rPr>
        <w:t>D. Hoelzer, R. Bassan, H. Dombret, A. Fielding, J. M. Ribera &amp; C. Buske on behalf of the ESMO Guidelines Committee</w:t>
      </w:r>
      <w:r w:rsidR="00C21AC1" w:rsidRPr="00227D54">
        <w:rPr>
          <w:rFonts w:asciiTheme="minorHAnsi" w:hAnsiTheme="minorHAnsi" w:cstheme="minorHAnsi"/>
          <w:szCs w:val="22"/>
          <w:lang w:val="es-ES" w:eastAsia="de-AT"/>
        </w:rPr>
        <w:t>.</w:t>
      </w:r>
      <w:r w:rsidR="00E4054E" w:rsidRPr="00227D54">
        <w:rPr>
          <w:rFonts w:asciiTheme="minorHAnsi" w:hAnsiTheme="minorHAnsi" w:cstheme="minorHAnsi"/>
          <w:szCs w:val="22"/>
          <w:lang w:val="es-ES" w:eastAsia="de-AT"/>
        </w:rPr>
        <w:t xml:space="preserve"> Acute lymphoblastic leukaemia in adult patients: ESMO Clinical Practice Guidelines for diagnosis, treatment and follow-up</w:t>
      </w:r>
      <w:r w:rsidRPr="00227D54">
        <w:rPr>
          <w:rFonts w:asciiTheme="minorHAnsi" w:hAnsiTheme="minorHAnsi" w:cstheme="minorHAnsi"/>
          <w:szCs w:val="22"/>
          <w:lang w:val="es-ES" w:eastAsia="de-AT"/>
        </w:rPr>
        <w:t xml:space="preserve">. </w:t>
      </w:r>
      <w:r w:rsidR="00E4054E" w:rsidRPr="00227D54">
        <w:rPr>
          <w:rFonts w:asciiTheme="minorHAnsi" w:hAnsiTheme="minorHAnsi" w:cstheme="minorHAnsi"/>
          <w:szCs w:val="22"/>
          <w:lang w:val="es-ES" w:eastAsia="de-AT"/>
        </w:rPr>
        <w:t>Annals of Oncology 27 (Supplement 5): v69–v82, 2016</w:t>
      </w:r>
      <w:r w:rsidRPr="00227D54">
        <w:rPr>
          <w:rFonts w:asciiTheme="minorHAnsi" w:hAnsiTheme="minorHAnsi" w:cstheme="minorHAnsi"/>
          <w:szCs w:val="22"/>
          <w:lang w:val="es-ES" w:eastAsia="de-AT"/>
        </w:rPr>
        <w:t xml:space="preserve">, </w:t>
      </w:r>
      <w:r w:rsidR="00E4054E" w:rsidRPr="00227D54">
        <w:rPr>
          <w:rFonts w:asciiTheme="minorHAnsi" w:hAnsiTheme="minorHAnsi" w:cstheme="minorHAnsi"/>
          <w:szCs w:val="22"/>
          <w:lang w:val="es-ES" w:eastAsia="de-AT"/>
        </w:rPr>
        <w:t>doi:10.1093/annonc/mdw025</w:t>
      </w:r>
    </w:p>
    <w:p w14:paraId="37EFC54D" w14:textId="000BB281" w:rsidR="00CE5448" w:rsidRPr="00C21AC1" w:rsidRDefault="00263E1D" w:rsidP="00C21AC1">
      <w:pPr>
        <w:pStyle w:val="Textkrper-Einzug2"/>
        <w:numPr>
          <w:ilvl w:val="0"/>
          <w:numId w:val="39"/>
        </w:numPr>
        <w:autoSpaceDE w:val="0"/>
        <w:autoSpaceDN w:val="0"/>
        <w:adjustRightInd w:val="0"/>
        <w:spacing w:line="240" w:lineRule="auto"/>
        <w:jc w:val="left"/>
        <w:rPr>
          <w:rFonts w:asciiTheme="minorHAnsi" w:hAnsiTheme="minorHAnsi" w:cstheme="minorHAnsi"/>
          <w:szCs w:val="22"/>
          <w:lang w:val="es-ES" w:eastAsia="de-AT"/>
        </w:rPr>
      </w:pPr>
      <w:r w:rsidRPr="0046732A">
        <w:rPr>
          <w:rFonts w:asciiTheme="minorHAnsi" w:hAnsiTheme="minorHAnsi" w:cstheme="minorHAnsi"/>
          <w:color w:val="000000"/>
          <w:szCs w:val="22"/>
          <w:lang w:eastAsia="de-AT"/>
        </w:rPr>
        <w:t>Nicolas Boissel  and Andre Baruchel</w:t>
      </w:r>
      <w:r w:rsidR="00C21AC1" w:rsidRPr="0046732A">
        <w:rPr>
          <w:rFonts w:asciiTheme="minorHAnsi" w:hAnsiTheme="minorHAnsi" w:cstheme="minorHAnsi"/>
          <w:color w:val="000000"/>
          <w:szCs w:val="22"/>
          <w:lang w:eastAsia="de-AT"/>
        </w:rPr>
        <w:t>.</w:t>
      </w:r>
      <w:r w:rsidRPr="0046732A">
        <w:rPr>
          <w:rFonts w:asciiTheme="minorHAnsi" w:hAnsiTheme="minorHAnsi" w:cstheme="minorHAnsi"/>
          <w:szCs w:val="22"/>
          <w:lang w:eastAsia="de-AT"/>
        </w:rPr>
        <w:t xml:space="preserve"> Acute lymphoblastic leukemia in adolescent and young adults: treat as adults or as children? </w:t>
      </w:r>
      <w:r w:rsidRPr="0046732A">
        <w:rPr>
          <w:rFonts w:asciiTheme="minorHAnsi" w:hAnsiTheme="minorHAnsi" w:cstheme="minorHAnsi"/>
          <w:szCs w:val="22"/>
          <w:lang w:val="es-ES" w:eastAsia="de-AT"/>
        </w:rPr>
        <w:t xml:space="preserve">Blood, </w:t>
      </w:r>
      <w:r w:rsidR="00C21AC1" w:rsidRPr="0046732A">
        <w:rPr>
          <w:rFonts w:asciiTheme="minorHAnsi" w:hAnsiTheme="minorHAnsi" w:cstheme="minorHAnsi"/>
          <w:szCs w:val="22"/>
          <w:lang w:val="es-ES" w:eastAsia="de-AT"/>
        </w:rPr>
        <w:t xml:space="preserve">25 July 2018,Volume 132, Nr 4 </w:t>
      </w:r>
    </w:p>
    <w:p w14:paraId="4C98F44B" w14:textId="5BCBAE11" w:rsidR="00CE5448" w:rsidRPr="0046732A" w:rsidRDefault="00D9135B" w:rsidP="0046732A">
      <w:pPr>
        <w:pStyle w:val="Textkrper-Einzug2"/>
        <w:numPr>
          <w:ilvl w:val="0"/>
          <w:numId w:val="39"/>
        </w:numPr>
        <w:autoSpaceDE w:val="0"/>
        <w:autoSpaceDN w:val="0"/>
        <w:adjustRightInd w:val="0"/>
        <w:spacing w:line="276" w:lineRule="auto"/>
        <w:jc w:val="left"/>
        <w:rPr>
          <w:rFonts w:asciiTheme="minorHAnsi" w:hAnsiTheme="minorHAnsi" w:cstheme="minorHAnsi"/>
          <w:szCs w:val="22"/>
          <w:lang w:val="es-ES"/>
        </w:rPr>
      </w:pPr>
      <w:r w:rsidRPr="00CE5448">
        <w:rPr>
          <w:rFonts w:asciiTheme="minorHAnsi" w:hAnsiTheme="minorHAnsi" w:cstheme="minorHAnsi"/>
          <w:szCs w:val="22"/>
          <w:lang w:val="en-US"/>
        </w:rPr>
        <w:t xml:space="preserve">Kimura S, Mullighan CG: </w:t>
      </w:r>
      <w:r w:rsidR="00263E1D" w:rsidRPr="0046732A">
        <w:rPr>
          <w:rFonts w:asciiTheme="minorHAnsi" w:hAnsiTheme="minorHAnsi" w:cstheme="minorHAnsi"/>
          <w:szCs w:val="22"/>
          <w:lang w:val="es-ES" w:eastAsia="de-AT"/>
        </w:rPr>
        <w:t>Molecular markers in ALL: Clinical implications</w:t>
      </w:r>
      <w:r w:rsidR="00263E1D" w:rsidRPr="00CE5448">
        <w:rPr>
          <w:rFonts w:asciiTheme="minorHAnsi" w:hAnsiTheme="minorHAnsi" w:cstheme="minorHAnsi"/>
          <w:szCs w:val="22"/>
          <w:lang w:val="en-US"/>
        </w:rPr>
        <w:t xml:space="preserve">. </w:t>
      </w:r>
      <w:r w:rsidRPr="00CE5448">
        <w:rPr>
          <w:rFonts w:asciiTheme="minorHAnsi" w:hAnsiTheme="minorHAnsi" w:cstheme="minorHAnsi"/>
          <w:szCs w:val="22"/>
          <w:lang w:val="en-US"/>
        </w:rPr>
        <w:t xml:space="preserve">Best Pract Res Clin Haematol </w:t>
      </w:r>
      <w:r w:rsidR="00422DC4" w:rsidRPr="00CE5448">
        <w:rPr>
          <w:rFonts w:asciiTheme="minorHAnsi" w:hAnsiTheme="minorHAnsi" w:cstheme="minorHAnsi"/>
          <w:szCs w:val="22"/>
          <w:lang w:val="en-US"/>
        </w:rPr>
        <w:t>33 (</w:t>
      </w:r>
      <w:r w:rsidRPr="00CE5448">
        <w:rPr>
          <w:rFonts w:asciiTheme="minorHAnsi" w:hAnsiTheme="minorHAnsi" w:cstheme="minorHAnsi"/>
          <w:szCs w:val="22"/>
          <w:lang w:val="en-US"/>
        </w:rPr>
        <w:t>2020</w:t>
      </w:r>
      <w:r w:rsidR="00422DC4" w:rsidRPr="00CE5448">
        <w:rPr>
          <w:rFonts w:asciiTheme="minorHAnsi" w:hAnsiTheme="minorHAnsi" w:cstheme="minorHAnsi"/>
          <w:szCs w:val="22"/>
          <w:lang w:val="en-US"/>
        </w:rPr>
        <w:t>)</w:t>
      </w:r>
      <w:r w:rsidR="00422DC4" w:rsidRPr="0046732A">
        <w:rPr>
          <w:rFonts w:asciiTheme="minorHAnsi" w:hAnsiTheme="minorHAnsi" w:cstheme="minorHAnsi"/>
          <w:color w:val="0080AC"/>
          <w:szCs w:val="22"/>
          <w:lang w:val="es-ES" w:eastAsia="de-AT"/>
        </w:rPr>
        <w:t xml:space="preserve"> </w:t>
      </w:r>
      <w:r w:rsidR="00422DC4" w:rsidRPr="0046732A">
        <w:rPr>
          <w:rFonts w:asciiTheme="minorHAnsi" w:hAnsiTheme="minorHAnsi" w:cstheme="minorHAnsi"/>
          <w:szCs w:val="22"/>
          <w:lang w:val="es-ES" w:eastAsia="de-AT"/>
        </w:rPr>
        <w:t>101193</w:t>
      </w:r>
    </w:p>
    <w:p w14:paraId="22E0C189" w14:textId="77777777" w:rsidR="00CE5448" w:rsidRPr="00227D54" w:rsidRDefault="00463666" w:rsidP="00CE5448">
      <w:pPr>
        <w:pStyle w:val="Textkrper-Einzug2"/>
        <w:numPr>
          <w:ilvl w:val="0"/>
          <w:numId w:val="39"/>
        </w:numPr>
        <w:shd w:val="clear" w:color="auto" w:fill="FFFFFF"/>
        <w:spacing w:line="240" w:lineRule="auto"/>
        <w:jc w:val="left"/>
        <w:rPr>
          <w:rFonts w:asciiTheme="minorHAnsi" w:hAnsiTheme="minorHAnsi" w:cstheme="minorHAnsi"/>
          <w:sz w:val="18"/>
          <w:szCs w:val="22"/>
          <w:lang w:val="de-DE"/>
        </w:rPr>
      </w:pPr>
      <w:hyperlink r:id="rId37" w:history="1">
        <w:r w:rsidR="00CE5448" w:rsidRPr="00227D54">
          <w:rPr>
            <w:rStyle w:val="docsum-authors"/>
            <w:rFonts w:asciiTheme="minorHAnsi" w:hAnsiTheme="minorHAnsi" w:cstheme="minorHAnsi"/>
            <w:szCs w:val="22"/>
            <w:lang w:val="es-ES"/>
          </w:rPr>
          <w:t xml:space="preserve">Kruse A, Abdel-Azim N, Kim HN </w:t>
        </w:r>
        <w:r w:rsidR="00CE5448" w:rsidRPr="00227D54">
          <w:rPr>
            <w:rStyle w:val="Hyperlink"/>
            <w:rFonts w:asciiTheme="minorHAnsi" w:hAnsiTheme="minorHAnsi" w:cstheme="minorHAnsi"/>
            <w:color w:val="auto"/>
            <w:szCs w:val="22"/>
            <w:u w:val="none"/>
            <w:shd w:val="clear" w:color="auto" w:fill="FFFFFF"/>
            <w:lang w:val="es-ES"/>
          </w:rPr>
          <w:t>Minimal Residual Disease Detection in Acute Lymphoblastic Leukemia.</w:t>
        </w:r>
      </w:hyperlink>
      <w:r w:rsidR="00CE5448" w:rsidRPr="00227D54">
        <w:rPr>
          <w:rFonts w:asciiTheme="minorHAnsi" w:hAnsiTheme="minorHAnsi" w:cstheme="minorHAnsi"/>
          <w:szCs w:val="22"/>
          <w:lang w:val="es-ES"/>
        </w:rPr>
        <w:t xml:space="preserve"> </w:t>
      </w:r>
      <w:r w:rsidR="00CE5448" w:rsidRPr="00227D54">
        <w:rPr>
          <w:rFonts w:asciiTheme="minorHAnsi" w:hAnsiTheme="minorHAnsi" w:cstheme="minorHAnsi"/>
          <w:szCs w:val="22"/>
          <w:lang w:val="de-DE" w:eastAsia="de-AT"/>
        </w:rPr>
        <w:t>Int J Mol Sci 2020 Feb 5;21(3):1054.</w:t>
      </w:r>
      <w:r w:rsidR="00CE5448" w:rsidRPr="00227D54">
        <w:rPr>
          <w:rFonts w:asciiTheme="minorHAnsi" w:hAnsiTheme="minorHAnsi" w:cstheme="minorHAnsi"/>
          <w:szCs w:val="22"/>
          <w:shd w:val="clear" w:color="auto" w:fill="FFFFFF"/>
          <w:lang w:val="de-DE" w:eastAsia="de-AT"/>
        </w:rPr>
        <w:t> doi: 10.3390/ijms21031054.</w:t>
      </w:r>
    </w:p>
    <w:p w14:paraId="3A56A3F2" w14:textId="7241D703" w:rsidR="00CE5448" w:rsidRPr="00227D54" w:rsidRDefault="00CE5448" w:rsidP="0046732A">
      <w:pPr>
        <w:pStyle w:val="Textkrper-Einzug2"/>
        <w:numPr>
          <w:ilvl w:val="0"/>
          <w:numId w:val="39"/>
        </w:numPr>
        <w:shd w:val="clear" w:color="auto" w:fill="FFFFFF"/>
        <w:spacing w:line="240" w:lineRule="auto"/>
        <w:jc w:val="left"/>
        <w:rPr>
          <w:rFonts w:asciiTheme="minorHAnsi" w:hAnsiTheme="minorHAnsi" w:cstheme="minorHAnsi"/>
          <w:szCs w:val="22"/>
          <w:lang w:val="es-ES"/>
        </w:rPr>
      </w:pPr>
      <w:r w:rsidRPr="00227D54">
        <w:rPr>
          <w:rFonts w:asciiTheme="minorHAnsi" w:hAnsiTheme="minorHAnsi" w:cstheme="minorHAnsi"/>
          <w:szCs w:val="22"/>
          <w:lang w:val="es-ES"/>
        </w:rPr>
        <w:t>Pui CH: Precision Medicine in Acute Lymphoblastic Leukemia Front Med 2020;14: 689–700</w:t>
      </w:r>
      <w:r w:rsidRPr="00227D54">
        <w:rPr>
          <w:rFonts w:asciiTheme="minorHAnsi" w:hAnsiTheme="minorHAnsi" w:cstheme="minorHAnsi"/>
          <w:szCs w:val="22"/>
          <w:shd w:val="clear" w:color="auto" w:fill="FFFFFF"/>
          <w:lang w:val="es-ES" w:eastAsia="de-AT"/>
        </w:rPr>
        <w:t> doi: 10.1007/s11684-020-0759-8.</w:t>
      </w:r>
    </w:p>
    <w:p w14:paraId="4FAAB99E" w14:textId="77777777" w:rsidR="00C55D81" w:rsidRPr="0046732A" w:rsidRDefault="00C55D81" w:rsidP="00C55D81">
      <w:pPr>
        <w:pStyle w:val="StandardWeb"/>
        <w:numPr>
          <w:ilvl w:val="0"/>
          <w:numId w:val="39"/>
        </w:numPr>
        <w:shd w:val="clear" w:color="auto" w:fill="FFFFFF"/>
        <w:spacing w:before="0" w:beforeAutospacing="0" w:after="240" w:afterAutospacing="0"/>
        <w:rPr>
          <w:rFonts w:asciiTheme="minorHAnsi" w:hAnsiTheme="minorHAnsi" w:cstheme="minorHAnsi"/>
          <w:sz w:val="22"/>
          <w:szCs w:val="22"/>
          <w:lang w:val="en"/>
        </w:rPr>
      </w:pPr>
      <w:r w:rsidRPr="00227D54">
        <w:rPr>
          <w:rFonts w:asciiTheme="minorHAnsi" w:hAnsiTheme="minorHAnsi" w:cstheme="minorHAnsi"/>
          <w:sz w:val="22"/>
          <w:szCs w:val="22"/>
          <w:lang w:val="en"/>
        </w:rPr>
        <w:lastRenderedPageBreak/>
        <w:t>Kantarjian HM, DeAngelo DJ, Stelljes M et al.: Inotuzumab Ozogamicin versus Standard Therapy</w:t>
      </w:r>
      <w:r w:rsidRPr="0046732A">
        <w:rPr>
          <w:rFonts w:asciiTheme="minorHAnsi" w:hAnsiTheme="minorHAnsi" w:cstheme="minorHAnsi"/>
          <w:sz w:val="22"/>
          <w:szCs w:val="22"/>
          <w:lang w:val="en"/>
        </w:rPr>
        <w:t xml:space="preserve"> for Acute Lymphoblastic Leukemia. N Engl J Med 375:740-753, 2016. </w:t>
      </w:r>
      <w:hyperlink r:id="rId38" w:history="1">
        <w:r w:rsidRPr="0046732A">
          <w:rPr>
            <w:rStyle w:val="Hyperlink"/>
            <w:rFonts w:asciiTheme="minorHAnsi" w:hAnsiTheme="minorHAnsi" w:cstheme="minorHAnsi"/>
            <w:color w:val="auto"/>
            <w:sz w:val="22"/>
            <w:szCs w:val="22"/>
            <w:u w:val="none"/>
            <w:lang w:val="en"/>
          </w:rPr>
          <w:t>DOI:10.1056/NEJMoa1509277</w:t>
        </w:r>
      </w:hyperlink>
    </w:p>
    <w:p w14:paraId="639FBC29" w14:textId="77777777" w:rsidR="00C55D81" w:rsidRPr="0046732A" w:rsidRDefault="00C55D81" w:rsidP="00C55D81">
      <w:pPr>
        <w:pStyle w:val="StandardWeb"/>
        <w:numPr>
          <w:ilvl w:val="0"/>
          <w:numId w:val="39"/>
        </w:numPr>
        <w:shd w:val="clear" w:color="auto" w:fill="FFFFFF"/>
        <w:spacing w:before="0" w:beforeAutospacing="0" w:after="240" w:afterAutospacing="0"/>
        <w:rPr>
          <w:rFonts w:asciiTheme="minorHAnsi" w:hAnsiTheme="minorHAnsi" w:cstheme="minorHAnsi"/>
          <w:sz w:val="22"/>
          <w:szCs w:val="22"/>
          <w:lang w:val="en"/>
        </w:rPr>
      </w:pPr>
      <w:r w:rsidRPr="0046732A">
        <w:rPr>
          <w:rFonts w:asciiTheme="minorHAnsi" w:hAnsiTheme="minorHAnsi" w:cstheme="minorHAnsi"/>
          <w:sz w:val="22"/>
          <w:szCs w:val="22"/>
          <w:lang w:val="en"/>
        </w:rPr>
        <w:t>Kantarjian HM, Stein AS, Bargou RC et al.: Blinatumomab treatment of older adults with relapsed/refractory B-precursor acute lymphoblastic leukemia: Results from 2 phase 2 studies. Cancer 122:2178-2185, 2016. </w:t>
      </w:r>
      <w:hyperlink r:id="rId39" w:history="1">
        <w:r w:rsidRPr="0046732A">
          <w:rPr>
            <w:rStyle w:val="Hyperlink"/>
            <w:rFonts w:asciiTheme="minorHAnsi" w:hAnsiTheme="minorHAnsi" w:cstheme="minorHAnsi"/>
            <w:color w:val="auto"/>
            <w:sz w:val="22"/>
            <w:szCs w:val="22"/>
            <w:u w:val="none"/>
            <w:lang w:val="en"/>
          </w:rPr>
          <w:t>DOI:10.1002/cncr.30031</w:t>
        </w:r>
      </w:hyperlink>
    </w:p>
    <w:p w14:paraId="020261F7" w14:textId="77777777" w:rsidR="00C55D81" w:rsidRPr="0046732A" w:rsidRDefault="00C55D81" w:rsidP="00C55D81">
      <w:pPr>
        <w:pStyle w:val="StandardWeb"/>
        <w:numPr>
          <w:ilvl w:val="0"/>
          <w:numId w:val="39"/>
        </w:numPr>
        <w:shd w:val="clear" w:color="auto" w:fill="FFFFFF"/>
        <w:spacing w:before="0" w:beforeAutospacing="0" w:after="240" w:afterAutospacing="0"/>
        <w:rPr>
          <w:rFonts w:asciiTheme="minorHAnsi" w:hAnsiTheme="minorHAnsi" w:cstheme="minorHAnsi"/>
          <w:sz w:val="22"/>
          <w:szCs w:val="22"/>
          <w:lang w:val="en"/>
        </w:rPr>
      </w:pPr>
      <w:r w:rsidRPr="0046732A">
        <w:rPr>
          <w:rFonts w:asciiTheme="minorHAnsi" w:hAnsiTheme="minorHAnsi" w:cstheme="minorHAnsi"/>
          <w:sz w:val="22"/>
          <w:szCs w:val="22"/>
          <w:lang w:val="en"/>
        </w:rPr>
        <w:t>Dombret H, Topp MS, Schuh AC et al.: Blinatumomab versus chemotherapy in first salvage or in later salvage for B-cell precursor acute lymphoblastic leukemia. Leuk Lymphoma 60:2214-2222, 2019. </w:t>
      </w:r>
      <w:hyperlink r:id="rId40" w:history="1">
        <w:r w:rsidRPr="0046732A">
          <w:rPr>
            <w:rStyle w:val="Hyperlink"/>
            <w:rFonts w:asciiTheme="minorHAnsi" w:hAnsiTheme="minorHAnsi" w:cstheme="minorHAnsi"/>
            <w:color w:val="auto"/>
            <w:sz w:val="22"/>
            <w:szCs w:val="22"/>
            <w:u w:val="none"/>
            <w:lang w:val="en"/>
          </w:rPr>
          <w:t>DOI:10.1080/10428194.2019.1576872</w:t>
        </w:r>
      </w:hyperlink>
    </w:p>
    <w:p w14:paraId="3074F7E1" w14:textId="77777777" w:rsidR="00C55D81" w:rsidRPr="0046732A" w:rsidRDefault="00C55D81" w:rsidP="00C55D81">
      <w:pPr>
        <w:pStyle w:val="StandardWeb"/>
        <w:numPr>
          <w:ilvl w:val="0"/>
          <w:numId w:val="39"/>
        </w:numPr>
        <w:shd w:val="clear" w:color="auto" w:fill="FFFFFF"/>
        <w:spacing w:before="0" w:beforeAutospacing="0" w:after="240" w:afterAutospacing="0"/>
        <w:rPr>
          <w:rFonts w:asciiTheme="minorHAnsi" w:hAnsiTheme="minorHAnsi" w:cstheme="minorHAnsi"/>
          <w:sz w:val="22"/>
          <w:szCs w:val="22"/>
          <w:lang w:val="en"/>
        </w:rPr>
      </w:pPr>
      <w:r w:rsidRPr="0046732A">
        <w:rPr>
          <w:rFonts w:asciiTheme="minorHAnsi" w:hAnsiTheme="minorHAnsi" w:cstheme="minorHAnsi"/>
          <w:sz w:val="22"/>
          <w:szCs w:val="22"/>
          <w:lang w:val="en"/>
        </w:rPr>
        <w:t>Martinelli G, Boissel N, Chevallier P et al.: Complete Hematologic and Molecular Response in Adult Patients With Relapsed/Refractory Philadelphia Chromosome-Positive B-Precursor Acute Lymphoblastic Leukemia Following Treatment With Blinatumomab: Results From a Phase II, Single-Arm, Multicenter Study. J Clin Oncol 35:1795-1802, 2017. </w:t>
      </w:r>
      <w:hyperlink r:id="rId41" w:history="1">
        <w:r w:rsidRPr="0046732A">
          <w:rPr>
            <w:rStyle w:val="Hyperlink"/>
            <w:rFonts w:asciiTheme="minorHAnsi" w:hAnsiTheme="minorHAnsi" w:cstheme="minorHAnsi"/>
            <w:color w:val="auto"/>
            <w:sz w:val="22"/>
            <w:szCs w:val="22"/>
            <w:u w:val="none"/>
            <w:lang w:val="en"/>
          </w:rPr>
          <w:t>DOI:10.1200/JCO.2016.69.3531</w:t>
        </w:r>
      </w:hyperlink>
    </w:p>
    <w:p w14:paraId="12564098" w14:textId="77777777" w:rsidR="00C55D81" w:rsidRPr="0046732A" w:rsidRDefault="00C55D81" w:rsidP="00C55D81">
      <w:pPr>
        <w:pStyle w:val="StandardWeb"/>
        <w:numPr>
          <w:ilvl w:val="0"/>
          <w:numId w:val="39"/>
        </w:numPr>
        <w:shd w:val="clear" w:color="auto" w:fill="FFFFFF"/>
        <w:spacing w:before="0" w:beforeAutospacing="0" w:after="240" w:afterAutospacing="0"/>
        <w:rPr>
          <w:rFonts w:asciiTheme="minorHAnsi" w:hAnsiTheme="minorHAnsi" w:cstheme="minorHAnsi"/>
          <w:sz w:val="22"/>
          <w:szCs w:val="22"/>
          <w:lang w:val="en"/>
        </w:rPr>
      </w:pPr>
      <w:r w:rsidRPr="0046732A">
        <w:rPr>
          <w:rFonts w:asciiTheme="minorHAnsi" w:hAnsiTheme="minorHAnsi" w:cstheme="minorHAnsi"/>
          <w:sz w:val="22"/>
          <w:szCs w:val="22"/>
          <w:lang w:val="en"/>
        </w:rPr>
        <w:t>Gökbuget N, Dombret H, Bonifacio M et al.: Blinatumomab for minimal residual disease in adults with B-precursor acute lymphoblastic leukemia. Blood 131:1522-1531, 2018. </w:t>
      </w:r>
      <w:hyperlink r:id="rId42" w:history="1">
        <w:r w:rsidRPr="0046732A">
          <w:rPr>
            <w:rStyle w:val="Hyperlink"/>
            <w:rFonts w:asciiTheme="minorHAnsi" w:hAnsiTheme="minorHAnsi" w:cstheme="minorHAnsi"/>
            <w:color w:val="auto"/>
            <w:sz w:val="22"/>
            <w:szCs w:val="22"/>
            <w:u w:val="none"/>
            <w:lang w:val="en"/>
          </w:rPr>
          <w:t>DOI:10.1182/blood-2017-08-798322</w:t>
        </w:r>
      </w:hyperlink>
    </w:p>
    <w:p w14:paraId="51424841" w14:textId="5CB1B5DF" w:rsidR="00D9135B" w:rsidRPr="00C21AC1" w:rsidRDefault="000D16E4" w:rsidP="00D11A8E">
      <w:pPr>
        <w:pStyle w:val="Textkrper-Einzug2"/>
        <w:numPr>
          <w:ilvl w:val="0"/>
          <w:numId w:val="39"/>
        </w:numPr>
        <w:spacing w:line="276" w:lineRule="auto"/>
        <w:jc w:val="left"/>
        <w:rPr>
          <w:rFonts w:asciiTheme="minorHAnsi" w:hAnsiTheme="minorHAnsi" w:cstheme="minorHAnsi"/>
          <w:szCs w:val="22"/>
          <w:lang w:val="es-ES"/>
        </w:rPr>
      </w:pPr>
      <w:r w:rsidRPr="0046732A">
        <w:rPr>
          <w:rFonts w:asciiTheme="minorHAnsi" w:hAnsiTheme="minorHAnsi" w:cstheme="minorHAnsi"/>
          <w:szCs w:val="22"/>
        </w:rPr>
        <w:t>Kantarjian H, Stein A, Gokbuget N, et al. ¨ Blinatumomab versus chemotherapy for advanced acute lymphoblastic leukemia. N Engl J Med. 2017;376(9):836-847</w:t>
      </w:r>
    </w:p>
    <w:p w14:paraId="52C7175E" w14:textId="77777777" w:rsidR="000D16E4" w:rsidRPr="00227D54" w:rsidRDefault="000D16E4" w:rsidP="00D11A8E">
      <w:pPr>
        <w:pStyle w:val="Textkrper-Einzug2"/>
        <w:numPr>
          <w:ilvl w:val="0"/>
          <w:numId w:val="39"/>
        </w:numPr>
        <w:spacing w:line="276" w:lineRule="auto"/>
        <w:jc w:val="left"/>
        <w:rPr>
          <w:rFonts w:asciiTheme="minorHAnsi" w:hAnsiTheme="minorHAnsi" w:cstheme="minorHAnsi"/>
          <w:szCs w:val="22"/>
          <w:lang w:val="de-DE"/>
        </w:rPr>
      </w:pPr>
      <w:r w:rsidRPr="0046732A">
        <w:rPr>
          <w:rFonts w:asciiTheme="minorHAnsi" w:hAnsiTheme="minorHAnsi" w:cstheme="minorHAnsi"/>
          <w:szCs w:val="22"/>
          <w:lang w:val="es-ES"/>
        </w:rPr>
        <w:t xml:space="preserve">Jain N, Cortes JE, Ravandi F, et al. Inotuzumab ozogamicin in combination with bosutinib for patients with relapsed or refractory Ph plus ALL or CML in lymphoid blast phase [abstract]. </w:t>
      </w:r>
      <w:r w:rsidRPr="0046732A">
        <w:rPr>
          <w:rFonts w:asciiTheme="minorHAnsi" w:hAnsiTheme="minorHAnsi" w:cstheme="minorHAnsi"/>
          <w:szCs w:val="22"/>
        </w:rPr>
        <w:t xml:space="preserve">Blood. </w:t>
      </w:r>
      <w:r w:rsidRPr="00227D54">
        <w:rPr>
          <w:rFonts w:asciiTheme="minorHAnsi" w:hAnsiTheme="minorHAnsi" w:cstheme="minorHAnsi"/>
          <w:szCs w:val="22"/>
        </w:rPr>
        <w:t>2017;130(suppl 1). Abstract 143.</w:t>
      </w:r>
    </w:p>
    <w:p w14:paraId="4ACB09D6" w14:textId="685AEAD3" w:rsidR="00D11A8E" w:rsidRPr="00227D54" w:rsidRDefault="000D16E4" w:rsidP="00D11A8E">
      <w:pPr>
        <w:pStyle w:val="Textkrper-Einzug2"/>
        <w:numPr>
          <w:ilvl w:val="0"/>
          <w:numId w:val="39"/>
        </w:numPr>
        <w:spacing w:line="276" w:lineRule="auto"/>
        <w:jc w:val="left"/>
        <w:rPr>
          <w:rFonts w:asciiTheme="minorHAnsi" w:hAnsiTheme="minorHAnsi" w:cstheme="minorHAnsi"/>
          <w:szCs w:val="22"/>
          <w:lang w:val="de-DE"/>
        </w:rPr>
      </w:pPr>
      <w:r w:rsidRPr="00227D54">
        <w:rPr>
          <w:rFonts w:asciiTheme="minorHAnsi" w:hAnsiTheme="minorHAnsi" w:cstheme="minorHAnsi"/>
          <w:szCs w:val="22"/>
        </w:rPr>
        <w:t>Assi R, Kantarjian HM, Short NJ, et al. Safety and efficacy of blinatumomab in combination with a tyrosine kinase inhibitor for the treatment of relapsed Philadelphia chromosome-positive leukemia [abstract]. Blood. 2017;130(suppl 1). Abstract 2598.</w:t>
      </w:r>
    </w:p>
    <w:p w14:paraId="5389ECCE" w14:textId="60198BE7" w:rsidR="003655E2" w:rsidRPr="0046732A" w:rsidRDefault="003655E2" w:rsidP="000C0C21">
      <w:pPr>
        <w:autoSpaceDE w:val="0"/>
        <w:autoSpaceDN w:val="0"/>
        <w:adjustRightInd w:val="0"/>
        <w:spacing w:line="240" w:lineRule="auto"/>
        <w:jc w:val="both"/>
        <w:rPr>
          <w:rFonts w:asciiTheme="minorHAnsi" w:hAnsiTheme="minorHAnsi" w:cstheme="minorHAnsi"/>
          <w:szCs w:val="22"/>
          <w:lang w:val="de-DE" w:eastAsia="de-AT"/>
        </w:rPr>
      </w:pPr>
    </w:p>
    <w:p w14:paraId="4F190525" w14:textId="1C83976A" w:rsidR="00732322" w:rsidRPr="0046732A" w:rsidRDefault="00732322" w:rsidP="000C0C21">
      <w:pPr>
        <w:autoSpaceDE w:val="0"/>
        <w:autoSpaceDN w:val="0"/>
        <w:adjustRightInd w:val="0"/>
        <w:spacing w:line="240" w:lineRule="auto"/>
        <w:jc w:val="both"/>
        <w:rPr>
          <w:rFonts w:asciiTheme="minorHAnsi" w:hAnsiTheme="minorHAnsi" w:cstheme="minorHAnsi"/>
          <w:szCs w:val="22"/>
          <w:lang w:val="de-DE" w:eastAsia="de-AT"/>
        </w:rPr>
      </w:pPr>
      <w:r w:rsidRPr="0046732A">
        <w:rPr>
          <w:rFonts w:asciiTheme="minorHAnsi" w:hAnsiTheme="minorHAnsi" w:cstheme="minorHAnsi"/>
          <w:szCs w:val="22"/>
          <w:lang w:val="de-DE" w:eastAsia="de-AT"/>
        </w:rPr>
        <w:br/>
      </w:r>
    </w:p>
    <w:p w14:paraId="7F547B9F" w14:textId="77777777" w:rsidR="00732322" w:rsidRPr="0046732A" w:rsidRDefault="00732322">
      <w:pPr>
        <w:spacing w:line="240" w:lineRule="auto"/>
        <w:jc w:val="left"/>
        <w:rPr>
          <w:rFonts w:asciiTheme="minorHAnsi" w:hAnsiTheme="minorHAnsi" w:cstheme="minorHAnsi"/>
          <w:szCs w:val="22"/>
          <w:lang w:val="de-DE" w:eastAsia="de-AT"/>
        </w:rPr>
      </w:pPr>
      <w:r w:rsidRPr="0046732A">
        <w:rPr>
          <w:rFonts w:asciiTheme="minorHAnsi" w:hAnsiTheme="minorHAnsi" w:cstheme="minorHAnsi"/>
          <w:szCs w:val="22"/>
          <w:lang w:val="de-DE" w:eastAsia="de-AT"/>
        </w:rPr>
        <w:br w:type="page"/>
      </w:r>
    </w:p>
    <w:p w14:paraId="13D172E6" w14:textId="132A405E" w:rsidR="00D11A8E" w:rsidRPr="00945E91" w:rsidRDefault="00D11A8E" w:rsidP="00D11A8E">
      <w:pPr>
        <w:pStyle w:val="berschrift1"/>
        <w:jc w:val="both"/>
        <w:rPr>
          <w:rFonts w:cstheme="minorHAnsi"/>
          <w:color w:val="000000" w:themeColor="text1"/>
          <w:sz w:val="20"/>
          <w:lang w:val="de-DE" w:eastAsia="de-AT"/>
        </w:rPr>
      </w:pPr>
      <w:bookmarkStart w:id="77" w:name="_Toc74412425"/>
      <w:r w:rsidRPr="00945E91">
        <w:rPr>
          <w:rFonts w:cstheme="minorHAnsi"/>
          <w:color w:val="000000" w:themeColor="text1"/>
          <w:lang w:val="de-DE"/>
        </w:rPr>
        <w:lastRenderedPageBreak/>
        <w:t>Anhang: Chemotherapieprotokolle</w:t>
      </w:r>
      <w:bookmarkEnd w:id="77"/>
    </w:p>
    <w:p w14:paraId="72353EED" w14:textId="20004AF7" w:rsidR="00D9135B" w:rsidRPr="00C21AC1" w:rsidRDefault="00D11A8E" w:rsidP="00D9135B">
      <w:pPr>
        <w:spacing w:line="240" w:lineRule="auto"/>
        <w:jc w:val="left"/>
        <w:rPr>
          <w:rFonts w:asciiTheme="minorHAnsi" w:hAnsiTheme="minorHAnsi" w:cstheme="minorHAnsi"/>
          <w:b/>
          <w:sz w:val="24"/>
          <w:szCs w:val="22"/>
          <w:lang w:val="de-DE"/>
        </w:rPr>
      </w:pPr>
      <w:r w:rsidRPr="00945E91">
        <w:rPr>
          <w:rFonts w:asciiTheme="minorHAnsi" w:hAnsiTheme="minorHAnsi" w:cstheme="minorHAnsi"/>
          <w:b/>
          <w:sz w:val="24"/>
          <w:szCs w:val="22"/>
          <w:lang w:val="de-DE"/>
        </w:rPr>
        <w:t xml:space="preserve">Zuordnung der Subentitäten zum entsprechenden Therapieprotokoll in CATO </w:t>
      </w:r>
    </w:p>
    <w:p w14:paraId="7FBBFE15" w14:textId="77777777" w:rsidR="00D9135B" w:rsidRPr="0033245E" w:rsidRDefault="00D9135B" w:rsidP="00D9135B">
      <w:pPr>
        <w:spacing w:line="240" w:lineRule="auto"/>
        <w:jc w:val="left"/>
        <w:rPr>
          <w:rFonts w:asciiTheme="minorHAnsi" w:hAnsiTheme="minorHAnsi" w:cstheme="minorHAnsi"/>
          <w:b/>
          <w:sz w:val="24"/>
          <w:szCs w:val="22"/>
          <w:highlight w:val="yellow"/>
          <w:lang w:val="de-DE"/>
        </w:rPr>
      </w:pPr>
    </w:p>
    <w:p w14:paraId="6A0F72B9"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AIEOP Protokolle für bcr-abl negative ALL vor dem 26. Lebensjahr</w:t>
      </w:r>
    </w:p>
    <w:p w14:paraId="6DB1103A" w14:textId="77777777" w:rsidR="00D9135B" w:rsidRPr="00C21AC1" w:rsidRDefault="00D9135B" w:rsidP="00D9135B">
      <w:pPr>
        <w:spacing w:line="240" w:lineRule="auto"/>
        <w:jc w:val="left"/>
        <w:rPr>
          <w:rFonts w:asciiTheme="minorHAnsi" w:hAnsiTheme="minorHAnsi" w:cstheme="minorHAnsi"/>
          <w:b/>
          <w:color w:val="FF0000"/>
          <w:sz w:val="18"/>
          <w:szCs w:val="22"/>
          <w:lang w:val="de-DE"/>
        </w:rPr>
      </w:pPr>
    </w:p>
    <w:p w14:paraId="3CC865ED"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Vorphase für alle Therapieprotokolle</w:t>
      </w:r>
    </w:p>
    <w:tbl>
      <w:tblPr>
        <w:tblW w:w="9426" w:type="dxa"/>
        <w:tblLayout w:type="fixed"/>
        <w:tblCellMar>
          <w:left w:w="70" w:type="dxa"/>
          <w:right w:w="70" w:type="dxa"/>
        </w:tblCellMar>
        <w:tblLook w:val="04A0" w:firstRow="1" w:lastRow="0" w:firstColumn="1" w:lastColumn="0" w:noHBand="0" w:noVBand="1"/>
      </w:tblPr>
      <w:tblGrid>
        <w:gridCol w:w="686"/>
        <w:gridCol w:w="1015"/>
        <w:gridCol w:w="4395"/>
        <w:gridCol w:w="3330"/>
      </w:tblGrid>
      <w:tr w:rsidR="00D9135B" w:rsidRPr="00C21AC1" w14:paraId="3580287B" w14:textId="77777777" w:rsidTr="00245044">
        <w:trPr>
          <w:trHeight w:val="155"/>
        </w:trPr>
        <w:tc>
          <w:tcPr>
            <w:tcW w:w="686" w:type="dxa"/>
            <w:tcBorders>
              <w:top w:val="nil"/>
              <w:left w:val="nil"/>
              <w:bottom w:val="nil"/>
              <w:right w:val="nil"/>
            </w:tcBorders>
            <w:shd w:val="clear" w:color="000000" w:fill="D9D9D9"/>
          </w:tcPr>
          <w:p w14:paraId="6EFAFB74"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p>
        </w:tc>
        <w:tc>
          <w:tcPr>
            <w:tcW w:w="1015" w:type="dxa"/>
            <w:tcBorders>
              <w:top w:val="nil"/>
              <w:left w:val="nil"/>
              <w:bottom w:val="nil"/>
              <w:right w:val="nil"/>
            </w:tcBorders>
            <w:shd w:val="clear" w:color="000000" w:fill="D9D9D9"/>
          </w:tcPr>
          <w:p w14:paraId="2D8D807C"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p>
        </w:tc>
        <w:tc>
          <w:tcPr>
            <w:tcW w:w="4395" w:type="dxa"/>
            <w:tcBorders>
              <w:top w:val="nil"/>
              <w:left w:val="nil"/>
              <w:bottom w:val="nil"/>
              <w:right w:val="nil"/>
            </w:tcBorders>
            <w:shd w:val="clear" w:color="000000" w:fill="D9D9D9"/>
          </w:tcPr>
          <w:p w14:paraId="2886EBE4"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c>
          <w:tcPr>
            <w:tcW w:w="3330" w:type="dxa"/>
            <w:tcBorders>
              <w:top w:val="nil"/>
              <w:left w:val="nil"/>
              <w:bottom w:val="nil"/>
              <w:right w:val="nil"/>
            </w:tcBorders>
            <w:shd w:val="clear" w:color="000000" w:fill="D9D9D9"/>
          </w:tcPr>
          <w:p w14:paraId="5B14514F"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p>
        </w:tc>
      </w:tr>
      <w:tr w:rsidR="00D9135B" w:rsidRPr="00C21AC1" w14:paraId="62C6CE1A" w14:textId="77777777" w:rsidTr="00245044">
        <w:trPr>
          <w:trHeight w:val="290"/>
        </w:trPr>
        <w:tc>
          <w:tcPr>
            <w:tcW w:w="686" w:type="dxa"/>
            <w:tcBorders>
              <w:top w:val="nil"/>
              <w:left w:val="nil"/>
              <w:bottom w:val="single" w:sz="4" w:space="0" w:color="auto"/>
              <w:right w:val="nil"/>
            </w:tcBorders>
            <w:shd w:val="clear" w:color="auto" w:fill="auto"/>
          </w:tcPr>
          <w:p w14:paraId="109DB5E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c>
          <w:tcPr>
            <w:tcW w:w="1015" w:type="dxa"/>
            <w:tcBorders>
              <w:top w:val="nil"/>
              <w:left w:val="nil"/>
              <w:bottom w:val="single" w:sz="4" w:space="0" w:color="auto"/>
              <w:right w:val="nil"/>
            </w:tcBorders>
            <w:shd w:val="clear" w:color="auto" w:fill="auto"/>
          </w:tcPr>
          <w:p w14:paraId="0D590444"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c>
          <w:tcPr>
            <w:tcW w:w="4395" w:type="dxa"/>
            <w:tcBorders>
              <w:top w:val="nil"/>
              <w:left w:val="nil"/>
              <w:bottom w:val="single" w:sz="4" w:space="0" w:color="auto"/>
              <w:right w:val="nil"/>
            </w:tcBorders>
            <w:shd w:val="clear" w:color="auto" w:fill="auto"/>
          </w:tcPr>
          <w:p w14:paraId="2B055CE7"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Vorphase</w:t>
            </w:r>
          </w:p>
        </w:tc>
        <w:tc>
          <w:tcPr>
            <w:tcW w:w="3330" w:type="dxa"/>
            <w:tcBorders>
              <w:top w:val="nil"/>
              <w:left w:val="nil"/>
              <w:bottom w:val="single" w:sz="4" w:space="0" w:color="auto"/>
              <w:right w:val="nil"/>
            </w:tcBorders>
          </w:tcPr>
          <w:p w14:paraId="07C9C63D"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p>
        </w:tc>
      </w:tr>
    </w:tbl>
    <w:p w14:paraId="7FDDA145" w14:textId="77777777" w:rsidR="00D9135B" w:rsidRPr="00C21AC1" w:rsidRDefault="00D9135B" w:rsidP="00D9135B">
      <w:pPr>
        <w:spacing w:line="240" w:lineRule="auto"/>
        <w:jc w:val="left"/>
        <w:rPr>
          <w:rFonts w:asciiTheme="minorHAnsi" w:hAnsiTheme="minorHAnsi" w:cstheme="minorHAnsi"/>
          <w:b/>
          <w:sz w:val="18"/>
          <w:szCs w:val="22"/>
          <w:lang w:val="de-DE"/>
        </w:rPr>
      </w:pPr>
    </w:p>
    <w:p w14:paraId="7480CE7F" w14:textId="77777777" w:rsidR="00D9135B" w:rsidRPr="00C21AC1" w:rsidRDefault="00D9135B" w:rsidP="00D9135B">
      <w:pPr>
        <w:spacing w:line="240" w:lineRule="auto"/>
        <w:jc w:val="left"/>
        <w:rPr>
          <w:rFonts w:asciiTheme="minorHAnsi" w:hAnsiTheme="minorHAnsi" w:cstheme="minorHAnsi"/>
          <w:b/>
          <w:sz w:val="18"/>
          <w:szCs w:val="22"/>
          <w:lang w:val="de-DE"/>
        </w:rPr>
      </w:pPr>
    </w:p>
    <w:tbl>
      <w:tblPr>
        <w:tblW w:w="9498" w:type="dxa"/>
        <w:tblInd w:w="-8" w:type="dxa"/>
        <w:tblLayout w:type="fixed"/>
        <w:tblCellMar>
          <w:left w:w="70" w:type="dxa"/>
          <w:right w:w="70" w:type="dxa"/>
        </w:tblCellMar>
        <w:tblLook w:val="04A0" w:firstRow="1" w:lastRow="0" w:firstColumn="1" w:lastColumn="0" w:noHBand="0" w:noVBand="1"/>
      </w:tblPr>
      <w:tblGrid>
        <w:gridCol w:w="1756"/>
        <w:gridCol w:w="4324"/>
        <w:gridCol w:w="3418"/>
      </w:tblGrid>
      <w:tr w:rsidR="00D9135B" w:rsidRPr="00C21AC1" w14:paraId="2C87A111" w14:textId="77777777" w:rsidTr="00245044">
        <w:trPr>
          <w:trHeight w:val="296"/>
        </w:trPr>
        <w:tc>
          <w:tcPr>
            <w:tcW w:w="1756" w:type="dxa"/>
            <w:vMerge w:val="restart"/>
            <w:tcBorders>
              <w:top w:val="single" w:sz="6" w:space="0" w:color="auto"/>
              <w:left w:val="single" w:sz="6" w:space="0" w:color="auto"/>
              <w:right w:val="single" w:sz="6" w:space="0" w:color="auto"/>
            </w:tcBorders>
          </w:tcPr>
          <w:p w14:paraId="0C7ED6DA"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T/non-HR</w:t>
            </w:r>
          </w:p>
        </w:tc>
        <w:tc>
          <w:tcPr>
            <w:tcW w:w="4324" w:type="dxa"/>
            <w:tcBorders>
              <w:top w:val="single" w:sz="6" w:space="0" w:color="auto"/>
              <w:left w:val="single" w:sz="6" w:space="0" w:color="auto"/>
              <w:bottom w:val="single" w:sz="6" w:space="0" w:color="auto"/>
              <w:right w:val="single" w:sz="6" w:space="0" w:color="auto"/>
            </w:tcBorders>
          </w:tcPr>
          <w:p w14:paraId="79050E4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IAd for T-ALL/PGR</w:t>
            </w:r>
          </w:p>
        </w:tc>
        <w:tc>
          <w:tcPr>
            <w:tcW w:w="3418" w:type="dxa"/>
            <w:tcBorders>
              <w:top w:val="single" w:sz="6" w:space="0" w:color="auto"/>
              <w:left w:val="single" w:sz="6" w:space="0" w:color="auto"/>
              <w:bottom w:val="single" w:sz="6" w:space="0" w:color="auto"/>
              <w:right w:val="single" w:sz="6" w:space="0" w:color="auto"/>
            </w:tcBorders>
          </w:tcPr>
          <w:p w14:paraId="5201DCF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57AC2620" w14:textId="77777777" w:rsidTr="00245044">
        <w:trPr>
          <w:trHeight w:val="296"/>
        </w:trPr>
        <w:tc>
          <w:tcPr>
            <w:tcW w:w="1756" w:type="dxa"/>
            <w:vMerge/>
            <w:tcBorders>
              <w:left w:val="single" w:sz="6" w:space="0" w:color="auto"/>
              <w:right w:val="single" w:sz="6" w:space="0" w:color="auto"/>
            </w:tcBorders>
          </w:tcPr>
          <w:p w14:paraId="6A3AC3C4"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B75380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IB</w:t>
            </w:r>
          </w:p>
        </w:tc>
        <w:tc>
          <w:tcPr>
            <w:tcW w:w="3418" w:type="dxa"/>
            <w:tcBorders>
              <w:top w:val="single" w:sz="6" w:space="0" w:color="auto"/>
              <w:left w:val="single" w:sz="6" w:space="0" w:color="auto"/>
              <w:bottom w:val="single" w:sz="6" w:space="0" w:color="auto"/>
              <w:right w:val="single" w:sz="6" w:space="0" w:color="auto"/>
            </w:tcBorders>
          </w:tcPr>
          <w:p w14:paraId="0AF4429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E4A72CE" w14:textId="77777777" w:rsidTr="00245044">
        <w:trPr>
          <w:trHeight w:val="296"/>
        </w:trPr>
        <w:tc>
          <w:tcPr>
            <w:tcW w:w="1756" w:type="dxa"/>
            <w:vMerge/>
            <w:tcBorders>
              <w:left w:val="single" w:sz="6" w:space="0" w:color="auto"/>
              <w:right w:val="single" w:sz="6" w:space="0" w:color="auto"/>
            </w:tcBorders>
          </w:tcPr>
          <w:p w14:paraId="023F7019"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56BC13B9"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M</w:t>
            </w:r>
          </w:p>
        </w:tc>
        <w:tc>
          <w:tcPr>
            <w:tcW w:w="3418" w:type="dxa"/>
            <w:tcBorders>
              <w:top w:val="single" w:sz="6" w:space="0" w:color="auto"/>
              <w:left w:val="single" w:sz="6" w:space="0" w:color="auto"/>
              <w:bottom w:val="single" w:sz="6" w:space="0" w:color="auto"/>
              <w:right w:val="single" w:sz="6" w:space="0" w:color="auto"/>
            </w:tcBorders>
          </w:tcPr>
          <w:p w14:paraId="084D733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29673FE9" w14:textId="77777777" w:rsidTr="00245044">
        <w:trPr>
          <w:trHeight w:val="296"/>
        </w:trPr>
        <w:tc>
          <w:tcPr>
            <w:tcW w:w="1756" w:type="dxa"/>
            <w:vMerge/>
            <w:tcBorders>
              <w:left w:val="single" w:sz="6" w:space="0" w:color="auto"/>
              <w:right w:val="single" w:sz="6" w:space="0" w:color="auto"/>
            </w:tcBorders>
          </w:tcPr>
          <w:p w14:paraId="2923108B"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413E77D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IIA</w:t>
            </w:r>
          </w:p>
        </w:tc>
        <w:tc>
          <w:tcPr>
            <w:tcW w:w="3418" w:type="dxa"/>
            <w:tcBorders>
              <w:top w:val="single" w:sz="6" w:space="0" w:color="auto"/>
              <w:left w:val="single" w:sz="6" w:space="0" w:color="auto"/>
              <w:bottom w:val="single" w:sz="6" w:space="0" w:color="auto"/>
              <w:right w:val="single" w:sz="6" w:space="0" w:color="auto"/>
            </w:tcBorders>
          </w:tcPr>
          <w:p w14:paraId="1487662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2833F135" w14:textId="77777777" w:rsidTr="00245044">
        <w:trPr>
          <w:trHeight w:val="296"/>
        </w:trPr>
        <w:tc>
          <w:tcPr>
            <w:tcW w:w="1756" w:type="dxa"/>
            <w:vMerge/>
            <w:tcBorders>
              <w:left w:val="single" w:sz="6" w:space="0" w:color="auto"/>
              <w:bottom w:val="single" w:sz="6" w:space="0" w:color="auto"/>
              <w:right w:val="single" w:sz="6" w:space="0" w:color="auto"/>
            </w:tcBorders>
          </w:tcPr>
          <w:p w14:paraId="790BA1A3"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4E44DBC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Protokoll IIB</w:t>
            </w:r>
          </w:p>
        </w:tc>
        <w:tc>
          <w:tcPr>
            <w:tcW w:w="3418" w:type="dxa"/>
            <w:tcBorders>
              <w:top w:val="single" w:sz="6" w:space="0" w:color="auto"/>
              <w:left w:val="single" w:sz="6" w:space="0" w:color="auto"/>
              <w:bottom w:val="single" w:sz="6" w:space="0" w:color="auto"/>
              <w:right w:val="single" w:sz="6" w:space="0" w:color="auto"/>
            </w:tcBorders>
          </w:tcPr>
          <w:p w14:paraId="42B155C3"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BCD7E94" w14:textId="77777777" w:rsidTr="00245044">
        <w:trPr>
          <w:trHeight w:val="296"/>
        </w:trPr>
        <w:tc>
          <w:tcPr>
            <w:tcW w:w="1756" w:type="dxa"/>
            <w:vMerge w:val="restart"/>
            <w:tcBorders>
              <w:top w:val="single" w:sz="6" w:space="0" w:color="auto"/>
              <w:left w:val="single" w:sz="6" w:space="0" w:color="auto"/>
              <w:right w:val="single" w:sz="6" w:space="0" w:color="auto"/>
            </w:tcBorders>
          </w:tcPr>
          <w:p w14:paraId="6BB95026"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pB/non-HR</w:t>
            </w:r>
          </w:p>
        </w:tc>
        <w:tc>
          <w:tcPr>
            <w:tcW w:w="4324" w:type="dxa"/>
            <w:tcBorders>
              <w:top w:val="single" w:sz="6" w:space="0" w:color="auto"/>
              <w:left w:val="single" w:sz="6" w:space="0" w:color="auto"/>
              <w:bottom w:val="single" w:sz="6" w:space="0" w:color="auto"/>
              <w:right w:val="single" w:sz="6" w:space="0" w:color="auto"/>
            </w:tcBorders>
          </w:tcPr>
          <w:p w14:paraId="3F44B019"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IA for pB-ALL</w:t>
            </w:r>
          </w:p>
        </w:tc>
        <w:tc>
          <w:tcPr>
            <w:tcW w:w="3418" w:type="dxa"/>
            <w:tcBorders>
              <w:top w:val="single" w:sz="6" w:space="0" w:color="auto"/>
              <w:left w:val="single" w:sz="6" w:space="0" w:color="auto"/>
              <w:bottom w:val="single" w:sz="6" w:space="0" w:color="auto"/>
              <w:right w:val="single" w:sz="6" w:space="0" w:color="auto"/>
            </w:tcBorders>
          </w:tcPr>
          <w:p w14:paraId="4924974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31D63587" w14:textId="77777777" w:rsidTr="00245044">
        <w:trPr>
          <w:trHeight w:val="296"/>
        </w:trPr>
        <w:tc>
          <w:tcPr>
            <w:tcW w:w="1756" w:type="dxa"/>
            <w:vMerge/>
            <w:tcBorders>
              <w:left w:val="single" w:sz="6" w:space="0" w:color="auto"/>
              <w:right w:val="single" w:sz="6" w:space="0" w:color="auto"/>
            </w:tcBorders>
          </w:tcPr>
          <w:p w14:paraId="357DB52E"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329C6F24"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IB</w:t>
            </w:r>
          </w:p>
        </w:tc>
        <w:tc>
          <w:tcPr>
            <w:tcW w:w="3418" w:type="dxa"/>
            <w:tcBorders>
              <w:top w:val="single" w:sz="6" w:space="0" w:color="auto"/>
              <w:left w:val="single" w:sz="6" w:space="0" w:color="auto"/>
              <w:bottom w:val="single" w:sz="6" w:space="0" w:color="auto"/>
              <w:right w:val="single" w:sz="6" w:space="0" w:color="auto"/>
            </w:tcBorders>
          </w:tcPr>
          <w:p w14:paraId="3660923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A3EC232" w14:textId="77777777" w:rsidTr="00245044">
        <w:trPr>
          <w:trHeight w:val="296"/>
        </w:trPr>
        <w:tc>
          <w:tcPr>
            <w:tcW w:w="1756" w:type="dxa"/>
            <w:vMerge/>
            <w:tcBorders>
              <w:left w:val="single" w:sz="6" w:space="0" w:color="auto"/>
              <w:right w:val="single" w:sz="6" w:space="0" w:color="auto"/>
            </w:tcBorders>
          </w:tcPr>
          <w:p w14:paraId="01D044F4"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2DF1EE0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M</w:t>
            </w:r>
          </w:p>
        </w:tc>
        <w:tc>
          <w:tcPr>
            <w:tcW w:w="3418" w:type="dxa"/>
            <w:tcBorders>
              <w:top w:val="single" w:sz="6" w:space="0" w:color="auto"/>
              <w:left w:val="single" w:sz="6" w:space="0" w:color="auto"/>
              <w:bottom w:val="single" w:sz="6" w:space="0" w:color="auto"/>
              <w:right w:val="single" w:sz="6" w:space="0" w:color="auto"/>
            </w:tcBorders>
          </w:tcPr>
          <w:p w14:paraId="35445A0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C96747A" w14:textId="77777777" w:rsidTr="00245044">
        <w:trPr>
          <w:trHeight w:val="296"/>
        </w:trPr>
        <w:tc>
          <w:tcPr>
            <w:tcW w:w="1756" w:type="dxa"/>
            <w:vMerge/>
            <w:tcBorders>
              <w:left w:val="single" w:sz="6" w:space="0" w:color="auto"/>
              <w:right w:val="single" w:sz="6" w:space="0" w:color="auto"/>
            </w:tcBorders>
          </w:tcPr>
          <w:p w14:paraId="74ACB11B"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20135AD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IIA</w:t>
            </w:r>
          </w:p>
        </w:tc>
        <w:tc>
          <w:tcPr>
            <w:tcW w:w="3418" w:type="dxa"/>
            <w:tcBorders>
              <w:top w:val="single" w:sz="6" w:space="0" w:color="auto"/>
              <w:left w:val="single" w:sz="6" w:space="0" w:color="auto"/>
              <w:bottom w:val="single" w:sz="6" w:space="0" w:color="auto"/>
              <w:right w:val="single" w:sz="6" w:space="0" w:color="auto"/>
            </w:tcBorders>
          </w:tcPr>
          <w:p w14:paraId="218F96B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7AF07026" w14:textId="77777777" w:rsidTr="00245044">
        <w:trPr>
          <w:trHeight w:val="296"/>
        </w:trPr>
        <w:tc>
          <w:tcPr>
            <w:tcW w:w="1756" w:type="dxa"/>
            <w:vMerge/>
            <w:tcBorders>
              <w:left w:val="single" w:sz="6" w:space="0" w:color="auto"/>
              <w:bottom w:val="single" w:sz="6" w:space="0" w:color="auto"/>
              <w:right w:val="single" w:sz="6" w:space="0" w:color="auto"/>
            </w:tcBorders>
          </w:tcPr>
          <w:p w14:paraId="52FF3F6A"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2530B035"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Protokoll IIB</w:t>
            </w:r>
          </w:p>
        </w:tc>
        <w:tc>
          <w:tcPr>
            <w:tcW w:w="3418" w:type="dxa"/>
            <w:tcBorders>
              <w:top w:val="single" w:sz="6" w:space="0" w:color="auto"/>
              <w:left w:val="single" w:sz="6" w:space="0" w:color="auto"/>
              <w:bottom w:val="single" w:sz="6" w:space="0" w:color="auto"/>
              <w:right w:val="single" w:sz="6" w:space="0" w:color="auto"/>
            </w:tcBorders>
          </w:tcPr>
          <w:p w14:paraId="57E4ADE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FCE1474"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750B5DF5"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HR/T-ALL</w:t>
            </w:r>
          </w:p>
        </w:tc>
        <w:tc>
          <w:tcPr>
            <w:tcW w:w="4324" w:type="dxa"/>
            <w:tcBorders>
              <w:top w:val="single" w:sz="6" w:space="0" w:color="auto"/>
              <w:left w:val="single" w:sz="6" w:space="0" w:color="auto"/>
              <w:bottom w:val="single" w:sz="6" w:space="0" w:color="auto"/>
              <w:right w:val="single" w:sz="6" w:space="0" w:color="auto"/>
            </w:tcBorders>
          </w:tcPr>
          <w:p w14:paraId="50207F75"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IA-CPM for T-ALL /PPR</w:t>
            </w:r>
          </w:p>
        </w:tc>
        <w:tc>
          <w:tcPr>
            <w:tcW w:w="3418" w:type="dxa"/>
            <w:tcBorders>
              <w:top w:val="single" w:sz="6" w:space="0" w:color="auto"/>
              <w:left w:val="single" w:sz="6" w:space="0" w:color="auto"/>
              <w:bottom w:val="single" w:sz="6" w:space="0" w:color="auto"/>
              <w:right w:val="single" w:sz="6" w:space="0" w:color="auto"/>
            </w:tcBorders>
          </w:tcPr>
          <w:p w14:paraId="09C6844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384A5EDC"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3FF36C80"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7896337A"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IB</w:t>
            </w:r>
          </w:p>
        </w:tc>
        <w:tc>
          <w:tcPr>
            <w:tcW w:w="3418" w:type="dxa"/>
            <w:tcBorders>
              <w:top w:val="single" w:sz="6" w:space="0" w:color="auto"/>
              <w:left w:val="single" w:sz="6" w:space="0" w:color="auto"/>
              <w:bottom w:val="single" w:sz="6" w:space="0" w:color="auto"/>
              <w:right w:val="single" w:sz="6" w:space="0" w:color="auto"/>
            </w:tcBorders>
          </w:tcPr>
          <w:p w14:paraId="3541CC6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389D595C"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1825EB8D"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01CA3A99"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HR-1´</w:t>
            </w:r>
          </w:p>
        </w:tc>
        <w:tc>
          <w:tcPr>
            <w:tcW w:w="3418" w:type="dxa"/>
            <w:tcBorders>
              <w:top w:val="single" w:sz="6" w:space="0" w:color="auto"/>
              <w:left w:val="single" w:sz="6" w:space="0" w:color="auto"/>
              <w:bottom w:val="single" w:sz="6" w:space="0" w:color="auto"/>
              <w:right w:val="single" w:sz="6" w:space="0" w:color="auto"/>
            </w:tcBorders>
          </w:tcPr>
          <w:p w14:paraId="46369FC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528BC142"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0779FFC2"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E556714"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HR-2´</w:t>
            </w:r>
          </w:p>
        </w:tc>
        <w:tc>
          <w:tcPr>
            <w:tcW w:w="3418" w:type="dxa"/>
            <w:tcBorders>
              <w:top w:val="single" w:sz="6" w:space="0" w:color="auto"/>
              <w:left w:val="single" w:sz="6" w:space="0" w:color="auto"/>
              <w:bottom w:val="single" w:sz="6" w:space="0" w:color="auto"/>
              <w:right w:val="single" w:sz="6" w:space="0" w:color="auto"/>
            </w:tcBorders>
          </w:tcPr>
          <w:p w14:paraId="5D604D8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4FCE9B95"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5681F32B"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525A8B9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HR-3´</w:t>
            </w:r>
          </w:p>
        </w:tc>
        <w:tc>
          <w:tcPr>
            <w:tcW w:w="3418" w:type="dxa"/>
            <w:tcBorders>
              <w:top w:val="single" w:sz="6" w:space="0" w:color="auto"/>
              <w:left w:val="single" w:sz="6" w:space="0" w:color="auto"/>
              <w:bottom w:val="single" w:sz="6" w:space="0" w:color="auto"/>
              <w:right w:val="single" w:sz="6" w:space="0" w:color="auto"/>
            </w:tcBorders>
          </w:tcPr>
          <w:p w14:paraId="76A9166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34D077C3"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44337553"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0528D4F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IIIA</w:t>
            </w:r>
          </w:p>
        </w:tc>
        <w:tc>
          <w:tcPr>
            <w:tcW w:w="3418" w:type="dxa"/>
            <w:tcBorders>
              <w:top w:val="single" w:sz="6" w:space="0" w:color="auto"/>
              <w:left w:val="single" w:sz="6" w:space="0" w:color="auto"/>
              <w:bottom w:val="single" w:sz="6" w:space="0" w:color="auto"/>
              <w:right w:val="single" w:sz="6" w:space="0" w:color="auto"/>
            </w:tcBorders>
          </w:tcPr>
          <w:p w14:paraId="0A7E92C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Je 3 Zyklen</w:t>
            </w:r>
          </w:p>
        </w:tc>
      </w:tr>
      <w:tr w:rsidR="00D9135B" w:rsidRPr="00C21AC1" w14:paraId="217B0F98"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3C8F4D88"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09E1E24"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IIIB</w:t>
            </w:r>
          </w:p>
        </w:tc>
        <w:tc>
          <w:tcPr>
            <w:tcW w:w="3418" w:type="dxa"/>
            <w:tcBorders>
              <w:top w:val="single" w:sz="6" w:space="0" w:color="auto"/>
              <w:left w:val="single" w:sz="6" w:space="0" w:color="auto"/>
              <w:bottom w:val="single" w:sz="6" w:space="0" w:color="auto"/>
              <w:right w:val="single" w:sz="6" w:space="0" w:color="auto"/>
            </w:tcBorders>
          </w:tcPr>
          <w:p w14:paraId="2CF72CB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Je 3 Zyklen</w:t>
            </w:r>
          </w:p>
        </w:tc>
      </w:tr>
      <w:tr w:rsidR="00D9135B" w:rsidRPr="00C21AC1" w14:paraId="298AE4D6"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09120D05"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148A214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Interim - Maintenance</w:t>
            </w:r>
          </w:p>
        </w:tc>
        <w:tc>
          <w:tcPr>
            <w:tcW w:w="3418" w:type="dxa"/>
            <w:tcBorders>
              <w:top w:val="single" w:sz="6" w:space="0" w:color="auto"/>
              <w:left w:val="single" w:sz="6" w:space="0" w:color="auto"/>
              <w:bottom w:val="single" w:sz="6" w:space="0" w:color="auto"/>
              <w:right w:val="single" w:sz="6" w:space="0" w:color="auto"/>
            </w:tcBorders>
          </w:tcPr>
          <w:p w14:paraId="122B7DE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Zwischen 1. Und 2. Zyklus von IIIB</w:t>
            </w:r>
          </w:p>
        </w:tc>
      </w:tr>
      <w:tr w:rsidR="00D9135B" w:rsidRPr="00C21AC1" w14:paraId="0B5AF4DE"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5079A342"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HR/pB-ALL</w:t>
            </w:r>
          </w:p>
        </w:tc>
        <w:tc>
          <w:tcPr>
            <w:tcW w:w="4324" w:type="dxa"/>
            <w:tcBorders>
              <w:top w:val="single" w:sz="6" w:space="0" w:color="auto"/>
              <w:left w:val="single" w:sz="6" w:space="0" w:color="auto"/>
              <w:bottom w:val="single" w:sz="6" w:space="0" w:color="auto"/>
              <w:right w:val="single" w:sz="6" w:space="0" w:color="auto"/>
            </w:tcBorders>
          </w:tcPr>
          <w:p w14:paraId="6578F9A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IA for pB-ALL</w:t>
            </w:r>
          </w:p>
        </w:tc>
        <w:tc>
          <w:tcPr>
            <w:tcW w:w="3418" w:type="dxa"/>
            <w:tcBorders>
              <w:top w:val="single" w:sz="6" w:space="0" w:color="auto"/>
              <w:left w:val="single" w:sz="6" w:space="0" w:color="auto"/>
              <w:bottom w:val="single" w:sz="6" w:space="0" w:color="auto"/>
              <w:right w:val="single" w:sz="6" w:space="0" w:color="auto"/>
            </w:tcBorders>
          </w:tcPr>
          <w:p w14:paraId="6D0F9F3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5EFF2B2D"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3B70A903"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C10B30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IB</w:t>
            </w:r>
          </w:p>
        </w:tc>
        <w:tc>
          <w:tcPr>
            <w:tcW w:w="3418" w:type="dxa"/>
            <w:tcBorders>
              <w:top w:val="single" w:sz="6" w:space="0" w:color="auto"/>
              <w:left w:val="single" w:sz="6" w:space="0" w:color="auto"/>
              <w:bottom w:val="single" w:sz="6" w:space="0" w:color="auto"/>
              <w:right w:val="single" w:sz="6" w:space="0" w:color="auto"/>
            </w:tcBorders>
          </w:tcPr>
          <w:p w14:paraId="57B1E73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1F86C20C"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7E283828"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7FF5C6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HR-1´</w:t>
            </w:r>
          </w:p>
        </w:tc>
        <w:tc>
          <w:tcPr>
            <w:tcW w:w="3418" w:type="dxa"/>
            <w:tcBorders>
              <w:top w:val="single" w:sz="6" w:space="0" w:color="auto"/>
              <w:left w:val="single" w:sz="6" w:space="0" w:color="auto"/>
              <w:bottom w:val="single" w:sz="6" w:space="0" w:color="auto"/>
              <w:right w:val="single" w:sz="6" w:space="0" w:color="auto"/>
            </w:tcBorders>
          </w:tcPr>
          <w:p w14:paraId="4A89B237"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7C768F3F"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0FCF0694"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143C026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HR-2´</w:t>
            </w:r>
          </w:p>
        </w:tc>
        <w:tc>
          <w:tcPr>
            <w:tcW w:w="3418" w:type="dxa"/>
            <w:tcBorders>
              <w:top w:val="single" w:sz="6" w:space="0" w:color="auto"/>
              <w:left w:val="single" w:sz="6" w:space="0" w:color="auto"/>
              <w:bottom w:val="single" w:sz="6" w:space="0" w:color="auto"/>
              <w:right w:val="single" w:sz="6" w:space="0" w:color="auto"/>
            </w:tcBorders>
          </w:tcPr>
          <w:p w14:paraId="5D36054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7CB5D4A5"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6B626523"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38CED64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Block HR-3´</w:t>
            </w:r>
          </w:p>
        </w:tc>
        <w:tc>
          <w:tcPr>
            <w:tcW w:w="3418" w:type="dxa"/>
            <w:tcBorders>
              <w:top w:val="single" w:sz="6" w:space="0" w:color="auto"/>
              <w:left w:val="single" w:sz="6" w:space="0" w:color="auto"/>
              <w:bottom w:val="single" w:sz="6" w:space="0" w:color="auto"/>
              <w:right w:val="single" w:sz="6" w:space="0" w:color="auto"/>
            </w:tcBorders>
          </w:tcPr>
          <w:p w14:paraId="71FFC858"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r>
      <w:tr w:rsidR="00D9135B" w:rsidRPr="00C21AC1" w14:paraId="0D025E2C"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66ABC7BC"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71A52A2"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IIIA</w:t>
            </w:r>
          </w:p>
        </w:tc>
        <w:tc>
          <w:tcPr>
            <w:tcW w:w="3418" w:type="dxa"/>
            <w:tcBorders>
              <w:top w:val="single" w:sz="6" w:space="0" w:color="auto"/>
              <w:left w:val="single" w:sz="6" w:space="0" w:color="auto"/>
              <w:bottom w:val="single" w:sz="6" w:space="0" w:color="auto"/>
              <w:right w:val="single" w:sz="6" w:space="0" w:color="auto"/>
            </w:tcBorders>
          </w:tcPr>
          <w:p w14:paraId="77E0FAC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Je 3 Zyklen</w:t>
            </w:r>
          </w:p>
        </w:tc>
      </w:tr>
      <w:tr w:rsidR="00D9135B" w:rsidRPr="00C21AC1" w14:paraId="4B6BB7F4"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2EE36D6A"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65E95485"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Protocol IIIB</w:t>
            </w:r>
          </w:p>
        </w:tc>
        <w:tc>
          <w:tcPr>
            <w:tcW w:w="3418" w:type="dxa"/>
            <w:tcBorders>
              <w:top w:val="single" w:sz="6" w:space="0" w:color="auto"/>
              <w:left w:val="single" w:sz="6" w:space="0" w:color="auto"/>
              <w:bottom w:val="single" w:sz="6" w:space="0" w:color="auto"/>
              <w:right w:val="single" w:sz="6" w:space="0" w:color="auto"/>
            </w:tcBorders>
          </w:tcPr>
          <w:p w14:paraId="435C6A6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Je 3 Zyklen</w:t>
            </w:r>
          </w:p>
        </w:tc>
      </w:tr>
      <w:tr w:rsidR="00D9135B" w:rsidRPr="00C21AC1" w14:paraId="2E4D6C3D" w14:textId="77777777" w:rsidTr="00245044">
        <w:trPr>
          <w:trHeight w:val="296"/>
        </w:trPr>
        <w:tc>
          <w:tcPr>
            <w:tcW w:w="1756" w:type="dxa"/>
            <w:tcBorders>
              <w:top w:val="single" w:sz="6" w:space="0" w:color="auto"/>
              <w:left w:val="single" w:sz="6" w:space="0" w:color="auto"/>
              <w:bottom w:val="single" w:sz="6" w:space="0" w:color="auto"/>
              <w:right w:val="single" w:sz="6" w:space="0" w:color="auto"/>
            </w:tcBorders>
          </w:tcPr>
          <w:p w14:paraId="7E7CFC1B"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p>
        </w:tc>
        <w:tc>
          <w:tcPr>
            <w:tcW w:w="4324" w:type="dxa"/>
            <w:tcBorders>
              <w:top w:val="single" w:sz="6" w:space="0" w:color="auto"/>
              <w:left w:val="single" w:sz="6" w:space="0" w:color="auto"/>
              <w:bottom w:val="single" w:sz="6" w:space="0" w:color="auto"/>
              <w:right w:val="single" w:sz="6" w:space="0" w:color="auto"/>
            </w:tcBorders>
          </w:tcPr>
          <w:p w14:paraId="1BE08A4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AIEOP-BFM ALL 2009 Interim - Maintenance</w:t>
            </w:r>
          </w:p>
        </w:tc>
        <w:tc>
          <w:tcPr>
            <w:tcW w:w="3418" w:type="dxa"/>
            <w:tcBorders>
              <w:top w:val="single" w:sz="6" w:space="0" w:color="auto"/>
              <w:left w:val="single" w:sz="6" w:space="0" w:color="auto"/>
              <w:bottom w:val="single" w:sz="6" w:space="0" w:color="auto"/>
              <w:right w:val="single" w:sz="6" w:space="0" w:color="auto"/>
            </w:tcBorders>
          </w:tcPr>
          <w:p w14:paraId="1026746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Zwischen 1. Und 2. Zyklus von IIIB</w:t>
            </w:r>
          </w:p>
        </w:tc>
      </w:tr>
    </w:tbl>
    <w:p w14:paraId="6B3E368D" w14:textId="77777777" w:rsidR="00D9135B" w:rsidRPr="00C21AC1" w:rsidRDefault="00D9135B" w:rsidP="00D9135B">
      <w:pPr>
        <w:spacing w:line="240" w:lineRule="auto"/>
        <w:jc w:val="left"/>
        <w:rPr>
          <w:rFonts w:asciiTheme="minorHAnsi" w:hAnsiTheme="minorHAnsi" w:cstheme="minorHAnsi"/>
          <w:b/>
          <w:color w:val="FF0000"/>
          <w:sz w:val="24"/>
          <w:szCs w:val="22"/>
          <w:lang w:val="de-DE"/>
        </w:rPr>
      </w:pPr>
    </w:p>
    <w:p w14:paraId="4CBFA99F"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Therapieprotokolle für alle bcr-abl positive ALL/LBL ab dem 18.Lebensjahr und Patienten ab dem 26. Lebensjahr unabhängig vom bcr-abl Mutationsstatus</w:t>
      </w:r>
    </w:p>
    <w:p w14:paraId="6FDB0FE7" w14:textId="77777777" w:rsidR="00D9135B" w:rsidRPr="00C21AC1" w:rsidRDefault="00D9135B" w:rsidP="00D9135B">
      <w:pPr>
        <w:spacing w:line="240" w:lineRule="auto"/>
        <w:jc w:val="left"/>
        <w:rPr>
          <w:rFonts w:asciiTheme="minorHAnsi" w:hAnsiTheme="minorHAnsi" w:cstheme="minorHAnsi"/>
          <w:sz w:val="18"/>
          <w:szCs w:val="22"/>
          <w:lang w:val="de-DE"/>
        </w:rPr>
      </w:pPr>
    </w:p>
    <w:p w14:paraId="41FDF446"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Vorphase für alle Therapieprotokolle</w:t>
      </w:r>
    </w:p>
    <w:tbl>
      <w:tblPr>
        <w:tblW w:w="9426" w:type="dxa"/>
        <w:tblLayout w:type="fixed"/>
        <w:tblCellMar>
          <w:left w:w="70" w:type="dxa"/>
          <w:right w:w="70" w:type="dxa"/>
        </w:tblCellMar>
        <w:tblLook w:val="04A0" w:firstRow="1" w:lastRow="0" w:firstColumn="1" w:lastColumn="0" w:noHBand="0" w:noVBand="1"/>
      </w:tblPr>
      <w:tblGrid>
        <w:gridCol w:w="686"/>
        <w:gridCol w:w="798"/>
        <w:gridCol w:w="4395"/>
        <w:gridCol w:w="3547"/>
      </w:tblGrid>
      <w:tr w:rsidR="00D9135B" w:rsidRPr="00C21AC1" w14:paraId="37ADA277" w14:textId="77777777" w:rsidTr="00245044">
        <w:trPr>
          <w:trHeight w:val="155"/>
        </w:trPr>
        <w:tc>
          <w:tcPr>
            <w:tcW w:w="686" w:type="dxa"/>
            <w:tcBorders>
              <w:top w:val="nil"/>
              <w:left w:val="nil"/>
              <w:bottom w:val="nil"/>
              <w:right w:val="nil"/>
            </w:tcBorders>
            <w:shd w:val="clear" w:color="000000" w:fill="D9D9D9"/>
          </w:tcPr>
          <w:p w14:paraId="4690F5E0"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bcr-abl </w:t>
            </w:r>
          </w:p>
        </w:tc>
        <w:tc>
          <w:tcPr>
            <w:tcW w:w="798" w:type="dxa"/>
            <w:tcBorders>
              <w:top w:val="nil"/>
              <w:left w:val="nil"/>
              <w:bottom w:val="nil"/>
              <w:right w:val="nil"/>
            </w:tcBorders>
            <w:shd w:val="clear" w:color="000000" w:fill="D9D9D9"/>
          </w:tcPr>
          <w:p w14:paraId="4235610D"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4395" w:type="dxa"/>
            <w:tcBorders>
              <w:top w:val="nil"/>
              <w:left w:val="nil"/>
              <w:bottom w:val="nil"/>
              <w:right w:val="nil"/>
            </w:tcBorders>
            <w:shd w:val="clear" w:color="000000" w:fill="D9D9D9"/>
          </w:tcPr>
          <w:p w14:paraId="14D8FEED"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c>
          <w:tcPr>
            <w:tcW w:w="3547" w:type="dxa"/>
            <w:tcBorders>
              <w:top w:val="nil"/>
              <w:left w:val="nil"/>
              <w:bottom w:val="nil"/>
              <w:right w:val="nil"/>
            </w:tcBorders>
            <w:shd w:val="clear" w:color="000000" w:fill="D9D9D9"/>
          </w:tcPr>
          <w:p w14:paraId="63B87D59"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p>
        </w:tc>
      </w:tr>
      <w:tr w:rsidR="00D9135B" w:rsidRPr="00C21AC1" w14:paraId="3EFF7B37" w14:textId="77777777" w:rsidTr="00245044">
        <w:trPr>
          <w:trHeight w:val="290"/>
        </w:trPr>
        <w:tc>
          <w:tcPr>
            <w:tcW w:w="686" w:type="dxa"/>
            <w:tcBorders>
              <w:top w:val="nil"/>
              <w:left w:val="nil"/>
              <w:bottom w:val="single" w:sz="4" w:space="0" w:color="auto"/>
              <w:right w:val="nil"/>
            </w:tcBorders>
            <w:shd w:val="clear" w:color="auto" w:fill="auto"/>
          </w:tcPr>
          <w:p w14:paraId="1B3E6E9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798" w:type="dxa"/>
            <w:tcBorders>
              <w:top w:val="nil"/>
              <w:left w:val="nil"/>
              <w:bottom w:val="single" w:sz="4" w:space="0" w:color="auto"/>
              <w:right w:val="nil"/>
            </w:tcBorders>
            <w:shd w:val="clear" w:color="auto" w:fill="auto"/>
          </w:tcPr>
          <w:p w14:paraId="452696D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4395" w:type="dxa"/>
            <w:tcBorders>
              <w:top w:val="nil"/>
              <w:left w:val="nil"/>
              <w:bottom w:val="single" w:sz="4" w:space="0" w:color="auto"/>
              <w:right w:val="nil"/>
            </w:tcBorders>
            <w:shd w:val="clear" w:color="auto" w:fill="auto"/>
          </w:tcPr>
          <w:p w14:paraId="7476729A"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 </w:t>
            </w:r>
          </w:p>
        </w:tc>
        <w:tc>
          <w:tcPr>
            <w:tcW w:w="3547" w:type="dxa"/>
            <w:tcBorders>
              <w:top w:val="nil"/>
              <w:left w:val="nil"/>
              <w:bottom w:val="single" w:sz="4" w:space="0" w:color="auto"/>
              <w:right w:val="nil"/>
            </w:tcBorders>
          </w:tcPr>
          <w:p w14:paraId="7F17615F"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Vorphase</w:t>
            </w:r>
          </w:p>
        </w:tc>
      </w:tr>
    </w:tbl>
    <w:p w14:paraId="6A26B0A3" w14:textId="3F174036" w:rsidR="00D9135B" w:rsidRDefault="00D9135B" w:rsidP="00D9135B">
      <w:pPr>
        <w:spacing w:line="240" w:lineRule="auto"/>
        <w:jc w:val="left"/>
        <w:rPr>
          <w:rFonts w:asciiTheme="minorHAnsi" w:hAnsiTheme="minorHAnsi" w:cstheme="minorHAnsi"/>
          <w:sz w:val="18"/>
          <w:szCs w:val="22"/>
          <w:lang w:val="de-DE"/>
        </w:rPr>
      </w:pPr>
    </w:p>
    <w:p w14:paraId="7A073F9D" w14:textId="2B1CDC45" w:rsidR="005341C2" w:rsidRDefault="005341C2" w:rsidP="00D9135B">
      <w:pPr>
        <w:spacing w:line="240" w:lineRule="auto"/>
        <w:jc w:val="left"/>
        <w:rPr>
          <w:rFonts w:asciiTheme="minorHAnsi" w:hAnsiTheme="minorHAnsi" w:cstheme="minorHAnsi"/>
          <w:sz w:val="18"/>
          <w:szCs w:val="22"/>
          <w:lang w:val="de-DE"/>
        </w:rPr>
      </w:pPr>
    </w:p>
    <w:p w14:paraId="0D3B1C4F" w14:textId="52AD622C" w:rsidR="005341C2" w:rsidRDefault="005341C2" w:rsidP="00D9135B">
      <w:pPr>
        <w:spacing w:line="240" w:lineRule="auto"/>
        <w:jc w:val="left"/>
        <w:rPr>
          <w:rFonts w:asciiTheme="minorHAnsi" w:hAnsiTheme="minorHAnsi" w:cstheme="minorHAnsi"/>
          <w:sz w:val="18"/>
          <w:szCs w:val="22"/>
          <w:lang w:val="de-DE"/>
        </w:rPr>
      </w:pPr>
    </w:p>
    <w:p w14:paraId="609C1BEE" w14:textId="77777777" w:rsidR="005341C2" w:rsidRPr="00C21AC1" w:rsidRDefault="005341C2" w:rsidP="00D9135B">
      <w:pPr>
        <w:spacing w:line="240" w:lineRule="auto"/>
        <w:jc w:val="left"/>
        <w:rPr>
          <w:rFonts w:asciiTheme="minorHAnsi" w:hAnsiTheme="minorHAnsi" w:cstheme="minorHAnsi"/>
          <w:sz w:val="18"/>
          <w:szCs w:val="22"/>
          <w:lang w:val="de-DE"/>
        </w:rPr>
      </w:pPr>
    </w:p>
    <w:p w14:paraId="69535E3D" w14:textId="77777777" w:rsidR="00D9135B" w:rsidRPr="00C21AC1" w:rsidRDefault="00D9135B" w:rsidP="00D9135B">
      <w:pPr>
        <w:spacing w:line="240" w:lineRule="auto"/>
        <w:jc w:val="left"/>
        <w:rPr>
          <w:rFonts w:asciiTheme="minorHAnsi" w:hAnsiTheme="minorHAnsi" w:cstheme="minorHAnsi"/>
          <w:b/>
          <w:sz w:val="18"/>
          <w:szCs w:val="22"/>
          <w:lang w:val="de-DE"/>
        </w:rPr>
      </w:pPr>
    </w:p>
    <w:tbl>
      <w:tblPr>
        <w:tblW w:w="9426" w:type="dxa"/>
        <w:tblLayout w:type="fixed"/>
        <w:tblCellMar>
          <w:left w:w="70" w:type="dxa"/>
          <w:right w:w="70" w:type="dxa"/>
        </w:tblCellMar>
        <w:tblLook w:val="04A0" w:firstRow="1" w:lastRow="0" w:firstColumn="1" w:lastColumn="0" w:noHBand="0" w:noVBand="1"/>
      </w:tblPr>
      <w:tblGrid>
        <w:gridCol w:w="709"/>
        <w:gridCol w:w="779"/>
        <w:gridCol w:w="4394"/>
        <w:gridCol w:w="3544"/>
      </w:tblGrid>
      <w:tr w:rsidR="00D9135B" w:rsidRPr="00C21AC1" w14:paraId="5BC2E11C" w14:textId="77777777" w:rsidTr="00245044">
        <w:trPr>
          <w:trHeight w:val="290"/>
        </w:trPr>
        <w:tc>
          <w:tcPr>
            <w:tcW w:w="709" w:type="dxa"/>
            <w:tcBorders>
              <w:top w:val="nil"/>
              <w:left w:val="nil"/>
              <w:bottom w:val="single" w:sz="6" w:space="0" w:color="auto"/>
              <w:right w:val="nil"/>
            </w:tcBorders>
            <w:shd w:val="clear" w:color="000000" w:fill="D9D9D9"/>
          </w:tcPr>
          <w:p w14:paraId="3E53421F"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lastRenderedPageBreak/>
              <w:t xml:space="preserve">bcr-abl </w:t>
            </w:r>
          </w:p>
        </w:tc>
        <w:tc>
          <w:tcPr>
            <w:tcW w:w="779" w:type="dxa"/>
            <w:tcBorders>
              <w:top w:val="nil"/>
              <w:left w:val="nil"/>
              <w:bottom w:val="single" w:sz="6" w:space="0" w:color="auto"/>
              <w:right w:val="nil"/>
            </w:tcBorders>
            <w:shd w:val="clear" w:color="000000" w:fill="D9D9D9"/>
          </w:tcPr>
          <w:p w14:paraId="1B1C71AF"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7938" w:type="dxa"/>
            <w:gridSpan w:val="2"/>
            <w:tcBorders>
              <w:top w:val="nil"/>
              <w:left w:val="nil"/>
              <w:bottom w:val="single" w:sz="6" w:space="0" w:color="auto"/>
              <w:right w:val="nil"/>
            </w:tcBorders>
            <w:shd w:val="clear" w:color="000000" w:fill="D9D9D9"/>
          </w:tcPr>
          <w:p w14:paraId="2D4218EC"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r>
      <w:tr w:rsidR="00D9135B" w:rsidRPr="00C21AC1" w14:paraId="468DB32D"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5E42E508"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79" w:type="dxa"/>
            <w:tcBorders>
              <w:top w:val="single" w:sz="6" w:space="0" w:color="auto"/>
              <w:left w:val="single" w:sz="6" w:space="0" w:color="auto"/>
              <w:bottom w:val="single" w:sz="6" w:space="0" w:color="auto"/>
              <w:right w:val="single" w:sz="6" w:space="0" w:color="auto"/>
            </w:tcBorders>
          </w:tcPr>
          <w:p w14:paraId="47595965"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49C74A5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bcr-abl neg, CD20neg - </w:t>
            </w:r>
          </w:p>
        </w:tc>
        <w:tc>
          <w:tcPr>
            <w:tcW w:w="3544" w:type="dxa"/>
            <w:tcBorders>
              <w:top w:val="single" w:sz="6" w:space="0" w:color="auto"/>
              <w:left w:val="single" w:sz="6" w:space="0" w:color="auto"/>
              <w:bottom w:val="single" w:sz="6" w:space="0" w:color="auto"/>
              <w:right w:val="single" w:sz="6" w:space="0" w:color="auto"/>
            </w:tcBorders>
          </w:tcPr>
          <w:p w14:paraId="7D7BAC7D"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1</w:t>
            </w:r>
          </w:p>
          <w:p w14:paraId="0C954328"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2</w:t>
            </w:r>
          </w:p>
          <w:p w14:paraId="553DFFDD"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w:t>
            </w:r>
          </w:p>
        </w:tc>
      </w:tr>
      <w:tr w:rsidR="00D9135B" w:rsidRPr="00C21AC1" w14:paraId="25177B38"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451FA2C9"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79" w:type="dxa"/>
            <w:tcBorders>
              <w:top w:val="single" w:sz="6" w:space="0" w:color="auto"/>
              <w:left w:val="single" w:sz="6" w:space="0" w:color="auto"/>
              <w:bottom w:val="single" w:sz="6" w:space="0" w:color="auto"/>
              <w:right w:val="single" w:sz="6" w:space="0" w:color="auto"/>
            </w:tcBorders>
          </w:tcPr>
          <w:p w14:paraId="69B4BFE6"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5632D45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bcr-abl neg, CD20pos - </w:t>
            </w:r>
          </w:p>
        </w:tc>
        <w:tc>
          <w:tcPr>
            <w:tcW w:w="3544" w:type="dxa"/>
            <w:tcBorders>
              <w:top w:val="single" w:sz="6" w:space="0" w:color="auto"/>
              <w:left w:val="single" w:sz="6" w:space="0" w:color="auto"/>
              <w:bottom w:val="single" w:sz="6" w:space="0" w:color="auto"/>
              <w:right w:val="single" w:sz="6" w:space="0" w:color="auto"/>
            </w:tcBorders>
          </w:tcPr>
          <w:p w14:paraId="7707E144"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1</w:t>
            </w:r>
          </w:p>
          <w:p w14:paraId="0459F69A"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2</w:t>
            </w:r>
          </w:p>
          <w:p w14:paraId="0A562008"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w:t>
            </w:r>
          </w:p>
        </w:tc>
      </w:tr>
      <w:tr w:rsidR="00D9135B" w:rsidRPr="00C21AC1" w14:paraId="2E24F0CE"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10DEE28C"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79" w:type="dxa"/>
            <w:tcBorders>
              <w:top w:val="single" w:sz="6" w:space="0" w:color="auto"/>
              <w:left w:val="single" w:sz="6" w:space="0" w:color="auto"/>
              <w:bottom w:val="single" w:sz="6" w:space="0" w:color="auto"/>
              <w:right w:val="single" w:sz="6" w:space="0" w:color="auto"/>
            </w:tcBorders>
          </w:tcPr>
          <w:p w14:paraId="51A5C81C"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5FFABD4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bcr-abl pos, CD20neg - </w:t>
            </w:r>
          </w:p>
        </w:tc>
        <w:tc>
          <w:tcPr>
            <w:tcW w:w="3544" w:type="dxa"/>
            <w:tcBorders>
              <w:top w:val="single" w:sz="6" w:space="0" w:color="auto"/>
              <w:left w:val="single" w:sz="6" w:space="0" w:color="auto"/>
              <w:bottom w:val="single" w:sz="6" w:space="0" w:color="auto"/>
              <w:right w:val="single" w:sz="6" w:space="0" w:color="auto"/>
            </w:tcBorders>
          </w:tcPr>
          <w:p w14:paraId="313D18BA"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p w14:paraId="0FEA64AD"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w:t>
            </w:r>
          </w:p>
        </w:tc>
      </w:tr>
      <w:tr w:rsidR="00D9135B" w:rsidRPr="00C21AC1" w14:paraId="31B4858A"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5A36CBE7"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779" w:type="dxa"/>
            <w:tcBorders>
              <w:top w:val="single" w:sz="6" w:space="0" w:color="auto"/>
              <w:left w:val="single" w:sz="6" w:space="0" w:color="auto"/>
              <w:bottom w:val="single" w:sz="6" w:space="0" w:color="auto"/>
              <w:right w:val="single" w:sz="6" w:space="0" w:color="auto"/>
            </w:tcBorders>
          </w:tcPr>
          <w:p w14:paraId="0339382F"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452D1FB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bcr-abl pos, CD20pos - </w:t>
            </w:r>
          </w:p>
        </w:tc>
        <w:tc>
          <w:tcPr>
            <w:tcW w:w="3544" w:type="dxa"/>
            <w:tcBorders>
              <w:top w:val="single" w:sz="6" w:space="0" w:color="auto"/>
              <w:left w:val="single" w:sz="6" w:space="0" w:color="auto"/>
              <w:bottom w:val="single" w:sz="6" w:space="0" w:color="auto"/>
              <w:right w:val="single" w:sz="6" w:space="0" w:color="auto"/>
            </w:tcBorders>
          </w:tcPr>
          <w:p w14:paraId="6F25A11E"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p w14:paraId="11A2E83F"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w:t>
            </w:r>
          </w:p>
        </w:tc>
      </w:tr>
      <w:tr w:rsidR="00D9135B" w:rsidRPr="00C21AC1" w14:paraId="774C4627" w14:textId="77777777" w:rsidTr="00245044">
        <w:trPr>
          <w:trHeight w:val="290"/>
        </w:trPr>
        <w:tc>
          <w:tcPr>
            <w:tcW w:w="9426" w:type="dxa"/>
            <w:gridSpan w:val="4"/>
            <w:tcBorders>
              <w:top w:val="single" w:sz="6" w:space="0" w:color="auto"/>
              <w:left w:val="single" w:sz="6" w:space="0" w:color="auto"/>
              <w:bottom w:val="single" w:sz="6" w:space="0" w:color="auto"/>
              <w:right w:val="single" w:sz="6" w:space="0" w:color="auto"/>
            </w:tcBorders>
          </w:tcPr>
          <w:p w14:paraId="7573D200"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Falls keine allogene / autologe SZT vorgesehen ist, sind die Therapien ab Reiinduktion für bcr-abl positive Patienten bis auf die Gabe von Imatinib ident zu der Therapie von Patienten, die bcr-abl negativ sind. Daher erfolgt die Auftrennung nur nach der CD20-Expression.</w:t>
            </w:r>
          </w:p>
        </w:tc>
      </w:tr>
      <w:tr w:rsidR="00D9135B" w:rsidRPr="00C21AC1" w14:paraId="0A44D8E3"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442C459F"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alle</w:t>
            </w:r>
          </w:p>
        </w:tc>
        <w:tc>
          <w:tcPr>
            <w:tcW w:w="779" w:type="dxa"/>
            <w:tcBorders>
              <w:top w:val="single" w:sz="6" w:space="0" w:color="auto"/>
              <w:left w:val="single" w:sz="6" w:space="0" w:color="auto"/>
              <w:bottom w:val="single" w:sz="6" w:space="0" w:color="auto"/>
              <w:right w:val="single" w:sz="6" w:space="0" w:color="auto"/>
            </w:tcBorders>
          </w:tcPr>
          <w:p w14:paraId="7177BD8D"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19AFAD6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CD20neg - </w:t>
            </w:r>
          </w:p>
        </w:tc>
        <w:tc>
          <w:tcPr>
            <w:tcW w:w="3544" w:type="dxa"/>
            <w:tcBorders>
              <w:top w:val="single" w:sz="6" w:space="0" w:color="auto"/>
              <w:left w:val="single" w:sz="6" w:space="0" w:color="auto"/>
              <w:bottom w:val="single" w:sz="6" w:space="0" w:color="auto"/>
              <w:right w:val="single" w:sz="6" w:space="0" w:color="auto"/>
            </w:tcBorders>
          </w:tcPr>
          <w:p w14:paraId="039D1B53"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w:t>
            </w:r>
          </w:p>
          <w:p w14:paraId="3D2DE1C5"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2,4,6</w:t>
            </w:r>
          </w:p>
          <w:p w14:paraId="243B1943"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3,5</w:t>
            </w:r>
          </w:p>
        </w:tc>
      </w:tr>
      <w:tr w:rsidR="00D9135B" w:rsidRPr="00C21AC1" w14:paraId="1365FE87" w14:textId="77777777" w:rsidTr="00245044">
        <w:trPr>
          <w:trHeight w:val="290"/>
        </w:trPr>
        <w:tc>
          <w:tcPr>
            <w:tcW w:w="709" w:type="dxa"/>
            <w:tcBorders>
              <w:top w:val="single" w:sz="6" w:space="0" w:color="auto"/>
              <w:left w:val="single" w:sz="6" w:space="0" w:color="auto"/>
              <w:bottom w:val="single" w:sz="6" w:space="0" w:color="auto"/>
              <w:right w:val="single" w:sz="6" w:space="0" w:color="auto"/>
            </w:tcBorders>
          </w:tcPr>
          <w:p w14:paraId="0E414320"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alle</w:t>
            </w:r>
          </w:p>
        </w:tc>
        <w:tc>
          <w:tcPr>
            <w:tcW w:w="779" w:type="dxa"/>
            <w:tcBorders>
              <w:top w:val="single" w:sz="6" w:space="0" w:color="auto"/>
              <w:left w:val="single" w:sz="6" w:space="0" w:color="auto"/>
              <w:bottom w:val="single" w:sz="6" w:space="0" w:color="auto"/>
              <w:right w:val="single" w:sz="6" w:space="0" w:color="auto"/>
            </w:tcBorders>
          </w:tcPr>
          <w:p w14:paraId="78B8E11D"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4394" w:type="dxa"/>
            <w:tcBorders>
              <w:top w:val="single" w:sz="6" w:space="0" w:color="auto"/>
              <w:left w:val="single" w:sz="6" w:space="0" w:color="auto"/>
              <w:bottom w:val="single" w:sz="6" w:space="0" w:color="auto"/>
              <w:right w:val="single" w:sz="6" w:space="0" w:color="auto"/>
            </w:tcBorders>
          </w:tcPr>
          <w:p w14:paraId="67A1021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18-55a, CD20pos - </w:t>
            </w:r>
          </w:p>
        </w:tc>
        <w:tc>
          <w:tcPr>
            <w:tcW w:w="3544" w:type="dxa"/>
            <w:tcBorders>
              <w:top w:val="single" w:sz="6" w:space="0" w:color="auto"/>
              <w:left w:val="single" w:sz="6" w:space="0" w:color="auto"/>
              <w:bottom w:val="single" w:sz="6" w:space="0" w:color="auto"/>
              <w:right w:val="single" w:sz="6" w:space="0" w:color="auto"/>
            </w:tcBorders>
          </w:tcPr>
          <w:p w14:paraId="26DAA74B"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w:t>
            </w:r>
          </w:p>
          <w:p w14:paraId="2D50A7C9"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2,4,6</w:t>
            </w:r>
          </w:p>
          <w:p w14:paraId="0A41A510"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3,5</w:t>
            </w:r>
          </w:p>
        </w:tc>
      </w:tr>
    </w:tbl>
    <w:p w14:paraId="4AE23EDC" w14:textId="77777777" w:rsidR="00D9135B" w:rsidRPr="00C21AC1" w:rsidRDefault="00D9135B" w:rsidP="00D9135B">
      <w:pPr>
        <w:spacing w:line="240" w:lineRule="auto"/>
        <w:jc w:val="left"/>
        <w:rPr>
          <w:rFonts w:asciiTheme="minorHAnsi" w:hAnsiTheme="minorHAnsi" w:cstheme="minorHAnsi"/>
          <w:b/>
          <w:sz w:val="18"/>
          <w:szCs w:val="22"/>
          <w:lang w:val="de-DE"/>
        </w:rPr>
      </w:pPr>
    </w:p>
    <w:p w14:paraId="64925224"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Therapieprotokolle für alle Vorläufer-ALL/Lymphome für ältere Patienten (56-75 Jahre)</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8"/>
        <w:gridCol w:w="780"/>
        <w:gridCol w:w="4396"/>
        <w:gridCol w:w="3542"/>
      </w:tblGrid>
      <w:tr w:rsidR="00D9135B" w:rsidRPr="00C21AC1" w14:paraId="4DDE5139" w14:textId="77777777" w:rsidTr="00245044">
        <w:trPr>
          <w:trHeight w:val="290"/>
        </w:trPr>
        <w:tc>
          <w:tcPr>
            <w:tcW w:w="708" w:type="dxa"/>
            <w:shd w:val="clear" w:color="000000" w:fill="D9D9D9"/>
          </w:tcPr>
          <w:p w14:paraId="5C660F36"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bcr-abl </w:t>
            </w:r>
          </w:p>
        </w:tc>
        <w:tc>
          <w:tcPr>
            <w:tcW w:w="780" w:type="dxa"/>
            <w:shd w:val="clear" w:color="000000" w:fill="D9D9D9"/>
          </w:tcPr>
          <w:p w14:paraId="5262662E"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7938" w:type="dxa"/>
            <w:gridSpan w:val="2"/>
            <w:shd w:val="clear" w:color="000000" w:fill="D9D9D9"/>
          </w:tcPr>
          <w:p w14:paraId="23F6CB34"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r>
      <w:tr w:rsidR="00D9135B" w:rsidRPr="00C21AC1" w14:paraId="0AB44F5C" w14:textId="77777777" w:rsidTr="00245044">
        <w:trPr>
          <w:trHeight w:val="290"/>
        </w:trPr>
        <w:tc>
          <w:tcPr>
            <w:tcW w:w="708" w:type="dxa"/>
          </w:tcPr>
          <w:p w14:paraId="64DECE8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2A6BEB4"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61EEE42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bcr-abl neg, CD20neg - </w:t>
            </w:r>
          </w:p>
        </w:tc>
        <w:tc>
          <w:tcPr>
            <w:tcW w:w="3542" w:type="dxa"/>
          </w:tcPr>
          <w:p w14:paraId="24B42B3A"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1</w:t>
            </w:r>
          </w:p>
          <w:p w14:paraId="2EEB0F3C"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2</w:t>
            </w:r>
          </w:p>
        </w:tc>
      </w:tr>
      <w:tr w:rsidR="00D9135B" w:rsidRPr="00C21AC1" w14:paraId="28DD0BF9" w14:textId="77777777" w:rsidTr="00245044">
        <w:trPr>
          <w:trHeight w:val="290"/>
        </w:trPr>
        <w:tc>
          <w:tcPr>
            <w:tcW w:w="708" w:type="dxa"/>
          </w:tcPr>
          <w:p w14:paraId="425538BD"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A6E8CF7"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5E22C58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bcr-abl neg, CD20pos - </w:t>
            </w:r>
          </w:p>
        </w:tc>
        <w:tc>
          <w:tcPr>
            <w:tcW w:w="3542" w:type="dxa"/>
          </w:tcPr>
          <w:p w14:paraId="7701D304"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1</w:t>
            </w:r>
          </w:p>
          <w:p w14:paraId="1C093904"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 2</w:t>
            </w:r>
          </w:p>
        </w:tc>
      </w:tr>
      <w:tr w:rsidR="00D9135B" w:rsidRPr="00C21AC1" w14:paraId="22AC8BCE" w14:textId="77777777" w:rsidTr="00245044">
        <w:trPr>
          <w:trHeight w:val="290"/>
        </w:trPr>
        <w:tc>
          <w:tcPr>
            <w:tcW w:w="708" w:type="dxa"/>
          </w:tcPr>
          <w:p w14:paraId="432107CE"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65353417"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451C306B"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bcr-abl pos, CD20neg - </w:t>
            </w:r>
          </w:p>
        </w:tc>
        <w:tc>
          <w:tcPr>
            <w:tcW w:w="3542" w:type="dxa"/>
          </w:tcPr>
          <w:p w14:paraId="657A5F72"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tc>
      </w:tr>
      <w:tr w:rsidR="00D9135B" w:rsidRPr="00C21AC1" w14:paraId="344E9647" w14:textId="77777777" w:rsidTr="00245044">
        <w:trPr>
          <w:trHeight w:val="290"/>
        </w:trPr>
        <w:tc>
          <w:tcPr>
            <w:tcW w:w="708" w:type="dxa"/>
          </w:tcPr>
          <w:p w14:paraId="507C2D2F" w14:textId="77777777" w:rsidR="00D9135B" w:rsidRPr="00C21AC1" w:rsidRDefault="00D9135B" w:rsidP="00245044">
            <w:pPr>
              <w:pStyle w:val="Textkrper-Einzug2"/>
              <w:spacing w:after="0" w:line="276" w:lineRule="auto"/>
              <w:ind w:left="-27" w:hanging="27"/>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780" w:type="dxa"/>
          </w:tcPr>
          <w:p w14:paraId="46DE4BA0" w14:textId="77777777" w:rsidR="00D9135B" w:rsidRPr="00C21AC1" w:rsidRDefault="00D9135B" w:rsidP="00245044">
            <w:pPr>
              <w:pStyle w:val="Textkrper-Einzug2"/>
              <w:spacing w:after="0" w:line="276" w:lineRule="auto"/>
              <w:ind w:left="-27" w:hanging="27"/>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4396" w:type="dxa"/>
          </w:tcPr>
          <w:p w14:paraId="59081403"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bcr-abl pos, CD20pos - </w:t>
            </w:r>
          </w:p>
        </w:tc>
        <w:tc>
          <w:tcPr>
            <w:tcW w:w="3542" w:type="dxa"/>
          </w:tcPr>
          <w:p w14:paraId="25F49D98"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tc>
      </w:tr>
      <w:tr w:rsidR="00D9135B" w:rsidRPr="00C21AC1" w14:paraId="6EB8F283" w14:textId="77777777" w:rsidTr="00245044">
        <w:trPr>
          <w:trHeight w:val="290"/>
        </w:trPr>
        <w:tc>
          <w:tcPr>
            <w:tcW w:w="9426" w:type="dxa"/>
            <w:gridSpan w:val="4"/>
          </w:tcPr>
          <w:p w14:paraId="45E7F543"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Falls keine allogene oder autologe SZT vorgesehen ist, sind die Therapien ab Reiinduktion für bcr-abl positive Patienten bis auf die Gabe von Imatinib ident zu der Therapie von Patienten, die bcr-abl negativ sind. Daher erfolgt die Auftrennung nur nach der CD20-Expression.</w:t>
            </w:r>
          </w:p>
        </w:tc>
      </w:tr>
      <w:tr w:rsidR="00D9135B" w:rsidRPr="00C21AC1" w14:paraId="23BA6892" w14:textId="77777777" w:rsidTr="00245044">
        <w:trPr>
          <w:trHeight w:val="290"/>
        </w:trPr>
        <w:tc>
          <w:tcPr>
            <w:tcW w:w="708" w:type="dxa"/>
          </w:tcPr>
          <w:p w14:paraId="483C905D"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alle</w:t>
            </w:r>
          </w:p>
        </w:tc>
        <w:tc>
          <w:tcPr>
            <w:tcW w:w="780" w:type="dxa"/>
          </w:tcPr>
          <w:p w14:paraId="567B1487" w14:textId="77777777" w:rsidR="00D9135B" w:rsidRPr="00C21AC1" w:rsidRDefault="00D9135B" w:rsidP="00245044">
            <w:pPr>
              <w:pStyle w:val="Textkrper-Einzug2"/>
              <w:spacing w:after="0" w:line="276" w:lineRule="auto"/>
              <w:ind w:left="142"/>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4ACF6997"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CD20neg - </w:t>
            </w:r>
          </w:p>
        </w:tc>
        <w:tc>
          <w:tcPr>
            <w:tcW w:w="3542" w:type="dxa"/>
          </w:tcPr>
          <w:p w14:paraId="1212AAF0"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w:t>
            </w:r>
          </w:p>
          <w:p w14:paraId="71346DEF"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1,3,5</w:t>
            </w:r>
          </w:p>
          <w:p w14:paraId="036A653C"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2,4</w:t>
            </w:r>
          </w:p>
        </w:tc>
      </w:tr>
      <w:tr w:rsidR="00D9135B" w:rsidRPr="00C21AC1" w14:paraId="4A27ECDB" w14:textId="77777777" w:rsidTr="00245044">
        <w:trPr>
          <w:trHeight w:val="290"/>
        </w:trPr>
        <w:tc>
          <w:tcPr>
            <w:tcW w:w="708" w:type="dxa"/>
          </w:tcPr>
          <w:p w14:paraId="414A5E3D"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alle</w:t>
            </w:r>
          </w:p>
        </w:tc>
        <w:tc>
          <w:tcPr>
            <w:tcW w:w="780" w:type="dxa"/>
          </w:tcPr>
          <w:p w14:paraId="5D0E22A6"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w:t>
            </w:r>
          </w:p>
        </w:tc>
        <w:tc>
          <w:tcPr>
            <w:tcW w:w="4396" w:type="dxa"/>
          </w:tcPr>
          <w:p w14:paraId="02542801"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56-75a, CD20pos - </w:t>
            </w:r>
          </w:p>
        </w:tc>
        <w:tc>
          <w:tcPr>
            <w:tcW w:w="3542" w:type="dxa"/>
          </w:tcPr>
          <w:p w14:paraId="718F5ED7"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w:t>
            </w:r>
          </w:p>
          <w:p w14:paraId="24364BF4"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1,3,5</w:t>
            </w:r>
          </w:p>
          <w:p w14:paraId="520CA522"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Konsolidierung 2,4</w:t>
            </w:r>
          </w:p>
        </w:tc>
      </w:tr>
    </w:tbl>
    <w:p w14:paraId="78B66FC9" w14:textId="77777777" w:rsidR="00D9135B" w:rsidRPr="00C21AC1" w:rsidRDefault="00D9135B" w:rsidP="00D9135B">
      <w:pPr>
        <w:pStyle w:val="Textkrper-Einzug2"/>
        <w:spacing w:after="0" w:line="276" w:lineRule="auto"/>
        <w:ind w:left="0"/>
        <w:jc w:val="left"/>
        <w:rPr>
          <w:rFonts w:asciiTheme="minorHAnsi" w:hAnsiTheme="minorHAnsi" w:cstheme="minorHAnsi"/>
          <w:lang w:val="de-DE"/>
        </w:rPr>
      </w:pPr>
    </w:p>
    <w:p w14:paraId="09EB773F"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Therapieprotokolle für alle Vorläufer-ALL/Lymphome für gebrechliche Patienten (frail)</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8"/>
        <w:gridCol w:w="780"/>
        <w:gridCol w:w="4396"/>
        <w:gridCol w:w="3542"/>
      </w:tblGrid>
      <w:tr w:rsidR="00D9135B" w:rsidRPr="00C21AC1" w14:paraId="72D27C5C" w14:textId="77777777" w:rsidTr="00245044">
        <w:trPr>
          <w:trHeight w:val="290"/>
        </w:trPr>
        <w:tc>
          <w:tcPr>
            <w:tcW w:w="708" w:type="dxa"/>
            <w:shd w:val="clear" w:color="000000" w:fill="D9D9D9"/>
          </w:tcPr>
          <w:p w14:paraId="294A5DDE"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bcr-abl </w:t>
            </w:r>
          </w:p>
        </w:tc>
        <w:tc>
          <w:tcPr>
            <w:tcW w:w="780" w:type="dxa"/>
            <w:shd w:val="clear" w:color="000000" w:fill="D9D9D9"/>
          </w:tcPr>
          <w:p w14:paraId="24FFC70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7938" w:type="dxa"/>
            <w:gridSpan w:val="2"/>
            <w:shd w:val="clear" w:color="000000" w:fill="D9D9D9"/>
          </w:tcPr>
          <w:p w14:paraId="0383D016"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r>
      <w:tr w:rsidR="00D9135B" w:rsidRPr="00C21AC1" w14:paraId="2CAC51E7" w14:textId="77777777" w:rsidTr="00245044">
        <w:trPr>
          <w:trHeight w:val="290"/>
        </w:trPr>
        <w:tc>
          <w:tcPr>
            <w:tcW w:w="708" w:type="dxa"/>
          </w:tcPr>
          <w:p w14:paraId="0FF9C13F"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7B77500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2B46C51C"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CD20neg - </w:t>
            </w:r>
          </w:p>
        </w:tc>
        <w:tc>
          <w:tcPr>
            <w:tcW w:w="3542" w:type="dxa"/>
          </w:tcPr>
          <w:p w14:paraId="55049A9D"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tc>
      </w:tr>
      <w:tr w:rsidR="00D9135B" w:rsidRPr="00C21AC1" w14:paraId="4CCFC8BF" w14:textId="77777777" w:rsidTr="00245044">
        <w:trPr>
          <w:trHeight w:val="290"/>
        </w:trPr>
        <w:tc>
          <w:tcPr>
            <w:tcW w:w="708" w:type="dxa"/>
          </w:tcPr>
          <w:p w14:paraId="69CECEB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3DDD9E2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7A09C75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CD20pos - </w:t>
            </w:r>
          </w:p>
        </w:tc>
        <w:tc>
          <w:tcPr>
            <w:tcW w:w="3542" w:type="dxa"/>
          </w:tcPr>
          <w:p w14:paraId="643127C6"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Induktion</w:t>
            </w:r>
          </w:p>
        </w:tc>
      </w:tr>
      <w:tr w:rsidR="00D9135B" w:rsidRPr="00C21AC1" w14:paraId="2A2CE972" w14:textId="77777777" w:rsidTr="00245044">
        <w:trPr>
          <w:trHeight w:val="290"/>
        </w:trPr>
        <w:tc>
          <w:tcPr>
            <w:tcW w:w="708" w:type="dxa"/>
          </w:tcPr>
          <w:p w14:paraId="5A551DD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0E67259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2618D85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CD20neg - </w:t>
            </w:r>
          </w:p>
        </w:tc>
        <w:tc>
          <w:tcPr>
            <w:tcW w:w="3542" w:type="dxa"/>
          </w:tcPr>
          <w:p w14:paraId="2230189C"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 (Vincristin)</w:t>
            </w:r>
          </w:p>
        </w:tc>
      </w:tr>
      <w:tr w:rsidR="00D9135B" w:rsidRPr="00C21AC1" w14:paraId="4AC51811" w14:textId="77777777" w:rsidTr="00245044">
        <w:trPr>
          <w:trHeight w:val="290"/>
        </w:trPr>
        <w:tc>
          <w:tcPr>
            <w:tcW w:w="708" w:type="dxa"/>
          </w:tcPr>
          <w:p w14:paraId="18048CE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019E9FF7"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3D6B67A0"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CD20pos - </w:t>
            </w:r>
          </w:p>
        </w:tc>
        <w:tc>
          <w:tcPr>
            <w:tcW w:w="3542" w:type="dxa"/>
          </w:tcPr>
          <w:p w14:paraId="5C733500"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Reinduktion (Vincristin)</w:t>
            </w:r>
          </w:p>
        </w:tc>
      </w:tr>
      <w:tr w:rsidR="00D9135B" w:rsidRPr="00C21AC1" w14:paraId="33E60683" w14:textId="77777777" w:rsidTr="00245044">
        <w:trPr>
          <w:trHeight w:val="290"/>
        </w:trPr>
        <w:tc>
          <w:tcPr>
            <w:tcW w:w="708" w:type="dxa"/>
          </w:tcPr>
          <w:p w14:paraId="0639209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8A30CB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022C224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CD20neg - </w:t>
            </w:r>
          </w:p>
        </w:tc>
        <w:tc>
          <w:tcPr>
            <w:tcW w:w="3542" w:type="dxa"/>
          </w:tcPr>
          <w:p w14:paraId="722C9892"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Erhaltung (Vincristin)</w:t>
            </w:r>
          </w:p>
        </w:tc>
      </w:tr>
      <w:tr w:rsidR="00D9135B" w:rsidRPr="00C21AC1" w14:paraId="0913CB14" w14:textId="77777777" w:rsidTr="00245044">
        <w:trPr>
          <w:trHeight w:val="290"/>
        </w:trPr>
        <w:tc>
          <w:tcPr>
            <w:tcW w:w="708" w:type="dxa"/>
          </w:tcPr>
          <w:p w14:paraId="1A94A888"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412342F"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5968D38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CD20pos - </w:t>
            </w:r>
          </w:p>
        </w:tc>
        <w:tc>
          <w:tcPr>
            <w:tcW w:w="3542" w:type="dxa"/>
          </w:tcPr>
          <w:p w14:paraId="2588B851"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Erhaltung (Vincristin)</w:t>
            </w:r>
          </w:p>
        </w:tc>
      </w:tr>
      <w:tr w:rsidR="00D9135B" w:rsidRPr="00C21AC1" w14:paraId="173AC9AF" w14:textId="77777777" w:rsidTr="00245044">
        <w:trPr>
          <w:trHeight w:val="290"/>
        </w:trPr>
        <w:tc>
          <w:tcPr>
            <w:tcW w:w="708" w:type="dxa"/>
          </w:tcPr>
          <w:p w14:paraId="576274F6"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772DF222"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38AEEA5A"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CD20neg - </w:t>
            </w:r>
          </w:p>
        </w:tc>
        <w:tc>
          <w:tcPr>
            <w:tcW w:w="3542" w:type="dxa"/>
          </w:tcPr>
          <w:p w14:paraId="29615D08"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Erhaltung (Cyclophosphamid)</w:t>
            </w:r>
          </w:p>
        </w:tc>
      </w:tr>
      <w:tr w:rsidR="00D9135B" w:rsidRPr="00C21AC1" w14:paraId="524E06E4" w14:textId="77777777" w:rsidTr="00245044">
        <w:trPr>
          <w:trHeight w:val="290"/>
        </w:trPr>
        <w:tc>
          <w:tcPr>
            <w:tcW w:w="708" w:type="dxa"/>
          </w:tcPr>
          <w:p w14:paraId="455806E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D0CCA7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4EBF2FAF"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2008 frail, bcr-abl neg, CD20pos - </w:t>
            </w:r>
          </w:p>
        </w:tc>
        <w:tc>
          <w:tcPr>
            <w:tcW w:w="3542" w:type="dxa"/>
          </w:tcPr>
          <w:p w14:paraId="1795363A"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Erhaltung (Cyclophosphamid)</w:t>
            </w:r>
          </w:p>
        </w:tc>
      </w:tr>
    </w:tbl>
    <w:p w14:paraId="166B3F08" w14:textId="77777777" w:rsidR="00D9135B" w:rsidRPr="00C21AC1" w:rsidRDefault="00D9135B" w:rsidP="00D9135B">
      <w:pPr>
        <w:spacing w:line="240" w:lineRule="auto"/>
        <w:jc w:val="left"/>
        <w:rPr>
          <w:rFonts w:asciiTheme="minorHAnsi" w:hAnsiTheme="minorHAnsi" w:cstheme="minorHAnsi"/>
          <w:b/>
          <w:sz w:val="18"/>
          <w:szCs w:val="22"/>
          <w:lang w:val="de-DE"/>
        </w:rPr>
      </w:pPr>
    </w:p>
    <w:p w14:paraId="2B5DE675" w14:textId="77777777" w:rsidR="00D9135B" w:rsidRPr="00C21AC1" w:rsidRDefault="00D9135B" w:rsidP="00D9135B">
      <w:pPr>
        <w:jc w:val="left"/>
        <w:rPr>
          <w:rFonts w:asciiTheme="minorHAnsi" w:hAnsiTheme="minorHAnsi" w:cstheme="minorHAnsi"/>
          <w:lang w:val="de-DE"/>
        </w:rPr>
      </w:pPr>
      <w:r w:rsidRPr="00C21AC1">
        <w:rPr>
          <w:rFonts w:asciiTheme="minorHAnsi" w:hAnsiTheme="minorHAnsi" w:cstheme="minorHAnsi"/>
          <w:lang w:val="de-DE"/>
        </w:rPr>
        <w:br w:type="page"/>
      </w:r>
    </w:p>
    <w:p w14:paraId="4C5ED418"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lastRenderedPageBreak/>
        <w:t>Therapieprotokolle für Rezidiv einer B-Vorläufer-ALL/Lymphome</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8"/>
        <w:gridCol w:w="780"/>
        <w:gridCol w:w="4458"/>
        <w:gridCol w:w="3480"/>
      </w:tblGrid>
      <w:tr w:rsidR="00D9135B" w:rsidRPr="00C21AC1" w14:paraId="5EF88EBE" w14:textId="77777777" w:rsidTr="00245044">
        <w:trPr>
          <w:trHeight w:val="290"/>
        </w:trPr>
        <w:tc>
          <w:tcPr>
            <w:tcW w:w="708" w:type="dxa"/>
            <w:shd w:val="clear" w:color="000000" w:fill="D9D9D9"/>
          </w:tcPr>
          <w:p w14:paraId="6CFB8265"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bcr-abl </w:t>
            </w:r>
          </w:p>
        </w:tc>
        <w:tc>
          <w:tcPr>
            <w:tcW w:w="780" w:type="dxa"/>
            <w:shd w:val="clear" w:color="000000" w:fill="D9D9D9"/>
          </w:tcPr>
          <w:p w14:paraId="07C6493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4458" w:type="dxa"/>
            <w:shd w:val="clear" w:color="000000" w:fill="D9D9D9"/>
          </w:tcPr>
          <w:p w14:paraId="5CF290E0"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c>
          <w:tcPr>
            <w:tcW w:w="3480" w:type="dxa"/>
            <w:shd w:val="clear" w:color="000000" w:fill="D9D9D9"/>
          </w:tcPr>
          <w:p w14:paraId="60ACC46E"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Indikation</w:t>
            </w:r>
          </w:p>
        </w:tc>
      </w:tr>
      <w:tr w:rsidR="00D9135B" w:rsidRPr="00C21AC1" w14:paraId="5DC99F37" w14:textId="77777777" w:rsidTr="00245044">
        <w:trPr>
          <w:trHeight w:val="290"/>
        </w:trPr>
        <w:tc>
          <w:tcPr>
            <w:tcW w:w="708" w:type="dxa"/>
          </w:tcPr>
          <w:p w14:paraId="0089069D"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23CF649E"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458" w:type="dxa"/>
          </w:tcPr>
          <w:p w14:paraId="6653C1FC" w14:textId="77777777" w:rsidR="00D9135B" w:rsidRPr="00C21AC1" w:rsidRDefault="00D9135B" w:rsidP="00245044">
            <w:pPr>
              <w:pStyle w:val="Textkrper-Einzug2"/>
              <w:numPr>
                <w:ilvl w:val="0"/>
                <w:numId w:val="46"/>
              </w:numPr>
              <w:spacing w:after="0" w:line="276" w:lineRule="auto"/>
              <w:ind w:left="129" w:hanging="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FLAG-Ida </w:t>
            </w:r>
            <w:r w:rsidRPr="00C21AC1">
              <w:rPr>
                <w:rFonts w:asciiTheme="minorHAnsi" w:hAnsiTheme="minorHAnsi" w:cstheme="minorHAnsi"/>
                <w:b/>
                <w:sz w:val="18"/>
                <w:szCs w:val="22"/>
                <w:lang w:val="de-DE"/>
              </w:rPr>
              <w:t>(&lt;55 Jahre):</w:t>
            </w:r>
            <w:r w:rsidRPr="00C21AC1">
              <w:rPr>
                <w:rFonts w:asciiTheme="minorHAnsi" w:hAnsiTheme="minorHAnsi" w:cstheme="minorHAnsi"/>
                <w:sz w:val="18"/>
                <w:szCs w:val="22"/>
                <w:lang w:val="de-DE"/>
              </w:rPr>
              <w:t xml:space="preserve"> Cytarabin (2000) d1-5, Fludarabin (30) d1-5, Idarubicin (10) d1,3</w:t>
            </w:r>
          </w:p>
          <w:p w14:paraId="3645DBEB" w14:textId="77777777" w:rsidR="00D9135B" w:rsidRPr="00C21AC1" w:rsidRDefault="00D9135B" w:rsidP="00245044">
            <w:pPr>
              <w:pStyle w:val="Textkrper-Einzug2"/>
              <w:numPr>
                <w:ilvl w:val="0"/>
                <w:numId w:val="46"/>
              </w:numPr>
              <w:spacing w:after="0" w:line="276" w:lineRule="auto"/>
              <w:ind w:left="129" w:hanging="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FLAG-Ida </w:t>
            </w:r>
            <w:r w:rsidRPr="00C21AC1">
              <w:rPr>
                <w:rFonts w:asciiTheme="minorHAnsi" w:hAnsiTheme="minorHAnsi" w:cstheme="minorHAnsi"/>
                <w:b/>
                <w:sz w:val="18"/>
                <w:szCs w:val="22"/>
                <w:lang w:val="de-DE"/>
              </w:rPr>
              <w:t>(&gt;55 Jahre</w:t>
            </w:r>
            <w:r w:rsidRPr="00C21AC1">
              <w:rPr>
                <w:rFonts w:asciiTheme="minorHAnsi" w:hAnsiTheme="minorHAnsi" w:cstheme="minorHAnsi"/>
                <w:sz w:val="18"/>
                <w:szCs w:val="22"/>
                <w:lang w:val="de-DE"/>
              </w:rPr>
              <w:t>): Cytarabin (1000) d1-5, Fludarabin (20) d1-5, Idarubicin (5) d1,3</w:t>
            </w:r>
          </w:p>
        </w:tc>
        <w:tc>
          <w:tcPr>
            <w:tcW w:w="3480" w:type="dxa"/>
          </w:tcPr>
          <w:p w14:paraId="31128FC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ALL-Rezidiv, bcr-abl neg, CD20neg –</w:t>
            </w:r>
          </w:p>
          <w:p w14:paraId="3023859D" w14:textId="77777777" w:rsidR="00D9135B" w:rsidRPr="00C21AC1" w:rsidRDefault="00D9135B" w:rsidP="00245044">
            <w:pPr>
              <w:pStyle w:val="Textkrper-Einzug2"/>
              <w:spacing w:after="0" w:line="276" w:lineRule="auto"/>
              <w:ind w:left="142"/>
              <w:jc w:val="left"/>
              <w:rPr>
                <w:rFonts w:asciiTheme="minorHAnsi" w:hAnsiTheme="minorHAnsi" w:cstheme="minorHAnsi"/>
                <w:color w:val="A6A6A6" w:themeColor="background1" w:themeShade="A6"/>
                <w:sz w:val="16"/>
                <w:szCs w:val="22"/>
                <w:lang w:val="de-DE"/>
              </w:rPr>
            </w:pPr>
          </w:p>
        </w:tc>
      </w:tr>
      <w:tr w:rsidR="00D9135B" w:rsidRPr="00C21AC1" w14:paraId="1720B2EE" w14:textId="77777777" w:rsidTr="00245044">
        <w:trPr>
          <w:trHeight w:val="290"/>
        </w:trPr>
        <w:tc>
          <w:tcPr>
            <w:tcW w:w="708" w:type="dxa"/>
          </w:tcPr>
          <w:p w14:paraId="1AEDF040"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352696F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458" w:type="dxa"/>
          </w:tcPr>
          <w:p w14:paraId="247AB27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FLAG-Ida; an Tag -1 </w:t>
            </w:r>
            <w:r w:rsidRPr="00C21AC1">
              <w:rPr>
                <w:rFonts w:asciiTheme="minorHAnsi" w:hAnsiTheme="minorHAnsi" w:cstheme="minorHAnsi"/>
                <w:b/>
                <w:sz w:val="18"/>
                <w:szCs w:val="22"/>
                <w:lang w:val="de-DE"/>
              </w:rPr>
              <w:t>zusätzlich</w:t>
            </w:r>
            <w:r w:rsidRPr="00C21AC1">
              <w:rPr>
                <w:rFonts w:asciiTheme="minorHAnsi" w:hAnsiTheme="minorHAnsi" w:cstheme="minorHAnsi"/>
                <w:sz w:val="18"/>
                <w:szCs w:val="22"/>
                <w:lang w:val="de-DE"/>
              </w:rPr>
              <w:t xml:space="preserve"> Protokoll NHL: Rituximab (375)</w:t>
            </w:r>
          </w:p>
          <w:p w14:paraId="121E2BB2"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p>
        </w:tc>
        <w:tc>
          <w:tcPr>
            <w:tcW w:w="3480" w:type="dxa"/>
          </w:tcPr>
          <w:p w14:paraId="2A7F0DAD"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ALL-Rezidiv, bcr-abl neg, CD20neg +</w:t>
            </w:r>
          </w:p>
          <w:p w14:paraId="673C80A9"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p>
        </w:tc>
      </w:tr>
      <w:tr w:rsidR="00D9135B" w:rsidRPr="00C21AC1" w14:paraId="3EF84271" w14:textId="77777777" w:rsidTr="00245044">
        <w:trPr>
          <w:trHeight w:val="290"/>
        </w:trPr>
        <w:tc>
          <w:tcPr>
            <w:tcW w:w="708" w:type="dxa"/>
          </w:tcPr>
          <w:p w14:paraId="5C7D1EA3"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470D4CA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p>
        </w:tc>
        <w:tc>
          <w:tcPr>
            <w:tcW w:w="4458" w:type="dxa"/>
          </w:tcPr>
          <w:p w14:paraId="64434D2E"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Inotuzumab Ozogamicin (0,8) d1, (0,5) d8,15</w:t>
            </w:r>
          </w:p>
        </w:tc>
        <w:tc>
          <w:tcPr>
            <w:tcW w:w="3480" w:type="dxa"/>
          </w:tcPr>
          <w:p w14:paraId="04F4D0BB" w14:textId="77777777" w:rsidR="00D9135B" w:rsidRPr="00C21AC1" w:rsidRDefault="00D9135B" w:rsidP="00245044">
            <w:pPr>
              <w:pStyle w:val="Textkrper-Einzug2"/>
              <w:spacing w:after="0" w:line="276" w:lineRule="auto"/>
              <w:ind w:left="0"/>
              <w:jc w:val="left"/>
              <w:rPr>
                <w:rFonts w:asciiTheme="minorHAnsi" w:hAnsiTheme="minorHAnsi" w:cstheme="minorHAnsi"/>
                <w:sz w:val="16"/>
                <w:szCs w:val="22"/>
                <w:lang w:val="de-DE"/>
              </w:rPr>
            </w:pPr>
            <w:r w:rsidRPr="00C21AC1">
              <w:rPr>
                <w:rFonts w:asciiTheme="minorHAnsi" w:hAnsiTheme="minorHAnsi" w:cstheme="minorHAnsi"/>
                <w:sz w:val="18"/>
                <w:szCs w:val="22"/>
                <w:lang w:val="de-DE"/>
              </w:rPr>
              <w:t xml:space="preserve">ALL-Rezidiv, bcr-abl neg, </w:t>
            </w:r>
            <w:r w:rsidRPr="00C21AC1">
              <w:rPr>
                <w:rFonts w:asciiTheme="minorHAnsi" w:hAnsiTheme="minorHAnsi" w:cstheme="minorHAnsi"/>
                <w:color w:val="FF0000"/>
                <w:sz w:val="18"/>
                <w:szCs w:val="22"/>
                <w:lang w:val="de-DE"/>
              </w:rPr>
              <w:t>CD22pos -</w:t>
            </w:r>
          </w:p>
        </w:tc>
      </w:tr>
      <w:tr w:rsidR="00D9135B" w:rsidRPr="00C21AC1" w14:paraId="26BAB523" w14:textId="77777777" w:rsidTr="00245044">
        <w:trPr>
          <w:trHeight w:val="290"/>
        </w:trPr>
        <w:tc>
          <w:tcPr>
            <w:tcW w:w="708" w:type="dxa"/>
          </w:tcPr>
          <w:p w14:paraId="5519BED8"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7BB3D7C"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p>
        </w:tc>
        <w:tc>
          <w:tcPr>
            <w:tcW w:w="4458" w:type="dxa"/>
          </w:tcPr>
          <w:p w14:paraId="45328FCB" w14:textId="77777777" w:rsidR="00D9135B" w:rsidRPr="00C21AC1" w:rsidRDefault="00D9135B" w:rsidP="00245044">
            <w:pPr>
              <w:pStyle w:val="Textkrper-Einzug2"/>
              <w:numPr>
                <w:ilvl w:val="0"/>
                <w:numId w:val="46"/>
              </w:numPr>
              <w:spacing w:after="0" w:line="276" w:lineRule="auto"/>
              <w:ind w:left="129" w:hanging="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Blinatumomab Zyklus 1: 9µg/d Wo 1, 28µg/d Wo 2-4 (Beginn Mo, Do, Fr)</w:t>
            </w:r>
          </w:p>
          <w:p w14:paraId="3FC33F1B" w14:textId="77777777" w:rsidR="00D9135B" w:rsidRPr="00C21AC1" w:rsidRDefault="00D9135B" w:rsidP="00245044">
            <w:pPr>
              <w:pStyle w:val="Textkrper-Einzug2"/>
              <w:numPr>
                <w:ilvl w:val="0"/>
                <w:numId w:val="46"/>
              </w:numPr>
              <w:spacing w:after="0" w:line="276" w:lineRule="auto"/>
              <w:ind w:left="129" w:hanging="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Blinatumomab Zyklus 2 und folgende: 28µg/d über 4 Wochen (Beginn Mo, Do, Fr)</w:t>
            </w:r>
          </w:p>
        </w:tc>
        <w:tc>
          <w:tcPr>
            <w:tcW w:w="3480" w:type="dxa"/>
          </w:tcPr>
          <w:p w14:paraId="4058B8EA" w14:textId="77777777" w:rsidR="00D9135B" w:rsidRPr="00C21AC1" w:rsidRDefault="00D9135B" w:rsidP="00245044">
            <w:pPr>
              <w:pStyle w:val="Textkrper-Einzug2"/>
              <w:spacing w:after="0" w:line="276" w:lineRule="auto"/>
              <w:ind w:left="0"/>
              <w:jc w:val="left"/>
              <w:rPr>
                <w:rFonts w:asciiTheme="minorHAnsi" w:hAnsiTheme="minorHAnsi" w:cstheme="minorHAnsi"/>
                <w:sz w:val="16"/>
                <w:szCs w:val="22"/>
                <w:lang w:val="de-DE"/>
              </w:rPr>
            </w:pPr>
            <w:r w:rsidRPr="00C21AC1">
              <w:rPr>
                <w:rFonts w:asciiTheme="minorHAnsi" w:hAnsiTheme="minorHAnsi" w:cstheme="minorHAnsi"/>
                <w:sz w:val="18"/>
                <w:szCs w:val="22"/>
                <w:lang w:val="de-DE"/>
              </w:rPr>
              <w:t xml:space="preserve">ALL-Rezidiv, bcr-abl neg, </w:t>
            </w:r>
            <w:r w:rsidRPr="00C21AC1">
              <w:rPr>
                <w:rFonts w:asciiTheme="minorHAnsi" w:hAnsiTheme="minorHAnsi" w:cstheme="minorHAnsi"/>
                <w:color w:val="FF0000"/>
                <w:sz w:val="18"/>
                <w:szCs w:val="22"/>
                <w:lang w:val="de-DE"/>
              </w:rPr>
              <w:t>CD19pos</w:t>
            </w:r>
          </w:p>
        </w:tc>
      </w:tr>
    </w:tbl>
    <w:p w14:paraId="63C3C82B" w14:textId="77777777" w:rsidR="00D9135B" w:rsidRPr="00C21AC1" w:rsidRDefault="00D9135B" w:rsidP="00D9135B">
      <w:pPr>
        <w:spacing w:line="240" w:lineRule="auto"/>
        <w:jc w:val="left"/>
        <w:rPr>
          <w:rFonts w:asciiTheme="minorHAnsi" w:hAnsiTheme="minorHAnsi" w:cstheme="minorHAnsi"/>
          <w:b/>
          <w:lang w:val="de-DE"/>
        </w:rPr>
      </w:pPr>
    </w:p>
    <w:p w14:paraId="68E30C42" w14:textId="77777777" w:rsidR="00D9135B" w:rsidRPr="00C21AC1" w:rsidRDefault="00D9135B" w:rsidP="00D9135B">
      <w:pPr>
        <w:spacing w:line="240" w:lineRule="auto"/>
        <w:jc w:val="left"/>
        <w:rPr>
          <w:rFonts w:asciiTheme="minorHAnsi" w:hAnsiTheme="minorHAnsi" w:cstheme="minorHAnsi"/>
          <w:b/>
          <w:lang w:val="de-DE"/>
        </w:rPr>
      </w:pPr>
    </w:p>
    <w:p w14:paraId="695A3CBB" w14:textId="77777777" w:rsidR="00D9135B" w:rsidRPr="00C21AC1" w:rsidRDefault="00D9135B" w:rsidP="00D9135B">
      <w:pPr>
        <w:spacing w:line="240" w:lineRule="auto"/>
        <w:jc w:val="left"/>
        <w:rPr>
          <w:rFonts w:asciiTheme="minorHAnsi" w:hAnsiTheme="minorHAnsi" w:cstheme="minorHAnsi"/>
          <w:b/>
          <w:lang w:val="de-DE"/>
        </w:rPr>
      </w:pPr>
    </w:p>
    <w:p w14:paraId="45D8BC55" w14:textId="77777777" w:rsidR="00D9135B" w:rsidRPr="00C21AC1" w:rsidRDefault="00D9135B" w:rsidP="00D9135B">
      <w:pPr>
        <w:spacing w:line="240" w:lineRule="auto"/>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Therapieprotokolle für Rezidiv einer T-ALL/Lymphome</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8"/>
        <w:gridCol w:w="780"/>
        <w:gridCol w:w="4396"/>
        <w:gridCol w:w="3542"/>
      </w:tblGrid>
      <w:tr w:rsidR="00D9135B" w:rsidRPr="00C21AC1" w14:paraId="77EF21E4" w14:textId="77777777" w:rsidTr="00245044">
        <w:trPr>
          <w:trHeight w:val="290"/>
        </w:trPr>
        <w:tc>
          <w:tcPr>
            <w:tcW w:w="708" w:type="dxa"/>
            <w:shd w:val="clear" w:color="000000" w:fill="D9D9D9"/>
          </w:tcPr>
          <w:p w14:paraId="26BDE006"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bcr-abl </w:t>
            </w:r>
          </w:p>
        </w:tc>
        <w:tc>
          <w:tcPr>
            <w:tcW w:w="780" w:type="dxa"/>
            <w:shd w:val="clear" w:color="000000" w:fill="D9D9D9"/>
          </w:tcPr>
          <w:p w14:paraId="5D48032B"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CD20</w:t>
            </w:r>
          </w:p>
        </w:tc>
        <w:tc>
          <w:tcPr>
            <w:tcW w:w="7938" w:type="dxa"/>
            <w:gridSpan w:val="2"/>
            <w:shd w:val="clear" w:color="000000" w:fill="D9D9D9"/>
          </w:tcPr>
          <w:p w14:paraId="2EAE8348" w14:textId="77777777" w:rsidR="00D9135B" w:rsidRPr="00C21AC1" w:rsidRDefault="00D9135B" w:rsidP="00245044">
            <w:pPr>
              <w:pStyle w:val="Textkrper-Einzug2"/>
              <w:spacing w:after="0" w:line="276" w:lineRule="auto"/>
              <w:ind w:left="0"/>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 xml:space="preserve">CATO-Protokollname </w:t>
            </w:r>
          </w:p>
        </w:tc>
      </w:tr>
      <w:tr w:rsidR="00D9135B" w:rsidRPr="00C21AC1" w14:paraId="13135EC7" w14:textId="77777777" w:rsidTr="00245044">
        <w:trPr>
          <w:trHeight w:val="290"/>
        </w:trPr>
        <w:tc>
          <w:tcPr>
            <w:tcW w:w="708" w:type="dxa"/>
          </w:tcPr>
          <w:p w14:paraId="2BF425A2"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505490CA"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57438686"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6"/>
                <w:szCs w:val="22"/>
                <w:lang w:val="de-DE"/>
              </w:rPr>
              <w:t>ALL: Nelarabin (1500) d1,3,5; q3w</w:t>
            </w:r>
          </w:p>
        </w:tc>
        <w:tc>
          <w:tcPr>
            <w:tcW w:w="3542" w:type="dxa"/>
          </w:tcPr>
          <w:p w14:paraId="548CA728"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Rezidiv, T-ALL/LBL – </w:t>
            </w:r>
          </w:p>
          <w:p w14:paraId="32F599A0"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color w:val="A6A6A6" w:themeColor="background1" w:themeShade="A6"/>
                <w:sz w:val="16"/>
                <w:szCs w:val="22"/>
                <w:lang w:val="de-DE"/>
              </w:rPr>
              <w:t>Dosisreduktion bei älteren Patienten</w:t>
            </w:r>
          </w:p>
        </w:tc>
      </w:tr>
      <w:tr w:rsidR="00D9135B" w:rsidRPr="00C21AC1" w14:paraId="474DE35C" w14:textId="77777777" w:rsidTr="00245044">
        <w:trPr>
          <w:trHeight w:val="290"/>
        </w:trPr>
        <w:tc>
          <w:tcPr>
            <w:tcW w:w="708" w:type="dxa"/>
          </w:tcPr>
          <w:p w14:paraId="6927AEFD"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327110AE"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3699A4D9" w14:textId="77777777" w:rsidR="00D9135B" w:rsidRPr="00C21AC1" w:rsidRDefault="00D9135B" w:rsidP="00245044">
            <w:pPr>
              <w:pStyle w:val="Textkrper-Einzug2"/>
              <w:spacing w:after="0" w:line="276" w:lineRule="auto"/>
              <w:ind w:left="0"/>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ALL: Cyclophosphamid (200) d1,3,5, Nelarabin (1500) d1,3,5; q3w</w:t>
            </w:r>
          </w:p>
        </w:tc>
        <w:tc>
          <w:tcPr>
            <w:tcW w:w="3542" w:type="dxa"/>
          </w:tcPr>
          <w:p w14:paraId="3F55F72B"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Rezidiv, T-ALL/LBL – </w:t>
            </w:r>
          </w:p>
          <w:p w14:paraId="5FF7FA65"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color w:val="A6A6A6" w:themeColor="background1" w:themeShade="A6"/>
                <w:sz w:val="16"/>
                <w:szCs w:val="22"/>
                <w:lang w:val="de-DE"/>
              </w:rPr>
              <w:t>Dosisreduktion bei älteren Patienten</w:t>
            </w:r>
          </w:p>
        </w:tc>
      </w:tr>
      <w:tr w:rsidR="00D9135B" w:rsidRPr="00C21AC1" w14:paraId="2F6B5E78" w14:textId="77777777" w:rsidTr="00245044">
        <w:trPr>
          <w:trHeight w:val="290"/>
        </w:trPr>
        <w:tc>
          <w:tcPr>
            <w:tcW w:w="708" w:type="dxa"/>
          </w:tcPr>
          <w:p w14:paraId="12182521"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780" w:type="dxa"/>
          </w:tcPr>
          <w:p w14:paraId="43551B42" w14:textId="77777777" w:rsidR="00D9135B" w:rsidRPr="00C21AC1" w:rsidRDefault="00D9135B" w:rsidP="00245044">
            <w:pPr>
              <w:pStyle w:val="Textkrper-Einzug2"/>
              <w:spacing w:after="0" w:line="276" w:lineRule="auto"/>
              <w:ind w:left="-27" w:hanging="27"/>
              <w:jc w:val="left"/>
              <w:rPr>
                <w:rFonts w:asciiTheme="minorHAnsi" w:hAnsiTheme="minorHAnsi" w:cstheme="minorHAnsi"/>
                <w:b/>
                <w:sz w:val="18"/>
                <w:szCs w:val="22"/>
                <w:lang w:val="de-DE"/>
              </w:rPr>
            </w:pPr>
            <w:r w:rsidRPr="00C21AC1">
              <w:rPr>
                <w:rFonts w:asciiTheme="minorHAnsi" w:hAnsiTheme="minorHAnsi" w:cstheme="minorHAnsi"/>
                <w:b/>
                <w:sz w:val="18"/>
                <w:szCs w:val="22"/>
                <w:lang w:val="de-DE"/>
              </w:rPr>
              <w:t>-</w:t>
            </w:r>
          </w:p>
        </w:tc>
        <w:tc>
          <w:tcPr>
            <w:tcW w:w="4396" w:type="dxa"/>
          </w:tcPr>
          <w:p w14:paraId="33039CA0" w14:textId="77777777" w:rsidR="00D9135B" w:rsidRPr="00C21AC1" w:rsidRDefault="00D9135B" w:rsidP="00245044">
            <w:pPr>
              <w:pStyle w:val="Textkrper-Einzug2"/>
              <w:spacing w:after="0" w:line="276" w:lineRule="auto"/>
              <w:ind w:left="0"/>
              <w:jc w:val="left"/>
              <w:rPr>
                <w:rFonts w:asciiTheme="minorHAnsi" w:hAnsiTheme="minorHAnsi" w:cstheme="minorHAnsi"/>
                <w:sz w:val="16"/>
                <w:szCs w:val="22"/>
                <w:lang w:val="de-DE"/>
              </w:rPr>
            </w:pPr>
            <w:r w:rsidRPr="00C21AC1">
              <w:rPr>
                <w:rFonts w:asciiTheme="minorHAnsi" w:hAnsiTheme="minorHAnsi" w:cstheme="minorHAnsi"/>
                <w:sz w:val="16"/>
                <w:szCs w:val="22"/>
                <w:lang w:val="de-DE"/>
              </w:rPr>
              <w:t>ALL: CLAEG: Cladribin (0,2) d1-5, Cytarabin (1500) d1-5, Etoposid (60) d1-5; q4w</w:t>
            </w:r>
          </w:p>
        </w:tc>
        <w:tc>
          <w:tcPr>
            <w:tcW w:w="3542" w:type="dxa"/>
          </w:tcPr>
          <w:p w14:paraId="2C9C8450" w14:textId="77777777" w:rsidR="00D9135B" w:rsidRPr="00C21AC1" w:rsidRDefault="00D9135B" w:rsidP="00245044">
            <w:pPr>
              <w:pStyle w:val="Textkrper-Einzug2"/>
              <w:spacing w:after="0" w:line="276" w:lineRule="auto"/>
              <w:ind w:left="142"/>
              <w:jc w:val="left"/>
              <w:rPr>
                <w:rFonts w:asciiTheme="minorHAnsi" w:hAnsiTheme="minorHAnsi" w:cstheme="minorHAnsi"/>
                <w:sz w:val="18"/>
                <w:szCs w:val="22"/>
                <w:lang w:val="de-DE"/>
              </w:rPr>
            </w:pPr>
            <w:r w:rsidRPr="00C21AC1">
              <w:rPr>
                <w:rFonts w:asciiTheme="minorHAnsi" w:hAnsiTheme="minorHAnsi" w:cstheme="minorHAnsi"/>
                <w:sz w:val="18"/>
                <w:szCs w:val="22"/>
                <w:lang w:val="de-DE"/>
              </w:rPr>
              <w:t xml:space="preserve">ALL: GMALL 2017 Rezidiv, T-ALL/LBL – </w:t>
            </w:r>
          </w:p>
          <w:p w14:paraId="0B8CB0E8" w14:textId="77777777" w:rsidR="00D9135B" w:rsidRPr="00C21AC1" w:rsidRDefault="00D9135B" w:rsidP="00245044">
            <w:pPr>
              <w:pStyle w:val="Textkrper-Einzug2"/>
              <w:spacing w:after="0" w:line="276" w:lineRule="auto"/>
              <w:ind w:left="142"/>
              <w:jc w:val="left"/>
              <w:rPr>
                <w:rFonts w:asciiTheme="minorHAnsi" w:hAnsiTheme="minorHAnsi" w:cstheme="minorHAnsi"/>
                <w:sz w:val="16"/>
                <w:szCs w:val="22"/>
                <w:lang w:val="de-DE"/>
              </w:rPr>
            </w:pPr>
            <w:r w:rsidRPr="00C21AC1">
              <w:rPr>
                <w:rFonts w:asciiTheme="minorHAnsi" w:hAnsiTheme="minorHAnsi" w:cstheme="minorHAnsi"/>
                <w:color w:val="A6A6A6" w:themeColor="background1" w:themeShade="A6"/>
                <w:sz w:val="16"/>
                <w:szCs w:val="22"/>
                <w:lang w:val="de-DE"/>
              </w:rPr>
              <w:t>Dosisreduktion bei älteren Patienten</w:t>
            </w:r>
          </w:p>
        </w:tc>
      </w:tr>
    </w:tbl>
    <w:p w14:paraId="4513DF2F" w14:textId="77777777" w:rsidR="00D9135B" w:rsidRPr="00C21AC1" w:rsidRDefault="00D9135B" w:rsidP="00D9135B">
      <w:pPr>
        <w:pStyle w:val="Textkrper-Einzug2"/>
        <w:spacing w:after="0" w:line="276" w:lineRule="auto"/>
        <w:ind w:left="0"/>
        <w:jc w:val="left"/>
        <w:rPr>
          <w:rFonts w:asciiTheme="minorHAnsi" w:hAnsiTheme="minorHAnsi" w:cstheme="minorHAnsi"/>
          <w:szCs w:val="22"/>
          <w:lang w:val="de-DE"/>
        </w:rPr>
      </w:pPr>
    </w:p>
    <w:p w14:paraId="2C4BC79B" w14:textId="77777777" w:rsidR="00D9135B" w:rsidRPr="00C21AC1" w:rsidRDefault="00D9135B" w:rsidP="00D11A8E">
      <w:pPr>
        <w:spacing w:line="240" w:lineRule="auto"/>
        <w:jc w:val="left"/>
        <w:rPr>
          <w:rFonts w:asciiTheme="minorHAnsi" w:hAnsiTheme="minorHAnsi" w:cstheme="minorHAnsi"/>
          <w:b/>
          <w:sz w:val="24"/>
          <w:szCs w:val="22"/>
          <w:lang w:val="de-DE"/>
        </w:rPr>
      </w:pPr>
    </w:p>
    <w:p w14:paraId="5389ECD3" w14:textId="77777777" w:rsidR="00450568" w:rsidRPr="00945E91" w:rsidRDefault="00450568" w:rsidP="000C0C21">
      <w:pPr>
        <w:jc w:val="both"/>
        <w:rPr>
          <w:rFonts w:asciiTheme="minorHAnsi" w:hAnsiTheme="minorHAnsi" w:cstheme="minorHAnsi"/>
          <w:color w:val="000000" w:themeColor="text1"/>
          <w:lang w:val="de-DE"/>
        </w:rPr>
      </w:pPr>
    </w:p>
    <w:sectPr w:rsidR="00450568" w:rsidRPr="00945E91" w:rsidSect="001D11C7">
      <w:headerReference w:type="default" r:id="rId43"/>
      <w:footerReference w:type="default" r:id="rId44"/>
      <w:pgSz w:w="11906" w:h="16838"/>
      <w:pgMar w:top="743" w:right="1106" w:bottom="1134" w:left="1418" w:header="567" w:footer="403"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B66DB" w16cex:dateUtc="2021-05-04T04:23:00Z"/>
  <w16cex:commentExtensible w16cex:durableId="243B6727" w16cex:dateUtc="2021-05-04T04:24:00Z"/>
  <w16cex:commentExtensible w16cex:durableId="243B6940" w16cex:dateUtc="2021-05-04T04:33:00Z"/>
  <w16cex:commentExtensible w16cex:durableId="243B69BC" w16cex:dateUtc="2021-05-04T04:35:00Z"/>
  <w16cex:commentExtensible w16cex:durableId="243B6C02" w16cex:dateUtc="2021-05-04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75597B" w16cid:durableId="243B66DB"/>
  <w16cid:commentId w16cid:paraId="4E6582C5" w16cid:durableId="243B6727"/>
  <w16cid:commentId w16cid:paraId="23EA9E91" w16cid:durableId="243B6940"/>
  <w16cid:commentId w16cid:paraId="39F665DE" w16cid:durableId="243B69BC"/>
  <w16cid:commentId w16cid:paraId="344D561D" w16cid:durableId="243B6C02"/>
  <w16cid:commentId w16cid:paraId="14EA0557" w16cid:durableId="24449669"/>
  <w16cid:commentId w16cid:paraId="65BF6588" w16cid:durableId="2444966A"/>
  <w16cid:commentId w16cid:paraId="0C4B2F20" w16cid:durableId="2444966B"/>
  <w16cid:commentId w16cid:paraId="63CF48FB" w16cid:durableId="2444966C"/>
  <w16cid:commentId w16cid:paraId="765B84D5" w16cid:durableId="2444966D"/>
  <w16cid:commentId w16cid:paraId="3A33CFE9" w16cid:durableId="244496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C10F3" w14:textId="77777777" w:rsidR="00463666" w:rsidRDefault="00463666">
      <w:r>
        <w:separator/>
      </w:r>
    </w:p>
    <w:p w14:paraId="0782F746" w14:textId="77777777" w:rsidR="00463666" w:rsidRDefault="00463666"/>
    <w:p w14:paraId="4654E65C" w14:textId="77777777" w:rsidR="00463666" w:rsidRDefault="00463666"/>
  </w:endnote>
  <w:endnote w:type="continuationSeparator" w:id="0">
    <w:p w14:paraId="6A69721E" w14:textId="77777777" w:rsidR="00463666" w:rsidRDefault="00463666">
      <w:r>
        <w:continuationSeparator/>
      </w:r>
    </w:p>
    <w:p w14:paraId="6A4BE820" w14:textId="77777777" w:rsidR="00463666" w:rsidRDefault="00463666"/>
    <w:p w14:paraId="7D14FDCC" w14:textId="77777777" w:rsidR="00463666" w:rsidRDefault="00463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dvOT1ef757c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D5D4F" w14:textId="74B350D5" w:rsidR="00463666" w:rsidRDefault="00463666" w:rsidP="00463666">
    <w:pPr>
      <w:pStyle w:val="Fuzeile"/>
      <w:pBdr>
        <w:top w:val="single" w:sz="4" w:space="1" w:color="auto"/>
      </w:pBdr>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5F3443">
      <w:rPr>
        <w:noProof/>
        <w:sz w:val="18"/>
        <w:szCs w:val="18"/>
      </w:rPr>
      <w:t>2</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5F3443">
      <w:rPr>
        <w:noProof/>
        <w:sz w:val="18"/>
        <w:szCs w:val="18"/>
      </w:rPr>
      <w:t>48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B4898" w14:textId="77777777" w:rsidR="00463666" w:rsidRDefault="00463666">
      <w:r>
        <w:separator/>
      </w:r>
    </w:p>
    <w:p w14:paraId="290CCF94" w14:textId="77777777" w:rsidR="00463666" w:rsidRDefault="00463666"/>
    <w:p w14:paraId="6B842ADE" w14:textId="77777777" w:rsidR="00463666" w:rsidRDefault="00463666"/>
  </w:footnote>
  <w:footnote w:type="continuationSeparator" w:id="0">
    <w:p w14:paraId="2ACD2289" w14:textId="77777777" w:rsidR="00463666" w:rsidRDefault="00463666">
      <w:r>
        <w:continuationSeparator/>
      </w:r>
    </w:p>
    <w:p w14:paraId="1AB2AE0D" w14:textId="77777777" w:rsidR="00463666" w:rsidRDefault="00463666"/>
    <w:p w14:paraId="53CBD8C0" w14:textId="77777777" w:rsidR="00463666" w:rsidRDefault="004636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463666" w14:paraId="036A6E81" w14:textId="77777777" w:rsidTr="00463666">
      <w:tc>
        <w:tcPr>
          <w:tcW w:w="3687" w:type="dxa"/>
        </w:tcPr>
        <w:p w14:paraId="2A9185C6" w14:textId="77777777" w:rsidR="00463666" w:rsidRDefault="00463666" w:rsidP="00463666">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251DEB89" wp14:editId="07E1A1BE">
                <wp:extent cx="1080760" cy="469557"/>
                <wp:effectExtent l="0" t="0" r="5715" b="698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BC5C277" w14:textId="77777777" w:rsidR="00463666" w:rsidRDefault="00463666" w:rsidP="00463666">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5CC21849" w14:textId="77777777" w:rsidR="00463666" w:rsidRDefault="00463666" w:rsidP="00463666">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1D2A862F" w14:textId="78598867" w:rsidR="00463666" w:rsidRDefault="00463666" w:rsidP="00463666">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Content>
              <w:r>
                <w:rPr>
                  <w:rFonts w:cs="Arial"/>
                  <w:sz w:val="18"/>
                  <w:szCs w:val="18"/>
                  <w:lang w:val="de-DE" w:eastAsia="ar-SA"/>
                </w:rPr>
                <w:t>Akute Lymphatische Leukämie</w:t>
              </w:r>
            </w:sdtContent>
          </w:sdt>
        </w:p>
      </w:tc>
    </w:tr>
  </w:tbl>
  <w:p w14:paraId="0954E716" w14:textId="77777777" w:rsidR="00463666" w:rsidRDefault="004636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319"/>
    <w:multiLevelType w:val="hybridMultilevel"/>
    <w:tmpl w:val="FC3E64E2"/>
    <w:lvl w:ilvl="0" w:tplc="E61200C8">
      <w:numFmt w:val="bullet"/>
      <w:lvlText w:val="•"/>
      <w:lvlJc w:val="left"/>
      <w:pPr>
        <w:ind w:left="720" w:hanging="360"/>
      </w:pPr>
      <w:rPr>
        <w:rFonts w:hint="default"/>
        <w:w w:val="100"/>
        <w:sz w:val="18"/>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631E69"/>
    <w:multiLevelType w:val="hybridMultilevel"/>
    <w:tmpl w:val="D8A2370E"/>
    <w:lvl w:ilvl="0" w:tplc="0C070001">
      <w:start w:val="1"/>
      <w:numFmt w:val="bullet"/>
      <w:lvlText w:val=""/>
      <w:lvlJc w:val="left"/>
      <w:pPr>
        <w:ind w:left="360" w:hanging="360"/>
      </w:pPr>
      <w:rPr>
        <w:rFonts w:ascii="Symbol" w:hAnsi="Symbol" w:hint="default"/>
        <w:w w:val="100"/>
        <w:sz w:val="20"/>
        <w:szCs w:val="22"/>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5BA6540"/>
    <w:multiLevelType w:val="hybridMultilevel"/>
    <w:tmpl w:val="4EA8FFDA"/>
    <w:lvl w:ilvl="0" w:tplc="F1AE58F8">
      <w:numFmt w:val="bullet"/>
      <w:lvlText w:val="•"/>
      <w:lvlJc w:val="left"/>
      <w:pPr>
        <w:ind w:left="360" w:hanging="360"/>
      </w:pPr>
      <w:rPr>
        <w:rFonts w:hint="default"/>
        <w:w w:val="100"/>
        <w:sz w:val="20"/>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708655D"/>
    <w:multiLevelType w:val="hybridMultilevel"/>
    <w:tmpl w:val="2012CC82"/>
    <w:lvl w:ilvl="0" w:tplc="0D50F218">
      <w:numFmt w:val="bullet"/>
      <w:lvlText w:val="•"/>
      <w:lvlJc w:val="left"/>
      <w:pPr>
        <w:ind w:left="710" w:hanging="710"/>
      </w:pPr>
      <w:rPr>
        <w:rFonts w:ascii="Calibri" w:eastAsia="Times New Roman"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7CC56D9"/>
    <w:multiLevelType w:val="hybridMultilevel"/>
    <w:tmpl w:val="F9561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FA33B5"/>
    <w:multiLevelType w:val="multilevel"/>
    <w:tmpl w:val="DDFE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A0CDC"/>
    <w:multiLevelType w:val="hybridMultilevel"/>
    <w:tmpl w:val="FE2EF6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0" w:hanging="360"/>
      </w:pPr>
      <w:rPr>
        <w:rFonts w:ascii="Courier New" w:hAnsi="Courier New" w:cs="Courier New" w:hint="default"/>
      </w:rPr>
    </w:lvl>
    <w:lvl w:ilvl="2" w:tplc="0C070005" w:tentative="1">
      <w:start w:val="1"/>
      <w:numFmt w:val="bullet"/>
      <w:lvlText w:val=""/>
      <w:lvlJc w:val="left"/>
      <w:pPr>
        <w:ind w:left="720" w:hanging="360"/>
      </w:pPr>
      <w:rPr>
        <w:rFonts w:ascii="Wingdings" w:hAnsi="Wingdings" w:hint="default"/>
      </w:rPr>
    </w:lvl>
    <w:lvl w:ilvl="3" w:tplc="0C070001" w:tentative="1">
      <w:start w:val="1"/>
      <w:numFmt w:val="bullet"/>
      <w:lvlText w:val=""/>
      <w:lvlJc w:val="left"/>
      <w:pPr>
        <w:ind w:left="1440" w:hanging="360"/>
      </w:pPr>
      <w:rPr>
        <w:rFonts w:ascii="Symbol" w:hAnsi="Symbol" w:hint="default"/>
      </w:rPr>
    </w:lvl>
    <w:lvl w:ilvl="4" w:tplc="0C070003" w:tentative="1">
      <w:start w:val="1"/>
      <w:numFmt w:val="bullet"/>
      <w:lvlText w:val="o"/>
      <w:lvlJc w:val="left"/>
      <w:pPr>
        <w:ind w:left="2160" w:hanging="360"/>
      </w:pPr>
      <w:rPr>
        <w:rFonts w:ascii="Courier New" w:hAnsi="Courier New" w:cs="Courier New" w:hint="default"/>
      </w:rPr>
    </w:lvl>
    <w:lvl w:ilvl="5" w:tplc="0C070005" w:tentative="1">
      <w:start w:val="1"/>
      <w:numFmt w:val="bullet"/>
      <w:lvlText w:val=""/>
      <w:lvlJc w:val="left"/>
      <w:pPr>
        <w:ind w:left="2880" w:hanging="360"/>
      </w:pPr>
      <w:rPr>
        <w:rFonts w:ascii="Wingdings" w:hAnsi="Wingdings" w:hint="default"/>
      </w:rPr>
    </w:lvl>
    <w:lvl w:ilvl="6" w:tplc="0C070001" w:tentative="1">
      <w:start w:val="1"/>
      <w:numFmt w:val="bullet"/>
      <w:lvlText w:val=""/>
      <w:lvlJc w:val="left"/>
      <w:pPr>
        <w:ind w:left="3600" w:hanging="360"/>
      </w:pPr>
      <w:rPr>
        <w:rFonts w:ascii="Symbol" w:hAnsi="Symbol" w:hint="default"/>
      </w:rPr>
    </w:lvl>
    <w:lvl w:ilvl="7" w:tplc="0C070003" w:tentative="1">
      <w:start w:val="1"/>
      <w:numFmt w:val="bullet"/>
      <w:lvlText w:val="o"/>
      <w:lvlJc w:val="left"/>
      <w:pPr>
        <w:ind w:left="4320" w:hanging="360"/>
      </w:pPr>
      <w:rPr>
        <w:rFonts w:ascii="Courier New" w:hAnsi="Courier New" w:cs="Courier New" w:hint="default"/>
      </w:rPr>
    </w:lvl>
    <w:lvl w:ilvl="8" w:tplc="0C070005" w:tentative="1">
      <w:start w:val="1"/>
      <w:numFmt w:val="bullet"/>
      <w:lvlText w:val=""/>
      <w:lvlJc w:val="left"/>
      <w:pPr>
        <w:ind w:left="5040" w:hanging="360"/>
      </w:pPr>
      <w:rPr>
        <w:rFonts w:ascii="Wingdings" w:hAnsi="Wingdings" w:hint="default"/>
      </w:rPr>
    </w:lvl>
  </w:abstractNum>
  <w:abstractNum w:abstractNumId="7" w15:restartNumberingAfterBreak="0">
    <w:nsid w:val="0B97581D"/>
    <w:multiLevelType w:val="hybridMultilevel"/>
    <w:tmpl w:val="17800E24"/>
    <w:lvl w:ilvl="0" w:tplc="C4662FC8">
      <w:numFmt w:val="bullet"/>
      <w:lvlText w:val=""/>
      <w:lvlJc w:val="left"/>
      <w:pPr>
        <w:ind w:left="427" w:hanging="318"/>
      </w:pPr>
      <w:rPr>
        <w:rFonts w:ascii="Symbol" w:eastAsia="Symbol" w:hAnsi="Symbol" w:cs="Symbol" w:hint="default"/>
        <w:w w:val="100"/>
        <w:sz w:val="22"/>
        <w:szCs w:val="22"/>
        <w:lang w:val="de-DE" w:eastAsia="de-DE" w:bidi="de-DE"/>
      </w:rPr>
    </w:lvl>
    <w:lvl w:ilvl="1" w:tplc="83CC92FC">
      <w:numFmt w:val="bullet"/>
      <w:lvlText w:val="•"/>
      <w:lvlJc w:val="left"/>
      <w:pPr>
        <w:ind w:left="1102" w:hanging="318"/>
      </w:pPr>
      <w:rPr>
        <w:rFonts w:hint="default"/>
        <w:lang w:val="de-DE" w:eastAsia="de-DE" w:bidi="de-DE"/>
      </w:rPr>
    </w:lvl>
    <w:lvl w:ilvl="2" w:tplc="6BF6168C">
      <w:numFmt w:val="bullet"/>
      <w:lvlText w:val="•"/>
      <w:lvlJc w:val="left"/>
      <w:pPr>
        <w:ind w:left="1785" w:hanging="318"/>
      </w:pPr>
      <w:rPr>
        <w:rFonts w:hint="default"/>
        <w:lang w:val="de-DE" w:eastAsia="de-DE" w:bidi="de-DE"/>
      </w:rPr>
    </w:lvl>
    <w:lvl w:ilvl="3" w:tplc="6D3C01E0">
      <w:numFmt w:val="bullet"/>
      <w:lvlText w:val="•"/>
      <w:lvlJc w:val="left"/>
      <w:pPr>
        <w:ind w:left="2468" w:hanging="318"/>
      </w:pPr>
      <w:rPr>
        <w:rFonts w:hint="default"/>
        <w:lang w:val="de-DE" w:eastAsia="de-DE" w:bidi="de-DE"/>
      </w:rPr>
    </w:lvl>
    <w:lvl w:ilvl="4" w:tplc="5EF6955E">
      <w:numFmt w:val="bullet"/>
      <w:lvlText w:val="•"/>
      <w:lvlJc w:val="left"/>
      <w:pPr>
        <w:ind w:left="3150" w:hanging="318"/>
      </w:pPr>
      <w:rPr>
        <w:rFonts w:hint="default"/>
        <w:lang w:val="de-DE" w:eastAsia="de-DE" w:bidi="de-DE"/>
      </w:rPr>
    </w:lvl>
    <w:lvl w:ilvl="5" w:tplc="A65EEFC8">
      <w:numFmt w:val="bullet"/>
      <w:lvlText w:val="•"/>
      <w:lvlJc w:val="left"/>
      <w:pPr>
        <w:ind w:left="3833" w:hanging="318"/>
      </w:pPr>
      <w:rPr>
        <w:rFonts w:hint="default"/>
        <w:lang w:val="de-DE" w:eastAsia="de-DE" w:bidi="de-DE"/>
      </w:rPr>
    </w:lvl>
    <w:lvl w:ilvl="6" w:tplc="4E72CCEE">
      <w:numFmt w:val="bullet"/>
      <w:lvlText w:val="•"/>
      <w:lvlJc w:val="left"/>
      <w:pPr>
        <w:ind w:left="4516" w:hanging="318"/>
      </w:pPr>
      <w:rPr>
        <w:rFonts w:hint="default"/>
        <w:lang w:val="de-DE" w:eastAsia="de-DE" w:bidi="de-DE"/>
      </w:rPr>
    </w:lvl>
    <w:lvl w:ilvl="7" w:tplc="5DB8BDC4">
      <w:numFmt w:val="bullet"/>
      <w:lvlText w:val="•"/>
      <w:lvlJc w:val="left"/>
      <w:pPr>
        <w:ind w:left="5198" w:hanging="318"/>
      </w:pPr>
      <w:rPr>
        <w:rFonts w:hint="default"/>
        <w:lang w:val="de-DE" w:eastAsia="de-DE" w:bidi="de-DE"/>
      </w:rPr>
    </w:lvl>
    <w:lvl w:ilvl="8" w:tplc="A00EE690">
      <w:numFmt w:val="bullet"/>
      <w:lvlText w:val="•"/>
      <w:lvlJc w:val="left"/>
      <w:pPr>
        <w:ind w:left="5881" w:hanging="318"/>
      </w:pPr>
      <w:rPr>
        <w:rFonts w:hint="default"/>
        <w:lang w:val="de-DE" w:eastAsia="de-DE" w:bidi="de-DE"/>
      </w:rPr>
    </w:lvl>
  </w:abstractNum>
  <w:abstractNum w:abstractNumId="8" w15:restartNumberingAfterBreak="0">
    <w:nsid w:val="0F3E0057"/>
    <w:multiLevelType w:val="hybridMultilevel"/>
    <w:tmpl w:val="7A884944"/>
    <w:lvl w:ilvl="0" w:tplc="AB80D8BC">
      <w:numFmt w:val="bullet"/>
      <w:lvlText w:val="•"/>
      <w:lvlJc w:val="left"/>
      <w:pPr>
        <w:ind w:left="360" w:hanging="360"/>
      </w:pPr>
      <w:rPr>
        <w:rFonts w:hint="default"/>
        <w:lang w:val="de-DE" w:eastAsia="de-DE" w:bidi="de-DE"/>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1E067B9"/>
    <w:multiLevelType w:val="multilevel"/>
    <w:tmpl w:val="ED7AF87E"/>
    <w:lvl w:ilvl="0">
      <w:start w:val="1"/>
      <w:numFmt w:val="decimal"/>
      <w:lvlText w:val="%1."/>
      <w:lvlJc w:val="left"/>
      <w:pPr>
        <w:ind w:left="1003" w:hanging="360"/>
      </w:pPr>
      <w:rPr>
        <w:rFonts w:hint="default"/>
      </w:rPr>
    </w:lvl>
    <w:lvl w:ilvl="1">
      <w:start w:val="2"/>
      <w:numFmt w:val="decimal"/>
      <w:isLgl/>
      <w:lvlText w:val="%1.%2."/>
      <w:lvlJc w:val="left"/>
      <w:pPr>
        <w:ind w:left="1003" w:hanging="36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10"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11" w15:restartNumberingAfterBreak="0">
    <w:nsid w:val="12ED43C5"/>
    <w:multiLevelType w:val="hybridMultilevel"/>
    <w:tmpl w:val="4BFC5E7E"/>
    <w:lvl w:ilvl="0" w:tplc="0C070003">
      <w:start w:val="1"/>
      <w:numFmt w:val="bullet"/>
      <w:lvlText w:val="o"/>
      <w:lvlJc w:val="left"/>
      <w:pPr>
        <w:ind w:left="1003" w:hanging="360"/>
      </w:pPr>
      <w:rPr>
        <w:rFonts w:ascii="Courier New" w:hAnsi="Courier New" w:cs="Courier New" w:hint="default"/>
      </w:rPr>
    </w:lvl>
    <w:lvl w:ilvl="1" w:tplc="D9F88BC4">
      <w:numFmt w:val="bullet"/>
      <w:lvlText w:val=""/>
      <w:lvlJc w:val="left"/>
      <w:pPr>
        <w:ind w:left="1723" w:hanging="360"/>
      </w:pPr>
      <w:rPr>
        <w:rFonts w:ascii="Wingdings" w:eastAsia="Times New Roman" w:hAnsi="Wingdings" w:cstheme="minorHAnsi" w:hint="default"/>
      </w:rPr>
    </w:lvl>
    <w:lvl w:ilvl="2" w:tplc="0C070005" w:tentative="1">
      <w:start w:val="1"/>
      <w:numFmt w:val="bullet"/>
      <w:lvlText w:val=""/>
      <w:lvlJc w:val="left"/>
      <w:pPr>
        <w:ind w:left="2443" w:hanging="360"/>
      </w:pPr>
      <w:rPr>
        <w:rFonts w:ascii="Wingdings" w:hAnsi="Wingdings" w:hint="default"/>
      </w:rPr>
    </w:lvl>
    <w:lvl w:ilvl="3" w:tplc="0C070001" w:tentative="1">
      <w:start w:val="1"/>
      <w:numFmt w:val="bullet"/>
      <w:lvlText w:val=""/>
      <w:lvlJc w:val="left"/>
      <w:pPr>
        <w:ind w:left="3163" w:hanging="360"/>
      </w:pPr>
      <w:rPr>
        <w:rFonts w:ascii="Symbol" w:hAnsi="Symbol" w:hint="default"/>
      </w:rPr>
    </w:lvl>
    <w:lvl w:ilvl="4" w:tplc="0C070003" w:tentative="1">
      <w:start w:val="1"/>
      <w:numFmt w:val="bullet"/>
      <w:lvlText w:val="o"/>
      <w:lvlJc w:val="left"/>
      <w:pPr>
        <w:ind w:left="3883" w:hanging="360"/>
      </w:pPr>
      <w:rPr>
        <w:rFonts w:ascii="Courier New" w:hAnsi="Courier New" w:cs="Courier New" w:hint="default"/>
      </w:rPr>
    </w:lvl>
    <w:lvl w:ilvl="5" w:tplc="0C070005" w:tentative="1">
      <w:start w:val="1"/>
      <w:numFmt w:val="bullet"/>
      <w:lvlText w:val=""/>
      <w:lvlJc w:val="left"/>
      <w:pPr>
        <w:ind w:left="4603" w:hanging="360"/>
      </w:pPr>
      <w:rPr>
        <w:rFonts w:ascii="Wingdings" w:hAnsi="Wingdings" w:hint="default"/>
      </w:rPr>
    </w:lvl>
    <w:lvl w:ilvl="6" w:tplc="0C070001" w:tentative="1">
      <w:start w:val="1"/>
      <w:numFmt w:val="bullet"/>
      <w:lvlText w:val=""/>
      <w:lvlJc w:val="left"/>
      <w:pPr>
        <w:ind w:left="5323" w:hanging="360"/>
      </w:pPr>
      <w:rPr>
        <w:rFonts w:ascii="Symbol" w:hAnsi="Symbol" w:hint="default"/>
      </w:rPr>
    </w:lvl>
    <w:lvl w:ilvl="7" w:tplc="0C070003" w:tentative="1">
      <w:start w:val="1"/>
      <w:numFmt w:val="bullet"/>
      <w:lvlText w:val="o"/>
      <w:lvlJc w:val="left"/>
      <w:pPr>
        <w:ind w:left="6043" w:hanging="360"/>
      </w:pPr>
      <w:rPr>
        <w:rFonts w:ascii="Courier New" w:hAnsi="Courier New" w:cs="Courier New" w:hint="default"/>
      </w:rPr>
    </w:lvl>
    <w:lvl w:ilvl="8" w:tplc="0C070005" w:tentative="1">
      <w:start w:val="1"/>
      <w:numFmt w:val="bullet"/>
      <w:lvlText w:val=""/>
      <w:lvlJc w:val="left"/>
      <w:pPr>
        <w:ind w:left="6763" w:hanging="360"/>
      </w:pPr>
      <w:rPr>
        <w:rFonts w:ascii="Wingdings" w:hAnsi="Wingdings" w:hint="default"/>
      </w:rPr>
    </w:lvl>
  </w:abstractNum>
  <w:abstractNum w:abstractNumId="12" w15:restartNumberingAfterBreak="0">
    <w:nsid w:val="135147D2"/>
    <w:multiLevelType w:val="multilevel"/>
    <w:tmpl w:val="EBC68C06"/>
    <w:lvl w:ilvl="0">
      <w:start w:val="2"/>
      <w:numFmt w:val="decimal"/>
      <w:lvlText w:val="%1"/>
      <w:lvlJc w:val="left"/>
      <w:pPr>
        <w:ind w:left="444" w:hanging="444"/>
      </w:pPr>
      <w:rPr>
        <w:rFonts w:hint="default"/>
      </w:rPr>
    </w:lvl>
    <w:lvl w:ilvl="1">
      <w:start w:val="8"/>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756D6B"/>
    <w:multiLevelType w:val="hybridMultilevel"/>
    <w:tmpl w:val="CE08C1F4"/>
    <w:lvl w:ilvl="0" w:tplc="E61200C8">
      <w:numFmt w:val="bullet"/>
      <w:lvlText w:val="•"/>
      <w:lvlJc w:val="left"/>
      <w:pPr>
        <w:ind w:left="720" w:hanging="360"/>
      </w:pPr>
      <w:rPr>
        <w:rFonts w:hint="default"/>
        <w:w w:val="100"/>
        <w:sz w:val="18"/>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F1B12EC"/>
    <w:multiLevelType w:val="multilevel"/>
    <w:tmpl w:val="13D8ABD2"/>
    <w:lvl w:ilvl="0">
      <w:start w:val="3"/>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13B0984"/>
    <w:multiLevelType w:val="hybridMultilevel"/>
    <w:tmpl w:val="89446F74"/>
    <w:lvl w:ilvl="0" w:tplc="04070001">
      <w:start w:val="1"/>
      <w:numFmt w:val="bullet"/>
      <w:lvlText w:val=""/>
      <w:lvlJc w:val="left"/>
      <w:pPr>
        <w:ind w:left="515" w:hanging="360"/>
      </w:pPr>
      <w:rPr>
        <w:rFonts w:ascii="Symbol" w:hAnsi="Symbol" w:hint="default"/>
      </w:rPr>
    </w:lvl>
    <w:lvl w:ilvl="1" w:tplc="0C070003">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16" w15:restartNumberingAfterBreak="0">
    <w:nsid w:val="24255B54"/>
    <w:multiLevelType w:val="multilevel"/>
    <w:tmpl w:val="E30A884E"/>
    <w:lvl w:ilvl="0">
      <w:start w:val="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730E14"/>
    <w:multiLevelType w:val="hybridMultilevel"/>
    <w:tmpl w:val="C428EC18"/>
    <w:lvl w:ilvl="0" w:tplc="A7A27076">
      <w:start w:val="1"/>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94E475A"/>
    <w:multiLevelType w:val="multilevel"/>
    <w:tmpl w:val="D0E45AFC"/>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9D20F4D"/>
    <w:multiLevelType w:val="multilevel"/>
    <w:tmpl w:val="B82ABC20"/>
    <w:lvl w:ilvl="0">
      <w:start w:val="3"/>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2050B3"/>
    <w:multiLevelType w:val="hybridMultilevel"/>
    <w:tmpl w:val="3E581840"/>
    <w:lvl w:ilvl="0" w:tplc="E61200C8">
      <w:numFmt w:val="bullet"/>
      <w:lvlText w:val="•"/>
      <w:lvlJc w:val="left"/>
      <w:pPr>
        <w:ind w:left="360" w:hanging="360"/>
      </w:pPr>
      <w:rPr>
        <w:rFonts w:hint="default"/>
        <w:w w:val="100"/>
        <w:sz w:val="18"/>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07774D6"/>
    <w:multiLevelType w:val="multilevel"/>
    <w:tmpl w:val="12B05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C96712"/>
    <w:multiLevelType w:val="hybridMultilevel"/>
    <w:tmpl w:val="67B4CDE4"/>
    <w:lvl w:ilvl="0" w:tplc="998C0BEA">
      <w:start w:val="1"/>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A923E59"/>
    <w:multiLevelType w:val="hybridMultilevel"/>
    <w:tmpl w:val="45CE4920"/>
    <w:lvl w:ilvl="0" w:tplc="0C070003">
      <w:start w:val="1"/>
      <w:numFmt w:val="bullet"/>
      <w:lvlText w:val="o"/>
      <w:lvlJc w:val="left"/>
      <w:pPr>
        <w:ind w:left="515" w:hanging="360"/>
      </w:pPr>
      <w:rPr>
        <w:rFonts w:ascii="Courier New" w:hAnsi="Courier New" w:cs="Courier New" w:hint="default"/>
      </w:rPr>
    </w:lvl>
    <w:lvl w:ilvl="1" w:tplc="0C070003">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24" w15:restartNumberingAfterBreak="0">
    <w:nsid w:val="3B8C20C9"/>
    <w:multiLevelType w:val="hybridMultilevel"/>
    <w:tmpl w:val="389ABE7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3CD14C57"/>
    <w:multiLevelType w:val="hybridMultilevel"/>
    <w:tmpl w:val="E53AA14E"/>
    <w:lvl w:ilvl="0" w:tplc="E61200C8">
      <w:numFmt w:val="bullet"/>
      <w:lvlText w:val="•"/>
      <w:lvlJc w:val="left"/>
      <w:pPr>
        <w:ind w:left="425" w:hanging="284"/>
      </w:pPr>
      <w:rPr>
        <w:rFonts w:hint="default"/>
        <w:w w:val="100"/>
        <w:sz w:val="18"/>
        <w:szCs w:val="22"/>
        <w:lang w:val="de-DE" w:eastAsia="de-DE" w:bidi="de-DE"/>
      </w:rPr>
    </w:lvl>
    <w:lvl w:ilvl="1" w:tplc="CB10CF98">
      <w:numFmt w:val="bullet"/>
      <w:lvlText w:val="•"/>
      <w:lvlJc w:val="left"/>
      <w:pPr>
        <w:ind w:left="1094" w:hanging="284"/>
      </w:pPr>
      <w:rPr>
        <w:rFonts w:hint="default"/>
        <w:lang w:val="de-DE" w:eastAsia="de-DE" w:bidi="de-DE"/>
      </w:rPr>
    </w:lvl>
    <w:lvl w:ilvl="2" w:tplc="AF1E831A">
      <w:numFmt w:val="bullet"/>
      <w:lvlText w:val="•"/>
      <w:lvlJc w:val="left"/>
      <w:pPr>
        <w:ind w:left="1769" w:hanging="284"/>
      </w:pPr>
      <w:rPr>
        <w:rFonts w:hint="default"/>
        <w:lang w:val="de-DE" w:eastAsia="de-DE" w:bidi="de-DE"/>
      </w:rPr>
    </w:lvl>
    <w:lvl w:ilvl="3" w:tplc="EC6806FA">
      <w:numFmt w:val="bullet"/>
      <w:lvlText w:val="•"/>
      <w:lvlJc w:val="left"/>
      <w:pPr>
        <w:ind w:left="2444" w:hanging="284"/>
      </w:pPr>
      <w:rPr>
        <w:rFonts w:hint="default"/>
        <w:lang w:val="de-DE" w:eastAsia="de-DE" w:bidi="de-DE"/>
      </w:rPr>
    </w:lvl>
    <w:lvl w:ilvl="4" w:tplc="E7007574">
      <w:numFmt w:val="bullet"/>
      <w:lvlText w:val="•"/>
      <w:lvlJc w:val="left"/>
      <w:pPr>
        <w:ind w:left="3118" w:hanging="284"/>
      </w:pPr>
      <w:rPr>
        <w:rFonts w:hint="default"/>
        <w:lang w:val="de-DE" w:eastAsia="de-DE" w:bidi="de-DE"/>
      </w:rPr>
    </w:lvl>
    <w:lvl w:ilvl="5" w:tplc="6BD404F8">
      <w:numFmt w:val="bullet"/>
      <w:lvlText w:val="•"/>
      <w:lvlJc w:val="left"/>
      <w:pPr>
        <w:ind w:left="3793" w:hanging="284"/>
      </w:pPr>
      <w:rPr>
        <w:rFonts w:hint="default"/>
        <w:lang w:val="de-DE" w:eastAsia="de-DE" w:bidi="de-DE"/>
      </w:rPr>
    </w:lvl>
    <w:lvl w:ilvl="6" w:tplc="063ED71A">
      <w:numFmt w:val="bullet"/>
      <w:lvlText w:val="•"/>
      <w:lvlJc w:val="left"/>
      <w:pPr>
        <w:ind w:left="4468" w:hanging="284"/>
      </w:pPr>
      <w:rPr>
        <w:rFonts w:hint="default"/>
        <w:lang w:val="de-DE" w:eastAsia="de-DE" w:bidi="de-DE"/>
      </w:rPr>
    </w:lvl>
    <w:lvl w:ilvl="7" w:tplc="949EFA54">
      <w:numFmt w:val="bullet"/>
      <w:lvlText w:val="•"/>
      <w:lvlJc w:val="left"/>
      <w:pPr>
        <w:ind w:left="5142" w:hanging="284"/>
      </w:pPr>
      <w:rPr>
        <w:rFonts w:hint="default"/>
        <w:lang w:val="de-DE" w:eastAsia="de-DE" w:bidi="de-DE"/>
      </w:rPr>
    </w:lvl>
    <w:lvl w:ilvl="8" w:tplc="109A30C8">
      <w:numFmt w:val="bullet"/>
      <w:lvlText w:val="•"/>
      <w:lvlJc w:val="left"/>
      <w:pPr>
        <w:ind w:left="5817" w:hanging="284"/>
      </w:pPr>
      <w:rPr>
        <w:rFonts w:hint="default"/>
        <w:lang w:val="de-DE" w:eastAsia="de-DE" w:bidi="de-DE"/>
      </w:rPr>
    </w:lvl>
  </w:abstractNum>
  <w:abstractNum w:abstractNumId="26" w15:restartNumberingAfterBreak="0">
    <w:nsid w:val="419C3419"/>
    <w:multiLevelType w:val="hybridMultilevel"/>
    <w:tmpl w:val="CBE0E9F4"/>
    <w:lvl w:ilvl="0" w:tplc="F1AE58F8">
      <w:numFmt w:val="bullet"/>
      <w:lvlText w:val="•"/>
      <w:lvlJc w:val="left"/>
      <w:pPr>
        <w:ind w:left="720" w:hanging="360"/>
      </w:pPr>
      <w:rPr>
        <w:rFonts w:hint="default"/>
        <w:w w:val="100"/>
        <w:sz w:val="20"/>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4900C83"/>
    <w:multiLevelType w:val="hybridMultilevel"/>
    <w:tmpl w:val="ED6A813E"/>
    <w:lvl w:ilvl="0" w:tplc="3BF8F0F8">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5C136C7"/>
    <w:multiLevelType w:val="multilevel"/>
    <w:tmpl w:val="6762AAA0"/>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C07A2B"/>
    <w:multiLevelType w:val="multilevel"/>
    <w:tmpl w:val="35A2EA30"/>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3B28F4"/>
    <w:multiLevelType w:val="hybridMultilevel"/>
    <w:tmpl w:val="5082DB0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D2C5933"/>
    <w:multiLevelType w:val="hybridMultilevel"/>
    <w:tmpl w:val="62C24AD8"/>
    <w:lvl w:ilvl="0" w:tplc="F1AE58F8">
      <w:numFmt w:val="bullet"/>
      <w:lvlText w:val="•"/>
      <w:lvlJc w:val="left"/>
      <w:pPr>
        <w:ind w:left="360" w:hanging="360"/>
      </w:pPr>
      <w:rPr>
        <w:rFonts w:hint="default"/>
        <w:w w:val="100"/>
        <w:sz w:val="20"/>
        <w:szCs w:val="22"/>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4F1653D5"/>
    <w:multiLevelType w:val="multilevel"/>
    <w:tmpl w:val="9D9E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F4084"/>
    <w:multiLevelType w:val="multilevel"/>
    <w:tmpl w:val="B0C4C460"/>
    <w:lvl w:ilvl="0">
      <w:start w:val="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3692735"/>
    <w:multiLevelType w:val="hybridMultilevel"/>
    <w:tmpl w:val="8A14B8CC"/>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35" w15:restartNumberingAfterBreak="0">
    <w:nsid w:val="55C068CE"/>
    <w:multiLevelType w:val="hybridMultilevel"/>
    <w:tmpl w:val="D4D0E0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8476D5F"/>
    <w:multiLevelType w:val="hybridMultilevel"/>
    <w:tmpl w:val="35F8F0A2"/>
    <w:lvl w:ilvl="0" w:tplc="2AF0B122">
      <w:numFmt w:val="bullet"/>
      <w:lvlText w:val=""/>
      <w:lvlJc w:val="left"/>
      <w:pPr>
        <w:ind w:left="427" w:hanging="318"/>
      </w:pPr>
      <w:rPr>
        <w:rFonts w:ascii="Symbol" w:eastAsia="Symbol" w:hAnsi="Symbol" w:cs="Symbol" w:hint="default"/>
        <w:w w:val="100"/>
        <w:sz w:val="22"/>
        <w:szCs w:val="22"/>
        <w:lang w:val="de-DE" w:eastAsia="de-DE" w:bidi="de-DE"/>
      </w:rPr>
    </w:lvl>
    <w:lvl w:ilvl="1" w:tplc="038A0198">
      <w:numFmt w:val="bullet"/>
      <w:lvlText w:val="•"/>
      <w:lvlJc w:val="left"/>
      <w:pPr>
        <w:ind w:left="1102" w:hanging="318"/>
      </w:pPr>
      <w:rPr>
        <w:rFonts w:hint="default"/>
        <w:lang w:val="de-DE" w:eastAsia="de-DE" w:bidi="de-DE"/>
      </w:rPr>
    </w:lvl>
    <w:lvl w:ilvl="2" w:tplc="6688D5AC">
      <w:numFmt w:val="bullet"/>
      <w:lvlText w:val="•"/>
      <w:lvlJc w:val="left"/>
      <w:pPr>
        <w:ind w:left="1785" w:hanging="318"/>
      </w:pPr>
      <w:rPr>
        <w:rFonts w:hint="default"/>
        <w:lang w:val="de-DE" w:eastAsia="de-DE" w:bidi="de-DE"/>
      </w:rPr>
    </w:lvl>
    <w:lvl w:ilvl="3" w:tplc="E4DEAB7A">
      <w:numFmt w:val="bullet"/>
      <w:lvlText w:val="•"/>
      <w:lvlJc w:val="left"/>
      <w:pPr>
        <w:ind w:left="2468" w:hanging="318"/>
      </w:pPr>
      <w:rPr>
        <w:rFonts w:hint="default"/>
        <w:lang w:val="de-DE" w:eastAsia="de-DE" w:bidi="de-DE"/>
      </w:rPr>
    </w:lvl>
    <w:lvl w:ilvl="4" w:tplc="0742E9A6">
      <w:numFmt w:val="bullet"/>
      <w:lvlText w:val="•"/>
      <w:lvlJc w:val="left"/>
      <w:pPr>
        <w:ind w:left="3150" w:hanging="318"/>
      </w:pPr>
      <w:rPr>
        <w:rFonts w:hint="default"/>
        <w:lang w:val="de-DE" w:eastAsia="de-DE" w:bidi="de-DE"/>
      </w:rPr>
    </w:lvl>
    <w:lvl w:ilvl="5" w:tplc="09068256">
      <w:numFmt w:val="bullet"/>
      <w:lvlText w:val="•"/>
      <w:lvlJc w:val="left"/>
      <w:pPr>
        <w:ind w:left="3833" w:hanging="318"/>
      </w:pPr>
      <w:rPr>
        <w:rFonts w:hint="default"/>
        <w:lang w:val="de-DE" w:eastAsia="de-DE" w:bidi="de-DE"/>
      </w:rPr>
    </w:lvl>
    <w:lvl w:ilvl="6" w:tplc="95042634">
      <w:numFmt w:val="bullet"/>
      <w:lvlText w:val="•"/>
      <w:lvlJc w:val="left"/>
      <w:pPr>
        <w:ind w:left="4516" w:hanging="318"/>
      </w:pPr>
      <w:rPr>
        <w:rFonts w:hint="default"/>
        <w:lang w:val="de-DE" w:eastAsia="de-DE" w:bidi="de-DE"/>
      </w:rPr>
    </w:lvl>
    <w:lvl w:ilvl="7" w:tplc="FA48308E">
      <w:numFmt w:val="bullet"/>
      <w:lvlText w:val="•"/>
      <w:lvlJc w:val="left"/>
      <w:pPr>
        <w:ind w:left="5198" w:hanging="318"/>
      </w:pPr>
      <w:rPr>
        <w:rFonts w:hint="default"/>
        <w:lang w:val="de-DE" w:eastAsia="de-DE" w:bidi="de-DE"/>
      </w:rPr>
    </w:lvl>
    <w:lvl w:ilvl="8" w:tplc="0A920204">
      <w:numFmt w:val="bullet"/>
      <w:lvlText w:val="•"/>
      <w:lvlJc w:val="left"/>
      <w:pPr>
        <w:ind w:left="5881" w:hanging="318"/>
      </w:pPr>
      <w:rPr>
        <w:rFonts w:hint="default"/>
        <w:lang w:val="de-DE" w:eastAsia="de-DE" w:bidi="de-DE"/>
      </w:rPr>
    </w:lvl>
  </w:abstractNum>
  <w:abstractNum w:abstractNumId="37" w15:restartNumberingAfterBreak="0">
    <w:nsid w:val="595F5C18"/>
    <w:multiLevelType w:val="multilevel"/>
    <w:tmpl w:val="C054EE88"/>
    <w:lvl w:ilvl="0">
      <w:start w:val="1"/>
      <w:numFmt w:val="decimal"/>
      <w:lvlText w:val="%1"/>
      <w:lvlJc w:val="left"/>
      <w:pPr>
        <w:ind w:left="660" w:hanging="660"/>
      </w:pPr>
      <w:rPr>
        <w:rFonts w:asciiTheme="minorHAnsi" w:hAnsiTheme="minorHAnsi" w:cstheme="minorHAnsi" w:hint="default"/>
        <w:sz w:val="22"/>
        <w:szCs w:val="22"/>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1453DC"/>
    <w:multiLevelType w:val="hybridMultilevel"/>
    <w:tmpl w:val="E8B28E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5C363A89"/>
    <w:multiLevelType w:val="hybridMultilevel"/>
    <w:tmpl w:val="C4AA5BE2"/>
    <w:lvl w:ilvl="0" w:tplc="F1AE58F8">
      <w:numFmt w:val="bullet"/>
      <w:lvlText w:val="•"/>
      <w:lvlJc w:val="left"/>
      <w:pPr>
        <w:ind w:left="720" w:hanging="360"/>
      </w:pPr>
      <w:rPr>
        <w:rFonts w:hint="default"/>
        <w:w w:val="100"/>
        <w:sz w:val="20"/>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5F1D1FCC"/>
    <w:multiLevelType w:val="multilevel"/>
    <w:tmpl w:val="7B76D09C"/>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0A379F"/>
    <w:multiLevelType w:val="hybridMultilevel"/>
    <w:tmpl w:val="1E2E501E"/>
    <w:lvl w:ilvl="0" w:tplc="F1AE58F8">
      <w:numFmt w:val="bullet"/>
      <w:lvlText w:val="•"/>
      <w:lvlJc w:val="left"/>
      <w:pPr>
        <w:ind w:left="360" w:hanging="360"/>
      </w:pPr>
      <w:rPr>
        <w:rFonts w:hint="default"/>
        <w:w w:val="100"/>
        <w:sz w:val="20"/>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652C14C8"/>
    <w:multiLevelType w:val="hybridMultilevel"/>
    <w:tmpl w:val="DEB2FA32"/>
    <w:lvl w:ilvl="0" w:tplc="04070001">
      <w:start w:val="1"/>
      <w:numFmt w:val="bullet"/>
      <w:lvlText w:val=""/>
      <w:lvlJc w:val="left"/>
      <w:pPr>
        <w:ind w:left="515" w:hanging="360"/>
      </w:pPr>
      <w:rPr>
        <w:rFonts w:ascii="Symbol" w:hAnsi="Symbol" w:hint="default"/>
      </w:rPr>
    </w:lvl>
    <w:lvl w:ilvl="1" w:tplc="0C070003">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43" w15:restartNumberingAfterBreak="0">
    <w:nsid w:val="6A947798"/>
    <w:multiLevelType w:val="hybridMultilevel"/>
    <w:tmpl w:val="86B4259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6BC65FFA"/>
    <w:multiLevelType w:val="hybridMultilevel"/>
    <w:tmpl w:val="892498F0"/>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45" w15:restartNumberingAfterBreak="0">
    <w:nsid w:val="6EF217E5"/>
    <w:multiLevelType w:val="hybridMultilevel"/>
    <w:tmpl w:val="B5561698"/>
    <w:lvl w:ilvl="0" w:tplc="0C070001">
      <w:start w:val="1"/>
      <w:numFmt w:val="bullet"/>
      <w:lvlText w:val=""/>
      <w:lvlJc w:val="left"/>
      <w:pPr>
        <w:ind w:left="643" w:hanging="360"/>
      </w:pPr>
      <w:rPr>
        <w:rFonts w:ascii="Symbol" w:hAnsi="Symbol" w:hint="default"/>
      </w:rPr>
    </w:lvl>
    <w:lvl w:ilvl="1" w:tplc="0C070003" w:tentative="1">
      <w:start w:val="1"/>
      <w:numFmt w:val="bullet"/>
      <w:lvlText w:val="o"/>
      <w:lvlJc w:val="left"/>
      <w:pPr>
        <w:ind w:left="1363" w:hanging="360"/>
      </w:pPr>
      <w:rPr>
        <w:rFonts w:ascii="Courier New" w:hAnsi="Courier New" w:cs="Courier New" w:hint="default"/>
      </w:rPr>
    </w:lvl>
    <w:lvl w:ilvl="2" w:tplc="0C070005" w:tentative="1">
      <w:start w:val="1"/>
      <w:numFmt w:val="bullet"/>
      <w:lvlText w:val=""/>
      <w:lvlJc w:val="left"/>
      <w:pPr>
        <w:ind w:left="2083" w:hanging="360"/>
      </w:pPr>
      <w:rPr>
        <w:rFonts w:ascii="Wingdings" w:hAnsi="Wingdings" w:hint="default"/>
      </w:rPr>
    </w:lvl>
    <w:lvl w:ilvl="3" w:tplc="0C070001" w:tentative="1">
      <w:start w:val="1"/>
      <w:numFmt w:val="bullet"/>
      <w:lvlText w:val=""/>
      <w:lvlJc w:val="left"/>
      <w:pPr>
        <w:ind w:left="2803" w:hanging="360"/>
      </w:pPr>
      <w:rPr>
        <w:rFonts w:ascii="Symbol" w:hAnsi="Symbol" w:hint="default"/>
      </w:rPr>
    </w:lvl>
    <w:lvl w:ilvl="4" w:tplc="0C070003" w:tentative="1">
      <w:start w:val="1"/>
      <w:numFmt w:val="bullet"/>
      <w:lvlText w:val="o"/>
      <w:lvlJc w:val="left"/>
      <w:pPr>
        <w:ind w:left="3523" w:hanging="360"/>
      </w:pPr>
      <w:rPr>
        <w:rFonts w:ascii="Courier New" w:hAnsi="Courier New" w:cs="Courier New" w:hint="default"/>
      </w:rPr>
    </w:lvl>
    <w:lvl w:ilvl="5" w:tplc="0C070005" w:tentative="1">
      <w:start w:val="1"/>
      <w:numFmt w:val="bullet"/>
      <w:lvlText w:val=""/>
      <w:lvlJc w:val="left"/>
      <w:pPr>
        <w:ind w:left="4243" w:hanging="360"/>
      </w:pPr>
      <w:rPr>
        <w:rFonts w:ascii="Wingdings" w:hAnsi="Wingdings" w:hint="default"/>
      </w:rPr>
    </w:lvl>
    <w:lvl w:ilvl="6" w:tplc="0C070001" w:tentative="1">
      <w:start w:val="1"/>
      <w:numFmt w:val="bullet"/>
      <w:lvlText w:val=""/>
      <w:lvlJc w:val="left"/>
      <w:pPr>
        <w:ind w:left="4963" w:hanging="360"/>
      </w:pPr>
      <w:rPr>
        <w:rFonts w:ascii="Symbol" w:hAnsi="Symbol" w:hint="default"/>
      </w:rPr>
    </w:lvl>
    <w:lvl w:ilvl="7" w:tplc="0C070003" w:tentative="1">
      <w:start w:val="1"/>
      <w:numFmt w:val="bullet"/>
      <w:lvlText w:val="o"/>
      <w:lvlJc w:val="left"/>
      <w:pPr>
        <w:ind w:left="5683" w:hanging="360"/>
      </w:pPr>
      <w:rPr>
        <w:rFonts w:ascii="Courier New" w:hAnsi="Courier New" w:cs="Courier New" w:hint="default"/>
      </w:rPr>
    </w:lvl>
    <w:lvl w:ilvl="8" w:tplc="0C070005" w:tentative="1">
      <w:start w:val="1"/>
      <w:numFmt w:val="bullet"/>
      <w:lvlText w:val=""/>
      <w:lvlJc w:val="left"/>
      <w:pPr>
        <w:ind w:left="6403" w:hanging="360"/>
      </w:pPr>
      <w:rPr>
        <w:rFonts w:ascii="Wingdings" w:hAnsi="Wingdings" w:hint="default"/>
      </w:rPr>
    </w:lvl>
  </w:abstractNum>
  <w:abstractNum w:abstractNumId="46" w15:restartNumberingAfterBreak="0">
    <w:nsid w:val="6FF32034"/>
    <w:multiLevelType w:val="hybridMultilevel"/>
    <w:tmpl w:val="29D2B9CA"/>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235" w:hanging="360"/>
      </w:pPr>
      <w:rPr>
        <w:rFonts w:ascii="Courier New" w:hAnsi="Courier New" w:cs="Courier New" w:hint="default"/>
      </w:rPr>
    </w:lvl>
    <w:lvl w:ilvl="2" w:tplc="0C070005" w:tentative="1">
      <w:start w:val="1"/>
      <w:numFmt w:val="bullet"/>
      <w:lvlText w:val=""/>
      <w:lvlJc w:val="left"/>
      <w:pPr>
        <w:ind w:left="1955" w:hanging="360"/>
      </w:pPr>
      <w:rPr>
        <w:rFonts w:ascii="Wingdings" w:hAnsi="Wingdings" w:hint="default"/>
      </w:rPr>
    </w:lvl>
    <w:lvl w:ilvl="3" w:tplc="0C070001" w:tentative="1">
      <w:start w:val="1"/>
      <w:numFmt w:val="bullet"/>
      <w:lvlText w:val=""/>
      <w:lvlJc w:val="left"/>
      <w:pPr>
        <w:ind w:left="2675" w:hanging="360"/>
      </w:pPr>
      <w:rPr>
        <w:rFonts w:ascii="Symbol" w:hAnsi="Symbol" w:hint="default"/>
      </w:rPr>
    </w:lvl>
    <w:lvl w:ilvl="4" w:tplc="0C070003" w:tentative="1">
      <w:start w:val="1"/>
      <w:numFmt w:val="bullet"/>
      <w:lvlText w:val="o"/>
      <w:lvlJc w:val="left"/>
      <w:pPr>
        <w:ind w:left="3395" w:hanging="360"/>
      </w:pPr>
      <w:rPr>
        <w:rFonts w:ascii="Courier New" w:hAnsi="Courier New" w:cs="Courier New" w:hint="default"/>
      </w:rPr>
    </w:lvl>
    <w:lvl w:ilvl="5" w:tplc="0C070005" w:tentative="1">
      <w:start w:val="1"/>
      <w:numFmt w:val="bullet"/>
      <w:lvlText w:val=""/>
      <w:lvlJc w:val="left"/>
      <w:pPr>
        <w:ind w:left="4115" w:hanging="360"/>
      </w:pPr>
      <w:rPr>
        <w:rFonts w:ascii="Wingdings" w:hAnsi="Wingdings" w:hint="default"/>
      </w:rPr>
    </w:lvl>
    <w:lvl w:ilvl="6" w:tplc="0C070001" w:tentative="1">
      <w:start w:val="1"/>
      <w:numFmt w:val="bullet"/>
      <w:lvlText w:val=""/>
      <w:lvlJc w:val="left"/>
      <w:pPr>
        <w:ind w:left="4835" w:hanging="360"/>
      </w:pPr>
      <w:rPr>
        <w:rFonts w:ascii="Symbol" w:hAnsi="Symbol" w:hint="default"/>
      </w:rPr>
    </w:lvl>
    <w:lvl w:ilvl="7" w:tplc="0C070003" w:tentative="1">
      <w:start w:val="1"/>
      <w:numFmt w:val="bullet"/>
      <w:lvlText w:val="o"/>
      <w:lvlJc w:val="left"/>
      <w:pPr>
        <w:ind w:left="5555" w:hanging="360"/>
      </w:pPr>
      <w:rPr>
        <w:rFonts w:ascii="Courier New" w:hAnsi="Courier New" w:cs="Courier New" w:hint="default"/>
      </w:rPr>
    </w:lvl>
    <w:lvl w:ilvl="8" w:tplc="0C070005" w:tentative="1">
      <w:start w:val="1"/>
      <w:numFmt w:val="bullet"/>
      <w:lvlText w:val=""/>
      <w:lvlJc w:val="left"/>
      <w:pPr>
        <w:ind w:left="6275" w:hanging="360"/>
      </w:pPr>
      <w:rPr>
        <w:rFonts w:ascii="Wingdings" w:hAnsi="Wingdings" w:hint="default"/>
      </w:rPr>
    </w:lvl>
  </w:abstractNum>
  <w:abstractNum w:abstractNumId="47" w15:restartNumberingAfterBreak="0">
    <w:nsid w:val="74692EAA"/>
    <w:multiLevelType w:val="hybridMultilevel"/>
    <w:tmpl w:val="D0D069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40"/>
  </w:num>
  <w:num w:numId="3">
    <w:abstractNumId w:val="19"/>
  </w:num>
  <w:num w:numId="4">
    <w:abstractNumId w:val="22"/>
  </w:num>
  <w:num w:numId="5">
    <w:abstractNumId w:val="17"/>
  </w:num>
  <w:num w:numId="6">
    <w:abstractNumId w:val="2"/>
  </w:num>
  <w:num w:numId="7">
    <w:abstractNumId w:val="30"/>
  </w:num>
  <w:num w:numId="8">
    <w:abstractNumId w:val="23"/>
  </w:num>
  <w:num w:numId="9">
    <w:abstractNumId w:val="3"/>
  </w:num>
  <w:num w:numId="10">
    <w:abstractNumId w:val="41"/>
  </w:num>
  <w:num w:numId="11">
    <w:abstractNumId w:val="31"/>
  </w:num>
  <w:num w:numId="12">
    <w:abstractNumId w:val="4"/>
  </w:num>
  <w:num w:numId="13">
    <w:abstractNumId w:val="35"/>
  </w:num>
  <w:num w:numId="14">
    <w:abstractNumId w:val="28"/>
  </w:num>
  <w:num w:numId="15">
    <w:abstractNumId w:val="34"/>
  </w:num>
  <w:num w:numId="16">
    <w:abstractNumId w:val="47"/>
  </w:num>
  <w:num w:numId="17">
    <w:abstractNumId w:val="44"/>
  </w:num>
  <w:num w:numId="18">
    <w:abstractNumId w:val="42"/>
  </w:num>
  <w:num w:numId="19">
    <w:abstractNumId w:val="38"/>
  </w:num>
  <w:num w:numId="20">
    <w:abstractNumId w:val="46"/>
  </w:num>
  <w:num w:numId="21">
    <w:abstractNumId w:val="15"/>
  </w:num>
  <w:num w:numId="22">
    <w:abstractNumId w:val="24"/>
  </w:num>
  <w:num w:numId="23">
    <w:abstractNumId w:val="7"/>
  </w:num>
  <w:num w:numId="24">
    <w:abstractNumId w:val="36"/>
  </w:num>
  <w:num w:numId="25">
    <w:abstractNumId w:val="43"/>
  </w:num>
  <w:num w:numId="26">
    <w:abstractNumId w:val="6"/>
  </w:num>
  <w:num w:numId="27">
    <w:abstractNumId w:val="9"/>
  </w:num>
  <w:num w:numId="28">
    <w:abstractNumId w:val="8"/>
  </w:num>
  <w:num w:numId="29">
    <w:abstractNumId w:val="25"/>
  </w:num>
  <w:num w:numId="30">
    <w:abstractNumId w:val="0"/>
  </w:num>
  <w:num w:numId="31">
    <w:abstractNumId w:val="20"/>
  </w:num>
  <w:num w:numId="32">
    <w:abstractNumId w:val="13"/>
  </w:num>
  <w:num w:numId="33">
    <w:abstractNumId w:val="45"/>
  </w:num>
  <w:num w:numId="34">
    <w:abstractNumId w:val="11"/>
  </w:num>
  <w:num w:numId="35">
    <w:abstractNumId w:val="26"/>
  </w:num>
  <w:num w:numId="36">
    <w:abstractNumId w:val="1"/>
  </w:num>
  <w:num w:numId="37">
    <w:abstractNumId w:val="16"/>
  </w:num>
  <w:num w:numId="38">
    <w:abstractNumId w:val="18"/>
  </w:num>
  <w:num w:numId="39">
    <w:abstractNumId w:val="37"/>
  </w:num>
  <w:num w:numId="40">
    <w:abstractNumId w:val="14"/>
  </w:num>
  <w:num w:numId="41">
    <w:abstractNumId w:val="12"/>
  </w:num>
  <w:num w:numId="42">
    <w:abstractNumId w:val="29"/>
  </w:num>
  <w:num w:numId="43">
    <w:abstractNumId w:val="33"/>
  </w:num>
  <w:num w:numId="44">
    <w:abstractNumId w:val="40"/>
  </w:num>
  <w:num w:numId="45">
    <w:abstractNumId w:val="40"/>
  </w:num>
  <w:num w:numId="46">
    <w:abstractNumId w:val="39"/>
  </w:num>
  <w:num w:numId="47">
    <w:abstractNumId w:val="21"/>
  </w:num>
  <w:num w:numId="48">
    <w:abstractNumId w:val="5"/>
  </w:num>
  <w:num w:numId="49">
    <w:abstractNumId w:val="32"/>
  </w:num>
  <w:num w:numId="50">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en-GB"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activeWritingStyle w:appName="MSWord" w:lang="en-US" w:vendorID="64" w:dllVersion="131078" w:nlCheck="1" w:checkStyle="1"/>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128C8"/>
    <w:rsid w:val="0002186C"/>
    <w:rsid w:val="00030D42"/>
    <w:rsid w:val="00045ABC"/>
    <w:rsid w:val="000660ED"/>
    <w:rsid w:val="00085BDC"/>
    <w:rsid w:val="00090105"/>
    <w:rsid w:val="0009476C"/>
    <w:rsid w:val="000A2694"/>
    <w:rsid w:val="000C0C21"/>
    <w:rsid w:val="000C1C85"/>
    <w:rsid w:val="000C7408"/>
    <w:rsid w:val="000D16E4"/>
    <w:rsid w:val="000D177B"/>
    <w:rsid w:val="000D5C01"/>
    <w:rsid w:val="000D6C7F"/>
    <w:rsid w:val="000E3EFA"/>
    <w:rsid w:val="000F2B3C"/>
    <w:rsid w:val="00100F22"/>
    <w:rsid w:val="00111D34"/>
    <w:rsid w:val="00115BB4"/>
    <w:rsid w:val="00122922"/>
    <w:rsid w:val="001258C0"/>
    <w:rsid w:val="00126BCE"/>
    <w:rsid w:val="00137388"/>
    <w:rsid w:val="00140FA9"/>
    <w:rsid w:val="001448E2"/>
    <w:rsid w:val="001573C3"/>
    <w:rsid w:val="001578D1"/>
    <w:rsid w:val="0016488E"/>
    <w:rsid w:val="00170FFF"/>
    <w:rsid w:val="00183CD1"/>
    <w:rsid w:val="001876E7"/>
    <w:rsid w:val="00190B69"/>
    <w:rsid w:val="00195521"/>
    <w:rsid w:val="001A336E"/>
    <w:rsid w:val="001B222A"/>
    <w:rsid w:val="001B2A23"/>
    <w:rsid w:val="001C16B2"/>
    <w:rsid w:val="001D11C7"/>
    <w:rsid w:val="001D34A4"/>
    <w:rsid w:val="001D6330"/>
    <w:rsid w:val="001E1A7A"/>
    <w:rsid w:val="001E1E35"/>
    <w:rsid w:val="001F2BEC"/>
    <w:rsid w:val="00217C51"/>
    <w:rsid w:val="002201ED"/>
    <w:rsid w:val="00227D54"/>
    <w:rsid w:val="00230C08"/>
    <w:rsid w:val="00235318"/>
    <w:rsid w:val="002410A2"/>
    <w:rsid w:val="00241E14"/>
    <w:rsid w:val="00245044"/>
    <w:rsid w:val="00250E53"/>
    <w:rsid w:val="00254461"/>
    <w:rsid w:val="00255AC0"/>
    <w:rsid w:val="00263E1D"/>
    <w:rsid w:val="002659E6"/>
    <w:rsid w:val="002742A5"/>
    <w:rsid w:val="002758C3"/>
    <w:rsid w:val="0029432C"/>
    <w:rsid w:val="002A2023"/>
    <w:rsid w:val="002B6474"/>
    <w:rsid w:val="002C15AA"/>
    <w:rsid w:val="002C1F4E"/>
    <w:rsid w:val="002C7324"/>
    <w:rsid w:val="002D27F9"/>
    <w:rsid w:val="002E3E98"/>
    <w:rsid w:val="002E4DD8"/>
    <w:rsid w:val="002E73AE"/>
    <w:rsid w:val="002E7743"/>
    <w:rsid w:val="002F296D"/>
    <w:rsid w:val="003050D6"/>
    <w:rsid w:val="00313B47"/>
    <w:rsid w:val="00314C9C"/>
    <w:rsid w:val="0031789B"/>
    <w:rsid w:val="00323A59"/>
    <w:rsid w:val="00327D55"/>
    <w:rsid w:val="00330AFE"/>
    <w:rsid w:val="00332A40"/>
    <w:rsid w:val="00341399"/>
    <w:rsid w:val="00354E5E"/>
    <w:rsid w:val="003655E2"/>
    <w:rsid w:val="0037276D"/>
    <w:rsid w:val="00394EC6"/>
    <w:rsid w:val="003A70E3"/>
    <w:rsid w:val="003A772A"/>
    <w:rsid w:val="003C182E"/>
    <w:rsid w:val="003C4308"/>
    <w:rsid w:val="003C6310"/>
    <w:rsid w:val="003D245A"/>
    <w:rsid w:val="003E6B03"/>
    <w:rsid w:val="003E6E42"/>
    <w:rsid w:val="00422DC4"/>
    <w:rsid w:val="004252AA"/>
    <w:rsid w:val="00433362"/>
    <w:rsid w:val="00450568"/>
    <w:rsid w:val="004537B0"/>
    <w:rsid w:val="0045594E"/>
    <w:rsid w:val="00463666"/>
    <w:rsid w:val="0046732A"/>
    <w:rsid w:val="00470F84"/>
    <w:rsid w:val="00480033"/>
    <w:rsid w:val="004856D9"/>
    <w:rsid w:val="00486C3A"/>
    <w:rsid w:val="00491093"/>
    <w:rsid w:val="0049282D"/>
    <w:rsid w:val="0049768A"/>
    <w:rsid w:val="004A6C36"/>
    <w:rsid w:val="004B2361"/>
    <w:rsid w:val="004D5CA7"/>
    <w:rsid w:val="004D7B99"/>
    <w:rsid w:val="004F0D6D"/>
    <w:rsid w:val="004F5A61"/>
    <w:rsid w:val="00512312"/>
    <w:rsid w:val="005163F4"/>
    <w:rsid w:val="00516467"/>
    <w:rsid w:val="00520E37"/>
    <w:rsid w:val="00522FFB"/>
    <w:rsid w:val="00524A45"/>
    <w:rsid w:val="00532C50"/>
    <w:rsid w:val="005341C2"/>
    <w:rsid w:val="00534643"/>
    <w:rsid w:val="00545067"/>
    <w:rsid w:val="00563022"/>
    <w:rsid w:val="005716B3"/>
    <w:rsid w:val="005754D0"/>
    <w:rsid w:val="005847E4"/>
    <w:rsid w:val="005915C3"/>
    <w:rsid w:val="00592BA2"/>
    <w:rsid w:val="00595E61"/>
    <w:rsid w:val="005973BD"/>
    <w:rsid w:val="005A3EDD"/>
    <w:rsid w:val="005C2135"/>
    <w:rsid w:val="005C5568"/>
    <w:rsid w:val="005D23B9"/>
    <w:rsid w:val="005D5403"/>
    <w:rsid w:val="005E0058"/>
    <w:rsid w:val="005E59C5"/>
    <w:rsid w:val="005F00D9"/>
    <w:rsid w:val="005F3443"/>
    <w:rsid w:val="005F528B"/>
    <w:rsid w:val="006013B3"/>
    <w:rsid w:val="00601C83"/>
    <w:rsid w:val="0062318C"/>
    <w:rsid w:val="00632D4B"/>
    <w:rsid w:val="00636CDE"/>
    <w:rsid w:val="0064012B"/>
    <w:rsid w:val="006407F4"/>
    <w:rsid w:val="0064398F"/>
    <w:rsid w:val="00643FFE"/>
    <w:rsid w:val="00664109"/>
    <w:rsid w:val="00670B44"/>
    <w:rsid w:val="0067150E"/>
    <w:rsid w:val="00671A8B"/>
    <w:rsid w:val="00672A00"/>
    <w:rsid w:val="006A0570"/>
    <w:rsid w:val="006A5DF9"/>
    <w:rsid w:val="006B1652"/>
    <w:rsid w:val="006C5EB4"/>
    <w:rsid w:val="006D2297"/>
    <w:rsid w:val="006D2777"/>
    <w:rsid w:val="006D4DAC"/>
    <w:rsid w:val="006D6C87"/>
    <w:rsid w:val="00701184"/>
    <w:rsid w:val="007067AC"/>
    <w:rsid w:val="007132F1"/>
    <w:rsid w:val="00713504"/>
    <w:rsid w:val="007153C6"/>
    <w:rsid w:val="007172A6"/>
    <w:rsid w:val="00732322"/>
    <w:rsid w:val="00733408"/>
    <w:rsid w:val="00734878"/>
    <w:rsid w:val="00741BF8"/>
    <w:rsid w:val="007473D9"/>
    <w:rsid w:val="00756054"/>
    <w:rsid w:val="00762895"/>
    <w:rsid w:val="00784585"/>
    <w:rsid w:val="00793157"/>
    <w:rsid w:val="00794700"/>
    <w:rsid w:val="007B6484"/>
    <w:rsid w:val="007C18C9"/>
    <w:rsid w:val="007C1D08"/>
    <w:rsid w:val="007F0A54"/>
    <w:rsid w:val="007F3064"/>
    <w:rsid w:val="00800B21"/>
    <w:rsid w:val="00822E59"/>
    <w:rsid w:val="00825CB1"/>
    <w:rsid w:val="00836EC1"/>
    <w:rsid w:val="00837FDE"/>
    <w:rsid w:val="00844FD0"/>
    <w:rsid w:val="008456E6"/>
    <w:rsid w:val="008544D2"/>
    <w:rsid w:val="00856B87"/>
    <w:rsid w:val="00864E4B"/>
    <w:rsid w:val="00877045"/>
    <w:rsid w:val="008772E0"/>
    <w:rsid w:val="008775DC"/>
    <w:rsid w:val="00880B3B"/>
    <w:rsid w:val="0088119E"/>
    <w:rsid w:val="00895341"/>
    <w:rsid w:val="008A1E23"/>
    <w:rsid w:val="008A3694"/>
    <w:rsid w:val="008A7324"/>
    <w:rsid w:val="008B2595"/>
    <w:rsid w:val="008B2917"/>
    <w:rsid w:val="008C3804"/>
    <w:rsid w:val="008E2288"/>
    <w:rsid w:val="008E2521"/>
    <w:rsid w:val="008F3C62"/>
    <w:rsid w:val="008F4D5E"/>
    <w:rsid w:val="00900461"/>
    <w:rsid w:val="00905C5A"/>
    <w:rsid w:val="00913D1D"/>
    <w:rsid w:val="009229DF"/>
    <w:rsid w:val="00932ADE"/>
    <w:rsid w:val="00933BCB"/>
    <w:rsid w:val="00934CFE"/>
    <w:rsid w:val="009438C6"/>
    <w:rsid w:val="00945E91"/>
    <w:rsid w:val="0095092F"/>
    <w:rsid w:val="00951BE2"/>
    <w:rsid w:val="00954004"/>
    <w:rsid w:val="0095612D"/>
    <w:rsid w:val="0096742E"/>
    <w:rsid w:val="009730E0"/>
    <w:rsid w:val="00985C80"/>
    <w:rsid w:val="0099254E"/>
    <w:rsid w:val="009952D0"/>
    <w:rsid w:val="00996D15"/>
    <w:rsid w:val="009A01D6"/>
    <w:rsid w:val="009B5C04"/>
    <w:rsid w:val="009C1F85"/>
    <w:rsid w:val="009C39DC"/>
    <w:rsid w:val="009C41D2"/>
    <w:rsid w:val="009C5890"/>
    <w:rsid w:val="009D73E9"/>
    <w:rsid w:val="00A00776"/>
    <w:rsid w:val="00A13BB5"/>
    <w:rsid w:val="00A21498"/>
    <w:rsid w:val="00A24E96"/>
    <w:rsid w:val="00A33E5B"/>
    <w:rsid w:val="00A34AB1"/>
    <w:rsid w:val="00A41523"/>
    <w:rsid w:val="00A41F9F"/>
    <w:rsid w:val="00A6435E"/>
    <w:rsid w:val="00A76551"/>
    <w:rsid w:val="00A80247"/>
    <w:rsid w:val="00AA0D47"/>
    <w:rsid w:val="00AA0F0C"/>
    <w:rsid w:val="00AA5041"/>
    <w:rsid w:val="00AA7B86"/>
    <w:rsid w:val="00AB010D"/>
    <w:rsid w:val="00AB20C4"/>
    <w:rsid w:val="00AB30E4"/>
    <w:rsid w:val="00AC7335"/>
    <w:rsid w:val="00AD1B8D"/>
    <w:rsid w:val="00B00C98"/>
    <w:rsid w:val="00B0221C"/>
    <w:rsid w:val="00B1497F"/>
    <w:rsid w:val="00B200BB"/>
    <w:rsid w:val="00B558AF"/>
    <w:rsid w:val="00B63247"/>
    <w:rsid w:val="00B6342E"/>
    <w:rsid w:val="00B66DB3"/>
    <w:rsid w:val="00B747D1"/>
    <w:rsid w:val="00B76073"/>
    <w:rsid w:val="00B76C7B"/>
    <w:rsid w:val="00B80CD1"/>
    <w:rsid w:val="00B96F18"/>
    <w:rsid w:val="00BA6342"/>
    <w:rsid w:val="00BA6854"/>
    <w:rsid w:val="00BB0871"/>
    <w:rsid w:val="00BB2D1D"/>
    <w:rsid w:val="00BC1242"/>
    <w:rsid w:val="00BD259B"/>
    <w:rsid w:val="00BD2FE2"/>
    <w:rsid w:val="00C02676"/>
    <w:rsid w:val="00C122D6"/>
    <w:rsid w:val="00C12E87"/>
    <w:rsid w:val="00C206CC"/>
    <w:rsid w:val="00C21AC1"/>
    <w:rsid w:val="00C26F7E"/>
    <w:rsid w:val="00C43598"/>
    <w:rsid w:val="00C46AF6"/>
    <w:rsid w:val="00C47A83"/>
    <w:rsid w:val="00C529CA"/>
    <w:rsid w:val="00C55D81"/>
    <w:rsid w:val="00C709F4"/>
    <w:rsid w:val="00C70A80"/>
    <w:rsid w:val="00C7301A"/>
    <w:rsid w:val="00C758E7"/>
    <w:rsid w:val="00C80423"/>
    <w:rsid w:val="00C81BA8"/>
    <w:rsid w:val="00C86F05"/>
    <w:rsid w:val="00C90FB9"/>
    <w:rsid w:val="00C9205D"/>
    <w:rsid w:val="00CA5AAA"/>
    <w:rsid w:val="00CA75DF"/>
    <w:rsid w:val="00CD6389"/>
    <w:rsid w:val="00CE05A3"/>
    <w:rsid w:val="00CE09EE"/>
    <w:rsid w:val="00CE5448"/>
    <w:rsid w:val="00CE59DE"/>
    <w:rsid w:val="00CF0EFD"/>
    <w:rsid w:val="00CF3031"/>
    <w:rsid w:val="00D02334"/>
    <w:rsid w:val="00D03B7B"/>
    <w:rsid w:val="00D11A8E"/>
    <w:rsid w:val="00D21C29"/>
    <w:rsid w:val="00D41337"/>
    <w:rsid w:val="00D43CBD"/>
    <w:rsid w:val="00D441D3"/>
    <w:rsid w:val="00D570ED"/>
    <w:rsid w:val="00D57F20"/>
    <w:rsid w:val="00D60E5E"/>
    <w:rsid w:val="00D777C4"/>
    <w:rsid w:val="00D8394C"/>
    <w:rsid w:val="00D85B76"/>
    <w:rsid w:val="00D9135B"/>
    <w:rsid w:val="00D923DA"/>
    <w:rsid w:val="00D94659"/>
    <w:rsid w:val="00D960A9"/>
    <w:rsid w:val="00D97058"/>
    <w:rsid w:val="00DA3DB0"/>
    <w:rsid w:val="00DA784B"/>
    <w:rsid w:val="00DB23B1"/>
    <w:rsid w:val="00DB3EB6"/>
    <w:rsid w:val="00DB67BC"/>
    <w:rsid w:val="00DB70CB"/>
    <w:rsid w:val="00DC65EB"/>
    <w:rsid w:val="00DC7340"/>
    <w:rsid w:val="00DD7B03"/>
    <w:rsid w:val="00DE5804"/>
    <w:rsid w:val="00DF249D"/>
    <w:rsid w:val="00DF62C6"/>
    <w:rsid w:val="00E021C2"/>
    <w:rsid w:val="00E036CC"/>
    <w:rsid w:val="00E12F9B"/>
    <w:rsid w:val="00E344D4"/>
    <w:rsid w:val="00E4054E"/>
    <w:rsid w:val="00E43A76"/>
    <w:rsid w:val="00E475D2"/>
    <w:rsid w:val="00E54D0E"/>
    <w:rsid w:val="00E55456"/>
    <w:rsid w:val="00E62529"/>
    <w:rsid w:val="00E62655"/>
    <w:rsid w:val="00E63272"/>
    <w:rsid w:val="00E67988"/>
    <w:rsid w:val="00E76068"/>
    <w:rsid w:val="00E90D86"/>
    <w:rsid w:val="00EB0F6F"/>
    <w:rsid w:val="00ED1117"/>
    <w:rsid w:val="00ED24ED"/>
    <w:rsid w:val="00EF0F48"/>
    <w:rsid w:val="00EF46F8"/>
    <w:rsid w:val="00F2483C"/>
    <w:rsid w:val="00F31FAD"/>
    <w:rsid w:val="00F3386D"/>
    <w:rsid w:val="00F443D5"/>
    <w:rsid w:val="00F54D35"/>
    <w:rsid w:val="00F55814"/>
    <w:rsid w:val="00F55B3C"/>
    <w:rsid w:val="00F70285"/>
    <w:rsid w:val="00F7193C"/>
    <w:rsid w:val="00F72AC8"/>
    <w:rsid w:val="00F73C57"/>
    <w:rsid w:val="00F74762"/>
    <w:rsid w:val="00F74E28"/>
    <w:rsid w:val="00F75C7C"/>
    <w:rsid w:val="00FA0941"/>
    <w:rsid w:val="00FA5241"/>
    <w:rsid w:val="00FB5F73"/>
    <w:rsid w:val="00FC64BB"/>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89EB18"/>
  <w15:docId w15:val="{EDA12AD2-4DEE-489B-8AEB-65EAB536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5754D0"/>
    <w:pPr>
      <w:keepNext/>
      <w:spacing w:before="240" w:after="60" w:line="276" w:lineRule="auto"/>
      <w:jc w:val="both"/>
      <w:outlineLvl w:val="1"/>
    </w:pPr>
    <w:rPr>
      <w:rFonts w:cs="Arial"/>
      <w:b/>
      <w:bCs/>
      <w:i/>
      <w:iCs/>
      <w:color w:val="000000" w:themeColor="text1"/>
      <w:sz w:val="24"/>
      <w:szCs w:val="24"/>
    </w:rPr>
  </w:style>
  <w:style w:type="paragraph" w:styleId="berschrift3">
    <w:name w:val="heading 3"/>
    <w:basedOn w:val="Standard"/>
    <w:next w:val="Standard"/>
    <w:qFormat/>
    <w:rsid w:val="005754D0"/>
    <w:pPr>
      <w:keepNext/>
      <w:ind w:left="1004" w:hanging="1004"/>
      <w:jc w:val="left"/>
      <w:outlineLvl w:val="2"/>
    </w:pPr>
    <w:rPr>
      <w:b/>
      <w:bCs/>
    </w:rPr>
  </w:style>
  <w:style w:type="paragraph" w:styleId="berschrift4">
    <w:name w:val="heading 4"/>
    <w:basedOn w:val="Standard"/>
    <w:next w:val="Standard"/>
    <w:qFormat/>
    <w:rsid w:val="00450568"/>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customStyle="1" w:styleId="KopfzeileZchn">
    <w:name w:val="Kopfzeile Zchn"/>
    <w:basedOn w:val="Absatz-Standardschriftart"/>
    <w:link w:val="Kopfzeile"/>
    <w:rsid w:val="00512312"/>
    <w:rPr>
      <w:rFonts w:ascii="Arial" w:hAnsi="Arial"/>
      <w:sz w:val="22"/>
      <w:lang w:eastAsia="de-DE"/>
    </w:r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4A6C36"/>
    <w:pPr>
      <w:tabs>
        <w:tab w:val="left" w:pos="284"/>
        <w:tab w:val="right" w:leader="dot" w:pos="9372"/>
      </w:tabs>
      <w:spacing w:line="240" w:lineRule="auto"/>
    </w:pPr>
    <w:rPr>
      <w:rFonts w:asciiTheme="minorHAnsi" w:hAnsiTheme="minorHAnsi" w:cstheme="minorHAnsi"/>
      <w:b/>
      <w:noProof/>
      <w:sz w:val="20"/>
      <w:szCs w:val="18"/>
      <w:lang w:val="de-DE"/>
    </w:rPr>
  </w:style>
  <w:style w:type="paragraph" w:styleId="Listenabsatz">
    <w:name w:val="List Paragraph"/>
    <w:basedOn w:val="Standard"/>
    <w:uiPriority w:val="1"/>
    <w:qFormat/>
    <w:rsid w:val="00913D1D"/>
    <w:pPr>
      <w:ind w:left="720"/>
      <w:contextualSpacing/>
    </w:pPr>
  </w:style>
  <w:style w:type="paragraph" w:styleId="Verzeichnis2">
    <w:name w:val="toc 2"/>
    <w:basedOn w:val="Standard"/>
    <w:next w:val="Standard"/>
    <w:autoRedefine/>
    <w:uiPriority w:val="39"/>
    <w:rsid w:val="004A6C36"/>
    <w:pPr>
      <w:tabs>
        <w:tab w:val="left" w:pos="851"/>
        <w:tab w:val="right" w:leader="dot" w:pos="9372"/>
      </w:tabs>
      <w:spacing w:after="100" w:line="240" w:lineRule="auto"/>
      <w:ind w:left="220" w:firstLine="206"/>
    </w:pPr>
  </w:style>
  <w:style w:type="paragraph" w:styleId="Verzeichnis3">
    <w:name w:val="toc 3"/>
    <w:basedOn w:val="Standard"/>
    <w:next w:val="Standard"/>
    <w:autoRedefine/>
    <w:uiPriority w:val="39"/>
    <w:rsid w:val="00D777C4"/>
    <w:pPr>
      <w:spacing w:after="100"/>
      <w:ind w:left="440"/>
    </w:pPr>
  </w:style>
  <w:style w:type="character" w:customStyle="1" w:styleId="jrnl">
    <w:name w:val="jrnl"/>
    <w:basedOn w:val="Absatz-Standardschriftart"/>
    <w:rsid w:val="009D73E9"/>
  </w:style>
  <w:style w:type="paragraph" w:customStyle="1" w:styleId="text-wrap2">
    <w:name w:val="text-wrap2"/>
    <w:basedOn w:val="Standard"/>
    <w:rsid w:val="0037276D"/>
    <w:pPr>
      <w:spacing w:line="240" w:lineRule="auto"/>
      <w:jc w:val="left"/>
    </w:pPr>
    <w:rPr>
      <w:rFonts w:cs="Arial"/>
      <w:sz w:val="23"/>
      <w:szCs w:val="23"/>
      <w:lang w:val="de-DE"/>
    </w:rPr>
  </w:style>
  <w:style w:type="paragraph" w:styleId="Funotentext">
    <w:name w:val="footnote text"/>
    <w:basedOn w:val="Standard"/>
    <w:link w:val="FunotentextZchn"/>
    <w:unhideWhenUsed/>
    <w:rsid w:val="0037276D"/>
    <w:pPr>
      <w:spacing w:line="240" w:lineRule="auto"/>
    </w:pPr>
    <w:rPr>
      <w:sz w:val="20"/>
    </w:rPr>
  </w:style>
  <w:style w:type="character" w:customStyle="1" w:styleId="FunotentextZchn">
    <w:name w:val="Fußnotentext Zchn"/>
    <w:basedOn w:val="Absatz-Standardschriftart"/>
    <w:link w:val="Funotentext"/>
    <w:rsid w:val="0037276D"/>
    <w:rPr>
      <w:rFonts w:ascii="Arial" w:hAnsi="Arial"/>
      <w:lang w:eastAsia="de-DE"/>
    </w:rPr>
  </w:style>
  <w:style w:type="character" w:styleId="Funotenzeichen">
    <w:name w:val="footnote reference"/>
    <w:basedOn w:val="Absatz-Standardschriftart"/>
    <w:semiHidden/>
    <w:unhideWhenUsed/>
    <w:rsid w:val="0037276D"/>
    <w:rPr>
      <w:vertAlign w:val="superscript"/>
    </w:rPr>
  </w:style>
  <w:style w:type="paragraph" w:styleId="Endnotentext">
    <w:name w:val="endnote text"/>
    <w:basedOn w:val="Standard"/>
    <w:link w:val="EndnotentextZchn"/>
    <w:semiHidden/>
    <w:unhideWhenUsed/>
    <w:rsid w:val="005E59C5"/>
    <w:pPr>
      <w:spacing w:line="240" w:lineRule="auto"/>
    </w:pPr>
    <w:rPr>
      <w:sz w:val="20"/>
    </w:rPr>
  </w:style>
  <w:style w:type="character" w:customStyle="1" w:styleId="EndnotentextZchn">
    <w:name w:val="Endnotentext Zchn"/>
    <w:basedOn w:val="Absatz-Standardschriftart"/>
    <w:link w:val="Endnotentext"/>
    <w:semiHidden/>
    <w:rsid w:val="005E59C5"/>
    <w:rPr>
      <w:rFonts w:ascii="Arial" w:hAnsi="Arial"/>
      <w:lang w:eastAsia="de-DE"/>
    </w:rPr>
  </w:style>
  <w:style w:type="character" w:styleId="Endnotenzeichen">
    <w:name w:val="endnote reference"/>
    <w:basedOn w:val="Absatz-Standardschriftart"/>
    <w:semiHidden/>
    <w:unhideWhenUsed/>
    <w:rsid w:val="005E59C5"/>
    <w:rPr>
      <w:vertAlign w:val="superscript"/>
    </w:rPr>
  </w:style>
  <w:style w:type="character" w:styleId="Fett">
    <w:name w:val="Strong"/>
    <w:basedOn w:val="Absatz-Standardschriftart"/>
    <w:uiPriority w:val="22"/>
    <w:qFormat/>
    <w:rsid w:val="005754D0"/>
    <w:rPr>
      <w:b/>
      <w:bCs/>
    </w:rPr>
  </w:style>
  <w:style w:type="character" w:styleId="Hervorhebung">
    <w:name w:val="Emphasis"/>
    <w:basedOn w:val="Absatz-Standardschriftart"/>
    <w:uiPriority w:val="20"/>
    <w:qFormat/>
    <w:rsid w:val="005754D0"/>
    <w:rPr>
      <w:i/>
      <w:iCs/>
    </w:rPr>
  </w:style>
  <w:style w:type="paragraph" w:styleId="Textkrper">
    <w:name w:val="Body Text"/>
    <w:basedOn w:val="Standard"/>
    <w:link w:val="TextkrperZchn"/>
    <w:unhideWhenUsed/>
    <w:rsid w:val="005754D0"/>
    <w:pPr>
      <w:spacing w:after="120"/>
    </w:pPr>
  </w:style>
  <w:style w:type="character" w:customStyle="1" w:styleId="TextkrperZchn">
    <w:name w:val="Textkörper Zchn"/>
    <w:basedOn w:val="Absatz-Standardschriftart"/>
    <w:link w:val="Textkrper"/>
    <w:rsid w:val="005754D0"/>
    <w:rPr>
      <w:rFonts w:ascii="Arial" w:hAnsi="Arial"/>
      <w:sz w:val="22"/>
      <w:lang w:eastAsia="de-DE"/>
    </w:rPr>
  </w:style>
  <w:style w:type="table" w:customStyle="1" w:styleId="TableNormal1">
    <w:name w:val="Table Normal1"/>
    <w:uiPriority w:val="2"/>
    <w:semiHidden/>
    <w:unhideWhenUsed/>
    <w:qFormat/>
    <w:rsid w:val="005754D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5754D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5754D0"/>
    <w:pPr>
      <w:autoSpaceDE w:val="0"/>
      <w:autoSpaceDN w:val="0"/>
      <w:adjustRightInd w:val="0"/>
    </w:pPr>
    <w:rPr>
      <w:rFonts w:ascii="Wingdings" w:hAnsi="Wingdings" w:cs="Wingdings"/>
      <w:color w:val="000000"/>
      <w:sz w:val="24"/>
      <w:szCs w:val="24"/>
    </w:rPr>
  </w:style>
  <w:style w:type="paragraph" w:customStyle="1" w:styleId="TableParagraph">
    <w:name w:val="Table Paragraph"/>
    <w:basedOn w:val="Standard"/>
    <w:uiPriority w:val="1"/>
    <w:qFormat/>
    <w:rsid w:val="005754D0"/>
    <w:pPr>
      <w:widowControl w:val="0"/>
      <w:autoSpaceDE w:val="0"/>
      <w:autoSpaceDN w:val="0"/>
      <w:spacing w:line="240" w:lineRule="auto"/>
      <w:jc w:val="left"/>
    </w:pPr>
    <w:rPr>
      <w:rFonts w:eastAsia="Arial" w:cs="Arial"/>
      <w:szCs w:val="22"/>
      <w:lang w:val="de-DE" w:bidi="de-DE"/>
    </w:rPr>
  </w:style>
  <w:style w:type="table" w:customStyle="1" w:styleId="TableNormal3">
    <w:name w:val="Table Normal3"/>
    <w:uiPriority w:val="2"/>
    <w:semiHidden/>
    <w:unhideWhenUsed/>
    <w:qFormat/>
    <w:rsid w:val="005754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Kommentartext">
    <w:name w:val="annotation text"/>
    <w:basedOn w:val="Standard"/>
    <w:link w:val="KommentartextZchn"/>
    <w:unhideWhenUsed/>
    <w:rsid w:val="005754D0"/>
    <w:pPr>
      <w:spacing w:line="240" w:lineRule="auto"/>
    </w:pPr>
    <w:rPr>
      <w:sz w:val="20"/>
    </w:rPr>
  </w:style>
  <w:style w:type="character" w:customStyle="1" w:styleId="KommentartextZchn">
    <w:name w:val="Kommentartext Zchn"/>
    <w:basedOn w:val="Absatz-Standardschriftart"/>
    <w:link w:val="Kommentartext"/>
    <w:rsid w:val="005754D0"/>
    <w:rPr>
      <w:rFonts w:ascii="Arial" w:hAnsi="Arial"/>
      <w:lang w:eastAsia="de-DE"/>
    </w:rPr>
  </w:style>
  <w:style w:type="character" w:customStyle="1" w:styleId="KommentarthemaZchn">
    <w:name w:val="Kommentarthema Zchn"/>
    <w:basedOn w:val="KommentartextZchn"/>
    <w:link w:val="Kommentarthema"/>
    <w:semiHidden/>
    <w:rsid w:val="005754D0"/>
    <w:rPr>
      <w:rFonts w:ascii="Arial" w:hAnsi="Arial"/>
      <w:b/>
      <w:bCs/>
      <w:lang w:eastAsia="de-DE"/>
    </w:rPr>
  </w:style>
  <w:style w:type="paragraph" w:styleId="Kommentarthema">
    <w:name w:val="annotation subject"/>
    <w:basedOn w:val="Kommentartext"/>
    <w:next w:val="Kommentartext"/>
    <w:link w:val="KommentarthemaZchn"/>
    <w:semiHidden/>
    <w:unhideWhenUsed/>
    <w:rsid w:val="005754D0"/>
    <w:rPr>
      <w:b/>
      <w:bCs/>
    </w:rPr>
  </w:style>
  <w:style w:type="character" w:customStyle="1" w:styleId="viiyi">
    <w:name w:val="viiyi"/>
    <w:basedOn w:val="Absatz-Standardschriftart"/>
    <w:rsid w:val="005754D0"/>
  </w:style>
  <w:style w:type="character" w:customStyle="1" w:styleId="jlqj4b">
    <w:name w:val="jlqj4b"/>
    <w:basedOn w:val="Absatz-Standardschriftart"/>
    <w:rsid w:val="005754D0"/>
  </w:style>
  <w:style w:type="table" w:customStyle="1" w:styleId="TableNormal2">
    <w:name w:val="Table Normal2"/>
    <w:uiPriority w:val="2"/>
    <w:semiHidden/>
    <w:unhideWhenUsed/>
    <w:qFormat/>
    <w:rsid w:val="00D11A8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Kommentarzeichen">
    <w:name w:val="annotation reference"/>
    <w:basedOn w:val="Absatz-Standardschriftart"/>
    <w:semiHidden/>
    <w:unhideWhenUsed/>
    <w:rsid w:val="000F2B3C"/>
    <w:rPr>
      <w:sz w:val="16"/>
      <w:szCs w:val="16"/>
    </w:rPr>
  </w:style>
  <w:style w:type="paragraph" w:styleId="StandardWeb">
    <w:name w:val="Normal (Web)"/>
    <w:basedOn w:val="Standard"/>
    <w:uiPriority w:val="99"/>
    <w:semiHidden/>
    <w:unhideWhenUsed/>
    <w:rsid w:val="00C55D81"/>
    <w:pPr>
      <w:spacing w:before="100" w:beforeAutospacing="1" w:after="100" w:afterAutospacing="1" w:line="240" w:lineRule="auto"/>
      <w:jc w:val="left"/>
    </w:pPr>
    <w:rPr>
      <w:rFonts w:ascii="Times New Roman" w:hAnsi="Times New Roman"/>
      <w:sz w:val="24"/>
      <w:szCs w:val="24"/>
      <w:lang w:eastAsia="de-AT"/>
    </w:rPr>
  </w:style>
  <w:style w:type="character" w:customStyle="1" w:styleId="period">
    <w:name w:val="period"/>
    <w:basedOn w:val="Absatz-Standardschriftart"/>
    <w:rsid w:val="00C21AC1"/>
  </w:style>
  <w:style w:type="character" w:customStyle="1" w:styleId="cit">
    <w:name w:val="cit"/>
    <w:basedOn w:val="Absatz-Standardschriftart"/>
    <w:rsid w:val="00C21AC1"/>
  </w:style>
  <w:style w:type="character" w:customStyle="1" w:styleId="citation-doi">
    <w:name w:val="citation-doi"/>
    <w:basedOn w:val="Absatz-Standardschriftart"/>
    <w:rsid w:val="00C21AC1"/>
  </w:style>
  <w:style w:type="character" w:customStyle="1" w:styleId="docsum-authors">
    <w:name w:val="docsum-authors"/>
    <w:basedOn w:val="Absatz-Standardschriftart"/>
    <w:rsid w:val="00CE5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338">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8282">
      <w:bodyDiv w:val="1"/>
      <w:marLeft w:val="0"/>
      <w:marRight w:val="0"/>
      <w:marTop w:val="0"/>
      <w:marBottom w:val="0"/>
      <w:divBdr>
        <w:top w:val="none" w:sz="0" w:space="0" w:color="auto"/>
        <w:left w:val="none" w:sz="0" w:space="0" w:color="auto"/>
        <w:bottom w:val="none" w:sz="0" w:space="0" w:color="auto"/>
        <w:right w:val="none" w:sz="0" w:space="0" w:color="auto"/>
      </w:divBdr>
      <w:divsChild>
        <w:div w:id="892154170">
          <w:marLeft w:val="0"/>
          <w:marRight w:val="0"/>
          <w:marTop w:val="0"/>
          <w:marBottom w:val="0"/>
          <w:divBdr>
            <w:top w:val="none" w:sz="0" w:space="0" w:color="auto"/>
            <w:left w:val="none" w:sz="0" w:space="0" w:color="auto"/>
            <w:bottom w:val="none" w:sz="0" w:space="0" w:color="auto"/>
            <w:right w:val="none" w:sz="0" w:space="0" w:color="auto"/>
          </w:divBdr>
          <w:divsChild>
            <w:div w:id="154419863">
              <w:marLeft w:val="0"/>
              <w:marRight w:val="0"/>
              <w:marTop w:val="0"/>
              <w:marBottom w:val="0"/>
              <w:divBdr>
                <w:top w:val="none" w:sz="0" w:space="0" w:color="auto"/>
                <w:left w:val="none" w:sz="0" w:space="0" w:color="auto"/>
                <w:bottom w:val="none" w:sz="0" w:space="0" w:color="auto"/>
                <w:right w:val="none" w:sz="0" w:space="0" w:color="auto"/>
              </w:divBdr>
              <w:divsChild>
                <w:div w:id="17570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145582772">
      <w:bodyDiv w:val="1"/>
      <w:marLeft w:val="0"/>
      <w:marRight w:val="0"/>
      <w:marTop w:val="0"/>
      <w:marBottom w:val="0"/>
      <w:divBdr>
        <w:top w:val="none" w:sz="0" w:space="0" w:color="auto"/>
        <w:left w:val="none" w:sz="0" w:space="0" w:color="auto"/>
        <w:bottom w:val="none" w:sz="0" w:space="0" w:color="auto"/>
        <w:right w:val="none" w:sz="0" w:space="0" w:color="auto"/>
      </w:divBdr>
    </w:div>
    <w:div w:id="1209146116">
      <w:bodyDiv w:val="1"/>
      <w:marLeft w:val="0"/>
      <w:marRight w:val="0"/>
      <w:marTop w:val="0"/>
      <w:marBottom w:val="0"/>
      <w:divBdr>
        <w:top w:val="none" w:sz="0" w:space="0" w:color="auto"/>
        <w:left w:val="none" w:sz="0" w:space="0" w:color="auto"/>
        <w:bottom w:val="none" w:sz="0" w:space="0" w:color="auto"/>
        <w:right w:val="none" w:sz="0" w:space="0" w:color="auto"/>
      </w:divBdr>
      <w:divsChild>
        <w:div w:id="805468994">
          <w:marLeft w:val="0"/>
          <w:marRight w:val="0"/>
          <w:marTop w:val="0"/>
          <w:marBottom w:val="0"/>
          <w:divBdr>
            <w:top w:val="none" w:sz="0" w:space="0" w:color="auto"/>
            <w:left w:val="none" w:sz="0" w:space="0" w:color="auto"/>
            <w:bottom w:val="none" w:sz="0" w:space="0" w:color="auto"/>
            <w:right w:val="none" w:sz="0" w:space="0" w:color="auto"/>
          </w:divBdr>
          <w:divsChild>
            <w:div w:id="213395970">
              <w:marLeft w:val="0"/>
              <w:marRight w:val="0"/>
              <w:marTop w:val="0"/>
              <w:marBottom w:val="0"/>
              <w:divBdr>
                <w:top w:val="none" w:sz="0" w:space="0" w:color="auto"/>
                <w:left w:val="none" w:sz="0" w:space="0" w:color="auto"/>
                <w:bottom w:val="none" w:sz="0" w:space="0" w:color="auto"/>
                <w:right w:val="none" w:sz="0" w:space="0" w:color="auto"/>
              </w:divBdr>
              <w:divsChild>
                <w:div w:id="50233050">
                  <w:marLeft w:val="0"/>
                  <w:marRight w:val="0"/>
                  <w:marTop w:val="0"/>
                  <w:marBottom w:val="0"/>
                  <w:divBdr>
                    <w:top w:val="none" w:sz="0" w:space="0" w:color="auto"/>
                    <w:left w:val="none" w:sz="0" w:space="0" w:color="auto"/>
                    <w:bottom w:val="none" w:sz="0" w:space="0" w:color="auto"/>
                    <w:right w:val="none" w:sz="0" w:space="0" w:color="auto"/>
                  </w:divBdr>
                  <w:divsChild>
                    <w:div w:id="2059356859">
                      <w:marLeft w:val="0"/>
                      <w:marRight w:val="0"/>
                      <w:marTop w:val="0"/>
                      <w:marBottom w:val="0"/>
                      <w:divBdr>
                        <w:top w:val="none" w:sz="0" w:space="0" w:color="auto"/>
                        <w:left w:val="none" w:sz="0" w:space="0" w:color="auto"/>
                        <w:bottom w:val="none" w:sz="0" w:space="0" w:color="auto"/>
                        <w:right w:val="none" w:sz="0" w:space="0" w:color="auto"/>
                      </w:divBdr>
                      <w:divsChild>
                        <w:div w:id="594480035">
                          <w:marLeft w:val="0"/>
                          <w:marRight w:val="0"/>
                          <w:marTop w:val="0"/>
                          <w:marBottom w:val="0"/>
                          <w:divBdr>
                            <w:top w:val="none" w:sz="0" w:space="0" w:color="auto"/>
                            <w:left w:val="none" w:sz="0" w:space="0" w:color="auto"/>
                            <w:bottom w:val="none" w:sz="0" w:space="0" w:color="auto"/>
                            <w:right w:val="none" w:sz="0" w:space="0" w:color="auto"/>
                          </w:divBdr>
                          <w:divsChild>
                            <w:div w:id="323359756">
                              <w:marLeft w:val="0"/>
                              <w:marRight w:val="0"/>
                              <w:marTop w:val="0"/>
                              <w:marBottom w:val="0"/>
                              <w:divBdr>
                                <w:top w:val="none" w:sz="0" w:space="0" w:color="auto"/>
                                <w:left w:val="none" w:sz="0" w:space="0" w:color="auto"/>
                                <w:bottom w:val="none" w:sz="0" w:space="0" w:color="auto"/>
                                <w:right w:val="none" w:sz="0" w:space="0" w:color="auto"/>
                              </w:divBdr>
                              <w:divsChild>
                                <w:div w:id="951015467">
                                  <w:marLeft w:val="0"/>
                                  <w:marRight w:val="0"/>
                                  <w:marTop w:val="0"/>
                                  <w:marBottom w:val="0"/>
                                  <w:divBdr>
                                    <w:top w:val="none" w:sz="0" w:space="0" w:color="auto"/>
                                    <w:left w:val="none" w:sz="0" w:space="0" w:color="auto"/>
                                    <w:bottom w:val="none" w:sz="0" w:space="0" w:color="auto"/>
                                    <w:right w:val="none" w:sz="0" w:space="0" w:color="auto"/>
                                  </w:divBdr>
                                  <w:divsChild>
                                    <w:div w:id="1536309941">
                                      <w:marLeft w:val="0"/>
                                      <w:marRight w:val="0"/>
                                      <w:marTop w:val="0"/>
                                      <w:marBottom w:val="0"/>
                                      <w:divBdr>
                                        <w:top w:val="none" w:sz="0" w:space="0" w:color="auto"/>
                                        <w:left w:val="none" w:sz="0" w:space="0" w:color="auto"/>
                                        <w:bottom w:val="none" w:sz="0" w:space="0" w:color="auto"/>
                                        <w:right w:val="none" w:sz="0" w:space="0" w:color="auto"/>
                                      </w:divBdr>
                                      <w:divsChild>
                                        <w:div w:id="605886505">
                                          <w:marLeft w:val="0"/>
                                          <w:marRight w:val="0"/>
                                          <w:marTop w:val="0"/>
                                          <w:marBottom w:val="0"/>
                                          <w:divBdr>
                                            <w:top w:val="none" w:sz="0" w:space="0" w:color="auto"/>
                                            <w:left w:val="none" w:sz="0" w:space="0" w:color="auto"/>
                                            <w:bottom w:val="none" w:sz="0" w:space="0" w:color="auto"/>
                                            <w:right w:val="none" w:sz="0" w:space="0" w:color="auto"/>
                                          </w:divBdr>
                                          <w:divsChild>
                                            <w:div w:id="597564492">
                                              <w:marLeft w:val="0"/>
                                              <w:marRight w:val="0"/>
                                              <w:marTop w:val="0"/>
                                              <w:marBottom w:val="0"/>
                                              <w:divBdr>
                                                <w:top w:val="none" w:sz="0" w:space="0" w:color="auto"/>
                                                <w:left w:val="none" w:sz="0" w:space="0" w:color="auto"/>
                                                <w:bottom w:val="none" w:sz="0" w:space="0" w:color="auto"/>
                                                <w:right w:val="none" w:sz="0" w:space="0" w:color="auto"/>
                                              </w:divBdr>
                                              <w:divsChild>
                                                <w:div w:id="1848671538">
                                                  <w:marLeft w:val="0"/>
                                                  <w:marRight w:val="0"/>
                                                  <w:marTop w:val="0"/>
                                                  <w:marBottom w:val="0"/>
                                                  <w:divBdr>
                                                    <w:top w:val="none" w:sz="0" w:space="0" w:color="auto"/>
                                                    <w:left w:val="none" w:sz="0" w:space="0" w:color="auto"/>
                                                    <w:bottom w:val="none" w:sz="0" w:space="0" w:color="auto"/>
                                                    <w:right w:val="none" w:sz="0" w:space="0" w:color="auto"/>
                                                  </w:divBdr>
                                                  <w:divsChild>
                                                    <w:div w:id="578442509">
                                                      <w:marLeft w:val="0"/>
                                                      <w:marRight w:val="0"/>
                                                      <w:marTop w:val="0"/>
                                                      <w:marBottom w:val="0"/>
                                                      <w:divBdr>
                                                        <w:top w:val="none" w:sz="0" w:space="0" w:color="auto"/>
                                                        <w:left w:val="none" w:sz="0" w:space="0" w:color="auto"/>
                                                        <w:bottom w:val="none" w:sz="0" w:space="0" w:color="auto"/>
                                                        <w:right w:val="none" w:sz="0" w:space="0" w:color="auto"/>
                                                      </w:divBdr>
                                                      <w:divsChild>
                                                        <w:div w:id="487405823">
                                                          <w:marLeft w:val="0"/>
                                                          <w:marRight w:val="0"/>
                                                          <w:marTop w:val="0"/>
                                                          <w:marBottom w:val="0"/>
                                                          <w:divBdr>
                                                            <w:top w:val="none" w:sz="0" w:space="0" w:color="auto"/>
                                                            <w:left w:val="none" w:sz="0" w:space="0" w:color="auto"/>
                                                            <w:bottom w:val="none" w:sz="0" w:space="0" w:color="auto"/>
                                                            <w:right w:val="none" w:sz="0" w:space="0" w:color="auto"/>
                                                          </w:divBdr>
                                                          <w:divsChild>
                                                            <w:div w:id="2136286885">
                                                              <w:marLeft w:val="0"/>
                                                              <w:marRight w:val="0"/>
                                                              <w:marTop w:val="0"/>
                                                              <w:marBottom w:val="0"/>
                                                              <w:divBdr>
                                                                <w:top w:val="none" w:sz="0" w:space="0" w:color="auto"/>
                                                                <w:left w:val="none" w:sz="0" w:space="0" w:color="auto"/>
                                                                <w:bottom w:val="none" w:sz="0" w:space="0" w:color="auto"/>
                                                                <w:right w:val="none" w:sz="0" w:space="0" w:color="auto"/>
                                                              </w:divBdr>
                                                              <w:divsChild>
                                                                <w:div w:id="1421020641">
                                                                  <w:marLeft w:val="0"/>
                                                                  <w:marRight w:val="0"/>
                                                                  <w:marTop w:val="0"/>
                                                                  <w:marBottom w:val="0"/>
                                                                  <w:divBdr>
                                                                    <w:top w:val="none" w:sz="0" w:space="0" w:color="auto"/>
                                                                    <w:left w:val="none" w:sz="0" w:space="0" w:color="auto"/>
                                                                    <w:bottom w:val="none" w:sz="0" w:space="0" w:color="auto"/>
                                                                    <w:right w:val="none" w:sz="0" w:space="0" w:color="auto"/>
                                                                  </w:divBdr>
                                                                  <w:divsChild>
                                                                    <w:div w:id="1009719840">
                                                                      <w:marLeft w:val="405"/>
                                                                      <w:marRight w:val="0"/>
                                                                      <w:marTop w:val="0"/>
                                                                      <w:marBottom w:val="0"/>
                                                                      <w:divBdr>
                                                                        <w:top w:val="none" w:sz="0" w:space="0" w:color="auto"/>
                                                                        <w:left w:val="none" w:sz="0" w:space="0" w:color="auto"/>
                                                                        <w:bottom w:val="none" w:sz="0" w:space="0" w:color="auto"/>
                                                                        <w:right w:val="none" w:sz="0" w:space="0" w:color="auto"/>
                                                                      </w:divBdr>
                                                                      <w:divsChild>
                                                                        <w:div w:id="1153718890">
                                                                          <w:marLeft w:val="0"/>
                                                                          <w:marRight w:val="0"/>
                                                                          <w:marTop w:val="0"/>
                                                                          <w:marBottom w:val="0"/>
                                                                          <w:divBdr>
                                                                            <w:top w:val="none" w:sz="0" w:space="0" w:color="auto"/>
                                                                            <w:left w:val="none" w:sz="0" w:space="0" w:color="auto"/>
                                                                            <w:bottom w:val="none" w:sz="0" w:space="0" w:color="auto"/>
                                                                            <w:right w:val="none" w:sz="0" w:space="0" w:color="auto"/>
                                                                          </w:divBdr>
                                                                          <w:divsChild>
                                                                            <w:div w:id="1925915796">
                                                                              <w:marLeft w:val="0"/>
                                                                              <w:marRight w:val="0"/>
                                                                              <w:marTop w:val="0"/>
                                                                              <w:marBottom w:val="0"/>
                                                                              <w:divBdr>
                                                                                <w:top w:val="none" w:sz="0" w:space="0" w:color="auto"/>
                                                                                <w:left w:val="none" w:sz="0" w:space="0" w:color="auto"/>
                                                                                <w:bottom w:val="none" w:sz="0" w:space="0" w:color="auto"/>
                                                                                <w:right w:val="none" w:sz="0" w:space="0" w:color="auto"/>
                                                                              </w:divBdr>
                                                                              <w:divsChild>
                                                                                <w:div w:id="1106802245">
                                                                                  <w:marLeft w:val="0"/>
                                                                                  <w:marRight w:val="0"/>
                                                                                  <w:marTop w:val="0"/>
                                                                                  <w:marBottom w:val="0"/>
                                                                                  <w:divBdr>
                                                                                    <w:top w:val="none" w:sz="0" w:space="0" w:color="auto"/>
                                                                                    <w:left w:val="none" w:sz="0" w:space="0" w:color="auto"/>
                                                                                    <w:bottom w:val="none" w:sz="0" w:space="0" w:color="auto"/>
                                                                                    <w:right w:val="none" w:sz="0" w:space="0" w:color="auto"/>
                                                                                  </w:divBdr>
                                                                                  <w:divsChild>
                                                                                    <w:div w:id="171526981">
                                                                                      <w:marLeft w:val="0"/>
                                                                                      <w:marRight w:val="0"/>
                                                                                      <w:marTop w:val="0"/>
                                                                                      <w:marBottom w:val="0"/>
                                                                                      <w:divBdr>
                                                                                        <w:top w:val="none" w:sz="0" w:space="0" w:color="auto"/>
                                                                                        <w:left w:val="none" w:sz="0" w:space="0" w:color="auto"/>
                                                                                        <w:bottom w:val="none" w:sz="0" w:space="0" w:color="auto"/>
                                                                                        <w:right w:val="none" w:sz="0" w:space="0" w:color="auto"/>
                                                                                      </w:divBdr>
                                                                                      <w:divsChild>
                                                                                        <w:div w:id="1588658987">
                                                                                          <w:marLeft w:val="0"/>
                                                                                          <w:marRight w:val="0"/>
                                                                                          <w:marTop w:val="0"/>
                                                                                          <w:marBottom w:val="0"/>
                                                                                          <w:divBdr>
                                                                                            <w:top w:val="none" w:sz="0" w:space="0" w:color="auto"/>
                                                                                            <w:left w:val="none" w:sz="0" w:space="0" w:color="auto"/>
                                                                                            <w:bottom w:val="none" w:sz="0" w:space="0" w:color="auto"/>
                                                                                            <w:right w:val="none" w:sz="0" w:space="0" w:color="auto"/>
                                                                                          </w:divBdr>
                                                                                          <w:divsChild>
                                                                                            <w:div w:id="973564868">
                                                                                              <w:marLeft w:val="0"/>
                                                                                              <w:marRight w:val="0"/>
                                                                                              <w:marTop w:val="0"/>
                                                                                              <w:marBottom w:val="0"/>
                                                                                              <w:divBdr>
                                                                                                <w:top w:val="none" w:sz="0" w:space="0" w:color="auto"/>
                                                                                                <w:left w:val="none" w:sz="0" w:space="0" w:color="auto"/>
                                                                                                <w:bottom w:val="none" w:sz="0" w:space="0" w:color="auto"/>
                                                                                                <w:right w:val="none" w:sz="0" w:space="0" w:color="auto"/>
                                                                                              </w:divBdr>
                                                                                              <w:divsChild>
                                                                                                <w:div w:id="1894270956">
                                                                                                  <w:marLeft w:val="0"/>
                                                                                                  <w:marRight w:val="0"/>
                                                                                                  <w:marTop w:val="15"/>
                                                                                                  <w:marBottom w:val="0"/>
                                                                                                  <w:divBdr>
                                                                                                    <w:top w:val="none" w:sz="0" w:space="0" w:color="auto"/>
                                                                                                    <w:left w:val="none" w:sz="0" w:space="0" w:color="auto"/>
                                                                                                    <w:bottom w:val="single" w:sz="6" w:space="15" w:color="auto"/>
                                                                                                    <w:right w:val="none" w:sz="0" w:space="0" w:color="auto"/>
                                                                                                  </w:divBdr>
                                                                                                  <w:divsChild>
                                                                                                    <w:div w:id="1657687462">
                                                                                                      <w:marLeft w:val="0"/>
                                                                                                      <w:marRight w:val="0"/>
                                                                                                      <w:marTop w:val="180"/>
                                                                                                      <w:marBottom w:val="0"/>
                                                                                                      <w:divBdr>
                                                                                                        <w:top w:val="none" w:sz="0" w:space="0" w:color="auto"/>
                                                                                                        <w:left w:val="none" w:sz="0" w:space="0" w:color="auto"/>
                                                                                                        <w:bottom w:val="none" w:sz="0" w:space="0" w:color="auto"/>
                                                                                                        <w:right w:val="none" w:sz="0" w:space="0" w:color="auto"/>
                                                                                                      </w:divBdr>
                                                                                                      <w:divsChild>
                                                                                                        <w:div w:id="713195515">
                                                                                                          <w:marLeft w:val="0"/>
                                                                                                          <w:marRight w:val="0"/>
                                                                                                          <w:marTop w:val="0"/>
                                                                                                          <w:marBottom w:val="0"/>
                                                                                                          <w:divBdr>
                                                                                                            <w:top w:val="none" w:sz="0" w:space="0" w:color="auto"/>
                                                                                                            <w:left w:val="none" w:sz="0" w:space="0" w:color="auto"/>
                                                                                                            <w:bottom w:val="none" w:sz="0" w:space="0" w:color="auto"/>
                                                                                                            <w:right w:val="none" w:sz="0" w:space="0" w:color="auto"/>
                                                                                                          </w:divBdr>
                                                                                                          <w:divsChild>
                                                                                                            <w:div w:id="2045867050">
                                                                                                              <w:marLeft w:val="0"/>
                                                                                                              <w:marRight w:val="0"/>
                                                                                                              <w:marTop w:val="0"/>
                                                                                                              <w:marBottom w:val="0"/>
                                                                                                              <w:divBdr>
                                                                                                                <w:top w:val="none" w:sz="0" w:space="0" w:color="auto"/>
                                                                                                                <w:left w:val="none" w:sz="0" w:space="0" w:color="auto"/>
                                                                                                                <w:bottom w:val="none" w:sz="0" w:space="0" w:color="auto"/>
                                                                                                                <w:right w:val="none" w:sz="0" w:space="0" w:color="auto"/>
                                                                                                              </w:divBdr>
                                                                                                              <w:divsChild>
                                                                                                                <w:div w:id="473566229">
                                                                                                                  <w:marLeft w:val="0"/>
                                                                                                                  <w:marRight w:val="0"/>
                                                                                                                  <w:marTop w:val="30"/>
                                                                                                                  <w:marBottom w:val="0"/>
                                                                                                                  <w:divBdr>
                                                                                                                    <w:top w:val="none" w:sz="0" w:space="0" w:color="auto"/>
                                                                                                                    <w:left w:val="none" w:sz="0" w:space="0" w:color="auto"/>
                                                                                                                    <w:bottom w:val="none" w:sz="0" w:space="0" w:color="auto"/>
                                                                                                                    <w:right w:val="none" w:sz="0" w:space="0" w:color="auto"/>
                                                                                                                  </w:divBdr>
                                                                                                                  <w:divsChild>
                                                                                                                    <w:div w:id="1101101982">
                                                                                                                      <w:marLeft w:val="0"/>
                                                                                                                      <w:marRight w:val="0"/>
                                                                                                                      <w:marTop w:val="0"/>
                                                                                                                      <w:marBottom w:val="0"/>
                                                                                                                      <w:divBdr>
                                                                                                                        <w:top w:val="none" w:sz="0" w:space="0" w:color="auto"/>
                                                                                                                        <w:left w:val="none" w:sz="0" w:space="0" w:color="auto"/>
                                                                                                                        <w:bottom w:val="none" w:sz="0" w:space="0" w:color="auto"/>
                                                                                                                        <w:right w:val="none" w:sz="0" w:space="0" w:color="auto"/>
                                                                                                                      </w:divBdr>
                                                                                                                      <w:divsChild>
                                                                                                                        <w:div w:id="906914852">
                                                                                                                          <w:marLeft w:val="0"/>
                                                                                                                          <w:marRight w:val="0"/>
                                                                                                                          <w:marTop w:val="0"/>
                                                                                                                          <w:marBottom w:val="0"/>
                                                                                                                          <w:divBdr>
                                                                                                                            <w:top w:val="none" w:sz="0" w:space="0" w:color="auto"/>
                                                                                                                            <w:left w:val="none" w:sz="0" w:space="0" w:color="auto"/>
                                                                                                                            <w:bottom w:val="none" w:sz="0" w:space="0" w:color="auto"/>
                                                                                                                            <w:right w:val="none" w:sz="0" w:space="0" w:color="auto"/>
                                                                                                                          </w:divBdr>
                                                                                                                          <w:divsChild>
                                                                                                                            <w:div w:id="471100365">
                                                                                                                              <w:marLeft w:val="0"/>
                                                                                                                              <w:marRight w:val="0"/>
                                                                                                                              <w:marTop w:val="0"/>
                                                                                                                              <w:marBottom w:val="0"/>
                                                                                                                              <w:divBdr>
                                                                                                                                <w:top w:val="none" w:sz="0" w:space="0" w:color="auto"/>
                                                                                                                                <w:left w:val="none" w:sz="0" w:space="0" w:color="auto"/>
                                                                                                                                <w:bottom w:val="none" w:sz="0" w:space="0" w:color="auto"/>
                                                                                                                                <w:right w:val="none" w:sz="0" w:space="0" w:color="auto"/>
                                                                                                                              </w:divBdr>
                                                                                                                              <w:divsChild>
                                                                                                                                <w:div w:id="1291324871">
                                                                                                                                  <w:marLeft w:val="0"/>
                                                                                                                                  <w:marRight w:val="0"/>
                                                                                                                                  <w:marTop w:val="0"/>
                                                                                                                                  <w:marBottom w:val="0"/>
                                                                                                                                  <w:divBdr>
                                                                                                                                    <w:top w:val="none" w:sz="0" w:space="0" w:color="auto"/>
                                                                                                                                    <w:left w:val="none" w:sz="0" w:space="0" w:color="auto"/>
                                                                                                                                    <w:bottom w:val="none" w:sz="0" w:space="0" w:color="auto"/>
                                                                                                                                    <w:right w:val="none" w:sz="0" w:space="0" w:color="auto"/>
                                                                                                                                  </w:divBdr>
                                                                                                                                  <w:divsChild>
                                                                                                                                    <w:div w:id="2038500859">
                                                                                                                                      <w:marLeft w:val="0"/>
                                                                                                                                      <w:marRight w:val="0"/>
                                                                                                                                      <w:marTop w:val="0"/>
                                                                                                                                      <w:marBottom w:val="0"/>
                                                                                                                                      <w:divBdr>
                                                                                                                                        <w:top w:val="none" w:sz="0" w:space="0" w:color="auto"/>
                                                                                                                                        <w:left w:val="none" w:sz="0" w:space="0" w:color="auto"/>
                                                                                                                                        <w:bottom w:val="none" w:sz="0" w:space="0" w:color="auto"/>
                                                                                                                                        <w:right w:val="none" w:sz="0" w:space="0" w:color="auto"/>
                                                                                                                                      </w:divBdr>
                                                                                                                                    </w:div>
                                                                                                                                    <w:div w:id="743454194">
                                                                                                                                      <w:marLeft w:val="0"/>
                                                                                                                                      <w:marRight w:val="0"/>
                                                                                                                                      <w:marTop w:val="0"/>
                                                                                                                                      <w:marBottom w:val="0"/>
                                                                                                                                      <w:divBdr>
                                                                                                                                        <w:top w:val="none" w:sz="0" w:space="0" w:color="auto"/>
                                                                                                                                        <w:left w:val="none" w:sz="0" w:space="0" w:color="auto"/>
                                                                                                                                        <w:bottom w:val="none" w:sz="0" w:space="0" w:color="auto"/>
                                                                                                                                        <w:right w:val="none" w:sz="0" w:space="0" w:color="auto"/>
                                                                                                                                      </w:divBdr>
                                                                                                                                    </w:div>
                                                                                                                                    <w:div w:id="516627108">
                                                                                                                                      <w:marLeft w:val="0"/>
                                                                                                                                      <w:marRight w:val="0"/>
                                                                                                                                      <w:marTop w:val="0"/>
                                                                                                                                      <w:marBottom w:val="0"/>
                                                                                                                                      <w:divBdr>
                                                                                                                                        <w:top w:val="none" w:sz="0" w:space="0" w:color="auto"/>
                                                                                                                                        <w:left w:val="none" w:sz="0" w:space="0" w:color="auto"/>
                                                                                                                                        <w:bottom w:val="none" w:sz="0" w:space="0" w:color="auto"/>
                                                                                                                                        <w:right w:val="none" w:sz="0" w:space="0" w:color="auto"/>
                                                                                                                                      </w:divBdr>
                                                                                                                                    </w:div>
                                                                                                                                    <w:div w:id="450171893">
                                                                                                                                      <w:marLeft w:val="0"/>
                                                                                                                                      <w:marRight w:val="0"/>
                                                                                                                                      <w:marTop w:val="0"/>
                                                                                                                                      <w:marBottom w:val="0"/>
                                                                                                                                      <w:divBdr>
                                                                                                                                        <w:top w:val="none" w:sz="0" w:space="0" w:color="auto"/>
                                                                                                                                        <w:left w:val="none" w:sz="0" w:space="0" w:color="auto"/>
                                                                                                                                        <w:bottom w:val="none" w:sz="0" w:space="0" w:color="auto"/>
                                                                                                                                        <w:right w:val="none" w:sz="0" w:space="0" w:color="auto"/>
                                                                                                                                      </w:divBdr>
                                                                                                                                    </w:div>
                                                                                                                                    <w:div w:id="958075246">
                                                                                                                                      <w:marLeft w:val="0"/>
                                                                                                                                      <w:marRight w:val="0"/>
                                                                                                                                      <w:marTop w:val="0"/>
                                                                                                                                      <w:marBottom w:val="0"/>
                                                                                                                                      <w:divBdr>
                                                                                                                                        <w:top w:val="none" w:sz="0" w:space="0" w:color="auto"/>
                                                                                                                                        <w:left w:val="none" w:sz="0" w:space="0" w:color="auto"/>
                                                                                                                                        <w:bottom w:val="none" w:sz="0" w:space="0" w:color="auto"/>
                                                                                                                                        <w:right w:val="none" w:sz="0" w:space="0" w:color="auto"/>
                                                                                                                                      </w:divBdr>
                                                                                                                                    </w:div>
                                                                                                                                    <w:div w:id="9896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27739670">
      <w:bodyDiv w:val="1"/>
      <w:marLeft w:val="0"/>
      <w:marRight w:val="0"/>
      <w:marTop w:val="0"/>
      <w:marBottom w:val="0"/>
      <w:divBdr>
        <w:top w:val="none" w:sz="0" w:space="0" w:color="auto"/>
        <w:left w:val="none" w:sz="0" w:space="0" w:color="auto"/>
        <w:bottom w:val="none" w:sz="0" w:space="0" w:color="auto"/>
        <w:right w:val="none" w:sz="0" w:space="0" w:color="auto"/>
      </w:divBdr>
      <w:divsChild>
        <w:div w:id="1277832805">
          <w:marLeft w:val="547"/>
          <w:marRight w:val="0"/>
          <w:marTop w:val="0"/>
          <w:marBottom w:val="0"/>
          <w:divBdr>
            <w:top w:val="none" w:sz="0" w:space="0" w:color="auto"/>
            <w:left w:val="none" w:sz="0" w:space="0" w:color="auto"/>
            <w:bottom w:val="none" w:sz="0" w:space="0" w:color="auto"/>
            <w:right w:val="none" w:sz="0" w:space="0" w:color="auto"/>
          </w:divBdr>
        </w:div>
      </w:divsChild>
    </w:div>
    <w:div w:id="1631285871">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5766">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9557">
      <w:bodyDiv w:val="1"/>
      <w:marLeft w:val="0"/>
      <w:marRight w:val="0"/>
      <w:marTop w:val="0"/>
      <w:marBottom w:val="0"/>
      <w:divBdr>
        <w:top w:val="none" w:sz="0" w:space="0" w:color="auto"/>
        <w:left w:val="none" w:sz="0" w:space="0" w:color="auto"/>
        <w:bottom w:val="none" w:sz="0" w:space="0" w:color="auto"/>
        <w:right w:val="none" w:sz="0" w:space="0" w:color="auto"/>
      </w:divBdr>
      <w:divsChild>
        <w:div w:id="1617519609">
          <w:marLeft w:val="0"/>
          <w:marRight w:val="0"/>
          <w:marTop w:val="0"/>
          <w:marBottom w:val="0"/>
          <w:divBdr>
            <w:top w:val="none" w:sz="0" w:space="0" w:color="auto"/>
            <w:left w:val="none" w:sz="0" w:space="0" w:color="auto"/>
            <w:bottom w:val="none" w:sz="0" w:space="0" w:color="auto"/>
            <w:right w:val="none" w:sz="0" w:space="0" w:color="auto"/>
          </w:divBdr>
          <w:divsChild>
            <w:div w:id="1394543159">
              <w:marLeft w:val="0"/>
              <w:marRight w:val="0"/>
              <w:marTop w:val="0"/>
              <w:marBottom w:val="0"/>
              <w:divBdr>
                <w:top w:val="none" w:sz="0" w:space="0" w:color="auto"/>
                <w:left w:val="none" w:sz="0" w:space="0" w:color="auto"/>
                <w:bottom w:val="none" w:sz="0" w:space="0" w:color="auto"/>
                <w:right w:val="none" w:sz="0" w:space="0" w:color="auto"/>
              </w:divBdr>
              <w:divsChild>
                <w:div w:id="20116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0241">
      <w:bodyDiv w:val="1"/>
      <w:marLeft w:val="0"/>
      <w:marRight w:val="0"/>
      <w:marTop w:val="0"/>
      <w:marBottom w:val="0"/>
      <w:divBdr>
        <w:top w:val="none" w:sz="0" w:space="0" w:color="auto"/>
        <w:left w:val="none" w:sz="0" w:space="0" w:color="auto"/>
        <w:bottom w:val="none" w:sz="0" w:space="0" w:color="auto"/>
        <w:right w:val="none" w:sz="0" w:space="0" w:color="auto"/>
      </w:divBdr>
      <w:divsChild>
        <w:div w:id="1831600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dx.doi.org/10.1002/cncr.30031"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hyperlink" Target="http://dx.doi.org/10.1182/blood-2017-08-798322" TargetMode="External"/><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Visio-Zeichnung111.vsdx"/><Relationship Id="rId25" Type="http://schemas.openxmlformats.org/officeDocument/2006/relationships/hyperlink" Target="http://www.tumorzentrum.at" TargetMode="External"/><Relationship Id="rId33" Type="http://schemas.openxmlformats.org/officeDocument/2006/relationships/package" Target="embeddings/Microsoft_Visio-Zeichnung.vsdx"/><Relationship Id="rId38" Type="http://schemas.openxmlformats.org/officeDocument/2006/relationships/hyperlink" Target="http://dx.doi.org/10.1056/NEJMoa1509277"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hyperlink" Target="http://dx.doi.org/10.1200/JCO.2016.69.35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hyperlink" Target="https://pubmed.ncbi.nlm.nih.gov/32033444/" TargetMode="External"/><Relationship Id="rId40" Type="http://schemas.openxmlformats.org/officeDocument/2006/relationships/hyperlink" Target="http://dx.doi.org/10.1080/10428194.2019.157687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package" Target="embeddings/Microsoft_Visio-Zeichnung1.vsdx"/><Relationship Id="rId43" Type="http://schemas.openxmlformats.org/officeDocument/2006/relationships/header" Target="header1.xml"/><Relationship Id="rId8" Type="http://schemas.openxmlformats.org/officeDocument/2006/relationships/webSettings" Target="webSettings.xml"/><Relationship Id="rId51"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dvOT1ef757c0">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F0598"/>
    <w:rsid w:val="000F06FD"/>
    <w:rsid w:val="001740D5"/>
    <w:rsid w:val="001D1E21"/>
    <w:rsid w:val="002858F2"/>
    <w:rsid w:val="002F4FD9"/>
    <w:rsid w:val="00303C27"/>
    <w:rsid w:val="003207F8"/>
    <w:rsid w:val="003A13AC"/>
    <w:rsid w:val="00462D76"/>
    <w:rsid w:val="004F4D6C"/>
    <w:rsid w:val="00596552"/>
    <w:rsid w:val="006F2A44"/>
    <w:rsid w:val="00741567"/>
    <w:rsid w:val="00776B57"/>
    <w:rsid w:val="00782FBC"/>
    <w:rsid w:val="007F198B"/>
    <w:rsid w:val="00823F82"/>
    <w:rsid w:val="008E64F7"/>
    <w:rsid w:val="00A056F2"/>
    <w:rsid w:val="00B772E3"/>
    <w:rsid w:val="00C90E34"/>
    <w:rsid w:val="00C9385A"/>
    <w:rsid w:val="00CD52B1"/>
    <w:rsid w:val="00E25D2E"/>
    <w:rsid w:val="00E62305"/>
    <w:rsid w:val="00EA4DDB"/>
    <w:rsid w:val="00EF42B3"/>
    <w:rsid w:val="00F21A0F"/>
    <w:rsid w:val="00F373CA"/>
    <w:rsid w:val="00F60D50"/>
    <w:rsid w:val="00FC5FD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https://ooeg.info/dokumente/_layouts/gespag.dfr/revise.aspx?IsDlg=1&amp;listID=18c45198-6fc7-4da6-aad9-951c94b71f4f&amp;itemID=391, revisionieren</dfr_actionlink>
    <dfr_prevdepartment xmlns="http://schemas.microsoft.com/sharepoint/v3" xsi:nil="true"/>
    <dfr_creator xmlns="http://schemas.microsoft.com/sharepoint/v3">
      <UserInfo>
        <DisplayName>Machherndl Sigrid</DisplayName>
        <AccountId>27243</AccountId>
        <AccountType/>
      </UserInfo>
    </dfr_creator>
    <dfr_approvalid xmlns="http://schemas.microsoft.com/sharepoint/v3">e9e7c09c-80dc-419f-ae6d-2ded3cb2ce82</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14.06.2021 12:52:49 Pichler, Thomas (Initiator) : Freigabe der Leitlinie per Mail OÄ Dr. Machherndl-Spandl per Mail am 13.06.2021
14.06.2021 12:53:04 Pichler, Thomas (Freigeber) : .
</dfr_comments>
    <dfr_lastnotification xmlns="http://schemas.microsoft.com/sharepoint/v3">2022-04-15T00:19:53+00:00</dfr_lastnotification>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2022-06-14T10:53:08+00:00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Hämatologie</dfr_department>
    <dfr_taskownerresponsibility xmlns="http://schemas.microsoft.com/sharepoint/v3" xsi:nil="true"/>
    <dfr_publisheddate xmlns="http://schemas.microsoft.com/sharepoint/v3">2021-06-14T10:53:04+00:00</dfr_publisheddate>
    <customfield_majorversion xmlns="http://schemas.microsoft.com/sharepoint/v3" xsi:nil="true"/>
    <dfr_location xmlns="http://schemas.microsoft.com/sharepoint/v3">KH</dfr_location>
    <dfr_majorversion xmlns="18c45198-6fc7-4da6-aad9-951c94b71f4f">1.0</dfr_majorvers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dfr_classification xmlns="18c45198-6fc7-4da6-aad9-951c94b71f4f">öffentlich</dfr_classification>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08CE3-A941-4524-865B-C1CB2E65CDE2}"/>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39562EAB-5958-4C83-9F40-32587C425B7C}"/>
</file>

<file path=docProps/app.xml><?xml version="1.0" encoding="utf-8"?>
<Properties xmlns="http://schemas.openxmlformats.org/officeDocument/2006/extended-properties" xmlns:vt="http://schemas.openxmlformats.org/officeDocument/2006/docPropsVTypes">
  <Template>Normal</Template>
  <TotalTime>0</TotalTime>
  <Pages>48</Pages>
  <Words>12268</Words>
  <Characters>77292</Characters>
  <Application>Microsoft Office Word</Application>
  <DocSecurity>0</DocSecurity>
  <Lines>644</Lines>
  <Paragraphs>178</Paragraphs>
  <ScaleCrop>false</ScaleCrop>
  <HeadingPairs>
    <vt:vector size="2" baseType="variant">
      <vt:variant>
        <vt:lpstr>Titel</vt:lpstr>
      </vt:variant>
      <vt:variant>
        <vt:i4>1</vt:i4>
      </vt:variant>
    </vt:vector>
  </HeadingPairs>
  <TitlesOfParts>
    <vt:vector size="1" baseType="lpstr">
      <vt:lpstr>Akute Lymphatische Leukämie</vt:lpstr>
    </vt:vector>
  </TitlesOfParts>
  <Company>gespag</Company>
  <LinksUpToDate>false</LinksUpToDate>
  <CharactersWithSpaces>89382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Akute Lymphatische Leukämie</dc:title>
  <dc:creator>Freinhofer Regina</dc:creator>
  <cp:keywords/>
  <cp:lastModifiedBy>Pichler, Thomas</cp:lastModifiedBy>
  <cp:revision>2</cp:revision>
  <cp:lastPrinted>2020-03-09T06:53:00Z</cp:lastPrinted>
  <dcterms:created xsi:type="dcterms:W3CDTF">2021-06-14T10:51:00Z</dcterms:created>
  <dcterms:modified xsi:type="dcterms:W3CDTF">2021-06-14T10:51:00Z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2;#;#4;#;#5;#;#3;#;#6;#;#1;#</vt:lpwstr>
  </property>
  <property fmtid="{D5CDD505-2E9C-101B-9397-08002B2CF9AE}" pid="23" name="Bereich">
    <vt:lpwstr>Vorlagen</vt:lpwstr>
  </property>
  <property fmtid="{D5CDD505-2E9C-101B-9397-08002B2CF9AE}" pid="24" name="Archivieren">
    <vt:lpwstr>Nein</vt:lpwstr>
  </property>
  <property fmtid="{D5CDD505-2E9C-101B-9397-08002B2CF9AE}" pid="25" name="läuft ab am">
    <vt:lpwstr>2098-12-31T23:00:00+00:00</vt:lpwstr>
  </property>
  <property fmtid="{D5CDD505-2E9C-101B-9397-08002B2CF9AE}" pid="26" name="TaxKeyword">
    <vt:lpwstr/>
  </property>
</Properties>
</file>